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harts/chart1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header6.xml" ContentType="application/vnd.openxmlformats-officedocument.wordprocessingml.header+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7.xml" ContentType="application/vnd.openxmlformats-officedocument.wordprocessingml.header+xml"/>
  <Override PartName="/word/footer5.xml" ContentType="application/vnd.openxmlformats-officedocument.wordprocessingml.footer+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drawings/drawing1.xml" ContentType="application/vnd.openxmlformats-officedocument.drawingml.chartshapes+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charts/chart2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96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
        <w:gridCol w:w="1182"/>
        <w:gridCol w:w="882"/>
        <w:gridCol w:w="3843"/>
        <w:gridCol w:w="689"/>
        <w:gridCol w:w="1050"/>
        <w:gridCol w:w="977"/>
      </w:tblGrid>
      <w:tr w:rsidR="00772E5F" w:rsidTr="0016388F">
        <w:trPr>
          <w:trHeight w:val="1230"/>
          <w:jc w:val="center"/>
        </w:trPr>
        <w:tc>
          <w:tcPr>
            <w:tcW w:w="2244" w:type="dxa"/>
            <w:gridSpan w:val="2"/>
          </w:tcPr>
          <w:p w:rsidR="00772E5F" w:rsidRDefault="00AC19DB" w:rsidP="00467F8E">
            <w:pPr>
              <w:tabs>
                <w:tab w:val="left" w:pos="5970"/>
              </w:tabs>
              <w:ind w:left="1937"/>
              <w:rPr>
                <w:rFonts w:eastAsia="Times New Roman"/>
                <w:bCs/>
                <w:sz w:val="26"/>
                <w:szCs w:val="26"/>
                <w:lang w:eastAsia="fr-FR"/>
              </w:rPr>
            </w:pPr>
            <w:bookmarkStart w:id="0" w:name="_GoBack"/>
            <w:bookmarkEnd w:id="0"/>
            <w:r>
              <w:rPr>
                <w:rFonts w:eastAsia="Times New Roman"/>
                <w:bCs/>
                <w:noProof/>
                <w:sz w:val="26"/>
                <w:szCs w:val="26"/>
                <w:lang w:eastAsia="fr-FR"/>
              </w:rPr>
              <w:drawing>
                <wp:anchor distT="0" distB="0" distL="114300" distR="114300" simplePos="0" relativeHeight="251697152" behindDoc="1" locked="0" layoutInCell="1" allowOverlap="1">
                  <wp:simplePos x="0" y="0"/>
                  <wp:positionH relativeFrom="column">
                    <wp:posOffset>-140605</wp:posOffset>
                  </wp:positionH>
                  <wp:positionV relativeFrom="paragraph">
                    <wp:posOffset>-207558</wp:posOffset>
                  </wp:positionV>
                  <wp:extent cx="6331646" cy="3745282"/>
                  <wp:effectExtent l="19050" t="0" r="0" b="0"/>
                  <wp:wrapNone/>
                  <wp:docPr id="9" name="Image 1" descr="C:\RAIMI DOCS\IMAGES\TANGUIETA\IMAG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IMI DOCS\IMAGES\TANGUIETA\IMAG0009.JPG"/>
                          <pic:cNvPicPr>
                            <a:picLocks noChangeAspect="1" noChangeArrowheads="1"/>
                          </pic:cNvPicPr>
                        </pic:nvPicPr>
                        <pic:blipFill>
                          <a:blip r:embed="rId8" cstate="print"/>
                          <a:srcRect r="6921" b="27682"/>
                          <a:stretch>
                            <a:fillRect/>
                          </a:stretch>
                        </pic:blipFill>
                        <pic:spPr bwMode="auto">
                          <a:xfrm>
                            <a:off x="0" y="0"/>
                            <a:ext cx="6331646" cy="3745282"/>
                          </a:xfrm>
                          <a:prstGeom prst="rect">
                            <a:avLst/>
                          </a:prstGeom>
                          <a:noFill/>
                          <a:ln w="9525">
                            <a:noFill/>
                            <a:miter lim="800000"/>
                            <a:headEnd/>
                            <a:tailEnd/>
                          </a:ln>
                        </pic:spPr>
                      </pic:pic>
                    </a:graphicData>
                  </a:graphic>
                </wp:anchor>
              </w:drawing>
            </w:r>
            <w:r w:rsidR="00CE79B0">
              <w:rPr>
                <w:rFonts w:eastAsia="Times New Roman"/>
                <w:bCs/>
                <w:noProof/>
                <w:sz w:val="26"/>
                <w:szCs w:val="26"/>
                <w:lang w:eastAsia="fr-FR"/>
              </w:rPr>
              <w:drawing>
                <wp:anchor distT="0" distB="0" distL="114300" distR="114300" simplePos="0" relativeHeight="251676672" behindDoc="0" locked="0" layoutInCell="1" allowOverlap="1">
                  <wp:simplePos x="0" y="0"/>
                  <wp:positionH relativeFrom="column">
                    <wp:posOffset>44273</wp:posOffset>
                  </wp:positionH>
                  <wp:positionV relativeFrom="paragraph">
                    <wp:posOffset>37465</wp:posOffset>
                  </wp:positionV>
                  <wp:extent cx="989230" cy="682906"/>
                  <wp:effectExtent l="19050" t="0" r="1370" b="0"/>
                  <wp:wrapNone/>
                  <wp:docPr id="64" name="Image 2" descr="C:\Documents and Settings\HPucx\Desktop\life\Armoiries\drapeau_be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Documents and Settings\HPucx\Desktop\life\Armoiries\drapeau_benin.jpg"/>
                          <pic:cNvPicPr>
                            <a:picLocks noChangeAspect="1" noChangeArrowheads="1"/>
                          </pic:cNvPicPr>
                        </pic:nvPicPr>
                        <pic:blipFill>
                          <a:blip r:embed="rId9" cstate="print"/>
                          <a:srcRect/>
                          <a:stretch>
                            <a:fillRect/>
                          </a:stretch>
                        </pic:blipFill>
                        <pic:spPr bwMode="auto">
                          <a:xfrm>
                            <a:off x="0" y="0"/>
                            <a:ext cx="995711" cy="687380"/>
                          </a:xfrm>
                          <a:prstGeom prst="rect">
                            <a:avLst/>
                          </a:prstGeom>
                          <a:noFill/>
                          <a:ln w="9525">
                            <a:noFill/>
                            <a:miter lim="800000"/>
                            <a:headEnd/>
                            <a:tailEnd/>
                          </a:ln>
                        </pic:spPr>
                      </pic:pic>
                    </a:graphicData>
                  </a:graphic>
                </wp:anchor>
              </w:drawing>
            </w:r>
            <w:r w:rsidR="004F064D">
              <w:rPr>
                <w:rFonts w:eastAsia="Times New Roman"/>
                <w:bCs/>
                <w:noProof/>
                <w:sz w:val="26"/>
                <w:szCs w:val="26"/>
                <w:lang w:val="en-US"/>
              </w:rPr>
              <w:pict>
                <v:group id="Group 10" o:spid="_x0000_s1026" style="position:absolute;left:0;text-align:left;margin-left:-63.7pt;margin-top:-17.6pt;width:601.9pt;height:765.45pt;z-index:-251637760;mso-position-horizontal-relative:text;mso-position-vertical-relative:text" coordorigin="-74,1039" coordsize="12038,1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">
                  <v:shapetype id="_x0000_t202" coordsize="21600,21600" o:spt="202" path="m,l,21600r21600,l21600,xe">
                    <v:stroke joinstyle="miter"/>
                    <v:path gradientshapeok="t" o:connecttype="rect"/>
                  </v:shapetype>
                  <v:shape id="Text Box 11" o:spid="_x0000_s1027" type="#_x0000_t202" style="position:absolute;left:-11;top:1039;width:983;height:152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zQsMA&#10;AADcAAAADwAAAGRycy9kb3ducmV2LnhtbERP22oCMRB9L/gPYQp9q0krVtkaRQri9kHx0g8YNuPu&#10;4mayJNHd9uuNIPRtDuc6s0VvG3ElH2rHGt6GCgRx4UzNpYaf4+p1CiJEZIONY9LwSwEW88HTDDPj&#10;Ot7T9RBLkUI4ZKihirHNpAxFRRbD0LXEiTs5bzEm6EtpPHYp3DbyXakPabHm1FBhS18VFefDxWro&#10;cvZ/arPJ15PT9twceTz93o21fnnul58gIvXxX/xw5ybNVyO4P5Mu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zQsMAAADcAAAADwAAAAAAAAAAAAAAAACYAgAAZHJzL2Rv&#10;d25yZXYueG1sUEsFBgAAAAAEAAQA9QAAAIgDAAAAAA==&#10;" fillcolor="#31849b [2408]" strokecolor="#31849b [2408]">
                    <v:textbox>
                      <w:txbxContent>
                        <w:p w:rsidR="008C2241" w:rsidRDefault="008C2241" w:rsidP="00772E5F"/>
                      </w:txbxContent>
                    </v:textbox>
                  </v:shape>
                  <v:shape id="Text Box 12" o:spid="_x0000_s1028" type="#_x0000_t202" style="position:absolute;left:10941;top:1045;width:983;height:15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rNsMA&#10;AADcAAAADwAAAGRycy9kb3ducmV2LnhtbERP22oCMRB9L/gPYQp9q0mLVtkaRQri9kHx0g8YNuPu&#10;4mayJNHd9uuNIPRtDuc6s0VvG3ElH2rHGt6GCgRx4UzNpYaf4+p1CiJEZIONY9LwSwEW88HTDDPj&#10;Ot7T9RBLkUI4ZKihirHNpAxFRRbD0LXEiTs5bzEm6EtpPHYp3DbyXakPabHm1FBhS18VFefDxWro&#10;cvZ/arPJ15PT9twceTz93o21fnnul58gIvXxX/xw5ybNVyO4P5Mu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YrNsMAAADcAAAADwAAAAAAAAAAAAAAAACYAgAAZHJzL2Rv&#10;d25yZXYueG1sUEsFBgAAAAAEAAQA9QAAAIgDAAAAAA==&#10;" fillcolor="#31849b [2408]" strokecolor="#31849b [2408]">
                    <v:textbox>
                      <w:txbxContent>
                        <w:p w:rsidR="008C2241" w:rsidRDefault="008C2241" w:rsidP="00772E5F"/>
                      </w:txbxContent>
                    </v:textbox>
                  </v:shape>
                  <v:shapetype id="_x0000_t32" coordsize="21600,21600" o:spt="32" o:oned="t" path="m,l21600,21600e" filled="f">
                    <v:path arrowok="t" fillok="f" o:connecttype="none"/>
                    <o:lock v:ext="edit" shapetype="t"/>
                  </v:shapetype>
                  <v:shape id="AutoShape 13" o:spid="_x0000_s1029" type="#_x0000_t32" style="position:absolute;left:-38;top:1040;width:11978;height: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hDTcEAAADcAAAADwAAAGRycy9kb3ducmV2LnhtbERPS4vCMBC+C/6HMII3TSz42K5RRBDF&#10;m7oHj7PNbFttJqWJWv31mwVhb/PxPWe+bG0l7tT40rGG0VCBIM6cKTnX8HXaDGYgfEA2WDkmDU/y&#10;sFx0O3NMjXvwge7HkIsYwj5FDUUIdSqlzwqy6IeuJo7cj2sshgibXJoGHzHcVjJRaiItlhwbCqxp&#10;XVB2Pd6shun28u3VPrzKfH84TZ7n5IMSq3W/164+QQRqw7/47d6ZOF+N4e+ZeIF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SENNwQAAANwAAAAPAAAAAAAAAAAAAAAA&#10;AKECAABkcnMvZG93bnJldi54bWxQSwUGAAAAAAQABAD5AAAAjwMAAAAA&#10;" strokecolor="#31849b [2408]" strokeweight="1.5pt"/>
                  <v:shape id="AutoShape 14" o:spid="_x0000_s1030" type="#_x0000_t32" style="position:absolute;left:-74;top:16347;width:12038;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dZt8EAAADcAAAADwAAAGRycy9kb3ducmV2LnhtbERPy6rCMBDdC/5DGMGdproQqUa5FQQr&#10;3IUPBHdDM7b1NpPaRK1/fyMI7uZwnjNftqYSD2pcaVnBaBiBIM6sLjlXcDysB1MQziNrrCyTghc5&#10;WC66nTnG2j55R4+9z0UIYRejgsL7OpbSZQUZdENbEwfuYhuDPsAml7rBZwg3lRxH0UQaLDk0FFjT&#10;qqDsb383CpLX9vRrfXrbXM7XW5ok4xSvRql+r/2ZgfDU+q/4497oMD+awPuZcIF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J1m3wQAAANwAAAAPAAAAAAAAAAAAAAAA&#10;AKECAABkcnMvZG93bnJldi54bWxQSwUGAAAAAAQABAD5AAAAjwMAAAAA&#10;" strokecolor="#31849b [2408]" strokeweight="1.5pt"/>
                </v:group>
              </w:pict>
            </w:r>
          </w:p>
        </w:tc>
        <w:tc>
          <w:tcPr>
            <w:tcW w:w="5414" w:type="dxa"/>
            <w:gridSpan w:val="3"/>
          </w:tcPr>
          <w:p w:rsidR="00772E5F" w:rsidRPr="00E254EB" w:rsidRDefault="00772E5F" w:rsidP="00467F8E">
            <w:pPr>
              <w:tabs>
                <w:tab w:val="left" w:pos="5970"/>
              </w:tabs>
              <w:jc w:val="center"/>
              <w:rPr>
                <w:rFonts w:eastAsia="Times New Roman"/>
                <w:bCs/>
                <w:sz w:val="32"/>
                <w:szCs w:val="32"/>
                <w:lang w:eastAsia="fr-FR"/>
              </w:rPr>
            </w:pPr>
            <w:r w:rsidRPr="00E254EB">
              <w:rPr>
                <w:rFonts w:eastAsia="Times New Roman"/>
                <w:bCs/>
                <w:sz w:val="32"/>
                <w:szCs w:val="32"/>
                <w:lang w:eastAsia="fr-FR"/>
              </w:rPr>
              <w:t>REPUBLIQUE DU BENIN</w:t>
            </w:r>
          </w:p>
          <w:p w:rsidR="00772E5F" w:rsidRDefault="00772E5F" w:rsidP="00467F8E">
            <w:pPr>
              <w:tabs>
                <w:tab w:val="left" w:pos="5970"/>
              </w:tabs>
              <w:jc w:val="center"/>
              <w:rPr>
                <w:rFonts w:eastAsia="Times New Roman"/>
                <w:bCs/>
                <w:sz w:val="26"/>
                <w:szCs w:val="26"/>
                <w:lang w:eastAsia="fr-FR"/>
              </w:rPr>
            </w:pPr>
            <w:r>
              <w:rPr>
                <w:rFonts w:eastAsia="Times New Roman"/>
                <w:bCs/>
                <w:sz w:val="26"/>
                <w:szCs w:val="26"/>
                <w:lang w:eastAsia="fr-FR"/>
              </w:rPr>
              <w:t>----xx----</w:t>
            </w:r>
          </w:p>
        </w:tc>
        <w:tc>
          <w:tcPr>
            <w:tcW w:w="2027" w:type="dxa"/>
            <w:gridSpan w:val="2"/>
          </w:tcPr>
          <w:p w:rsidR="00772E5F" w:rsidRDefault="00CE79B0" w:rsidP="00467F8E">
            <w:pPr>
              <w:tabs>
                <w:tab w:val="left" w:pos="5970"/>
              </w:tabs>
              <w:rPr>
                <w:rFonts w:eastAsia="Times New Roman"/>
                <w:bCs/>
                <w:sz w:val="26"/>
                <w:szCs w:val="26"/>
                <w:lang w:eastAsia="fr-FR"/>
              </w:rPr>
            </w:pPr>
            <w:r>
              <w:rPr>
                <w:rFonts w:ascii="Garamond" w:hAnsi="Garamond"/>
                <w:b/>
                <w:noProof/>
                <w:lang w:eastAsia="fr-FR"/>
              </w:rPr>
              <w:drawing>
                <wp:anchor distT="0" distB="0" distL="114300" distR="114300" simplePos="0" relativeHeight="251677696" behindDoc="0" locked="0" layoutInCell="1" allowOverlap="1">
                  <wp:simplePos x="0" y="0"/>
                  <wp:positionH relativeFrom="column">
                    <wp:posOffset>-28467</wp:posOffset>
                  </wp:positionH>
                  <wp:positionV relativeFrom="paragraph">
                    <wp:posOffset>42266</wp:posOffset>
                  </wp:positionV>
                  <wp:extent cx="1103971" cy="780585"/>
                  <wp:effectExtent l="0" t="0" r="0" b="0"/>
                  <wp:wrapNone/>
                  <wp:docPr id="65" name="Image 1" descr="Logo gouvernement b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gouvernement bj"/>
                          <pic:cNvPicPr>
                            <a:picLocks noChangeAspect="1" noChangeArrowheads="1"/>
                          </pic:cNvPicPr>
                        </pic:nvPicPr>
                        <pic:blipFill>
                          <a:blip r:embed="rId10" cstate="print"/>
                          <a:srcRect/>
                          <a:stretch>
                            <a:fillRect/>
                          </a:stretch>
                        </pic:blipFill>
                        <pic:spPr bwMode="auto">
                          <a:xfrm>
                            <a:off x="0" y="0"/>
                            <a:ext cx="1103971" cy="780585"/>
                          </a:xfrm>
                          <a:prstGeom prst="rect">
                            <a:avLst/>
                          </a:prstGeom>
                          <a:noFill/>
                          <a:ln w="9525">
                            <a:noFill/>
                            <a:miter lim="800000"/>
                            <a:headEnd/>
                            <a:tailEnd/>
                          </a:ln>
                        </pic:spPr>
                      </pic:pic>
                    </a:graphicData>
                  </a:graphic>
                </wp:anchor>
              </w:drawing>
            </w:r>
          </w:p>
        </w:tc>
      </w:tr>
      <w:tr w:rsidR="00772E5F" w:rsidTr="00641293">
        <w:trPr>
          <w:trHeight w:val="12488"/>
          <w:jc w:val="center"/>
        </w:trPr>
        <w:tc>
          <w:tcPr>
            <w:tcW w:w="1062" w:type="dxa"/>
          </w:tcPr>
          <w:p w:rsidR="00772E5F" w:rsidRDefault="00ED5D97" w:rsidP="00467F8E">
            <w:pPr>
              <w:tabs>
                <w:tab w:val="left" w:pos="5970"/>
              </w:tabs>
              <w:rPr>
                <w:rFonts w:eastAsia="Times New Roman"/>
                <w:bCs/>
                <w:sz w:val="26"/>
                <w:szCs w:val="26"/>
                <w:lang w:eastAsia="fr-FR"/>
              </w:rPr>
            </w:pPr>
            <w:r>
              <w:rPr>
                <w:rFonts w:eastAsia="Times New Roman"/>
                <w:bCs/>
                <w:noProof/>
                <w:sz w:val="26"/>
                <w:szCs w:val="26"/>
                <w:lang w:eastAsia="fr-FR"/>
              </w:rPr>
              <w:drawing>
                <wp:anchor distT="0" distB="0" distL="114300" distR="114300" simplePos="0" relativeHeight="251679744" behindDoc="1" locked="0" layoutInCell="1" allowOverlap="1">
                  <wp:simplePos x="0" y="0"/>
                  <wp:positionH relativeFrom="column">
                    <wp:posOffset>-140605</wp:posOffset>
                  </wp:positionH>
                  <wp:positionV relativeFrom="paragraph">
                    <wp:posOffset>2193003</wp:posOffset>
                  </wp:positionV>
                  <wp:extent cx="6331646" cy="5674290"/>
                  <wp:effectExtent l="19050" t="0" r="0" b="0"/>
                  <wp:wrapNone/>
                  <wp:docPr id="67" name="Image 5" descr="C:\RAIMI DOCS\INSAE\DSS\OPERATIONS ENQUETES ET ETUDE DSS\BANQUE MONDIALE_ ANALYSE PAUVRETE\Success Story\Rapport de supervision\Photos illustratives\Oueme-Plateau-Atlantique-Littoral\IMAG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IMI DOCS\INSAE\DSS\OPERATIONS ENQUETES ET ETUDE DSS\BANQUE MONDIALE_ ANALYSE PAUVRETE\Success Story\Rapport de supervision\Photos illustratives\Oueme-Plateau-Atlantique-Littoral\IMAG0025.JPG"/>
                          <pic:cNvPicPr>
                            <a:picLocks noChangeAspect="1" noChangeArrowheads="1"/>
                          </pic:cNvPicPr>
                        </pic:nvPicPr>
                        <pic:blipFill>
                          <a:blip r:embed="rId11" cstate="print"/>
                          <a:srcRect b="14199"/>
                          <a:stretch>
                            <a:fillRect/>
                          </a:stretch>
                        </pic:blipFill>
                        <pic:spPr bwMode="auto">
                          <a:xfrm>
                            <a:off x="0" y="0"/>
                            <a:ext cx="6331646" cy="5674290"/>
                          </a:xfrm>
                          <a:prstGeom prst="rect">
                            <a:avLst/>
                          </a:prstGeom>
                          <a:noFill/>
                          <a:ln w="9525">
                            <a:noFill/>
                            <a:miter lim="800000"/>
                            <a:headEnd/>
                            <a:tailEnd/>
                          </a:ln>
                        </pic:spPr>
                      </pic:pic>
                    </a:graphicData>
                  </a:graphic>
                </wp:anchor>
              </w:drawing>
            </w:r>
            <w:r w:rsidR="00260D91">
              <w:rPr>
                <w:rFonts w:eastAsia="Times New Roman"/>
                <w:bCs/>
                <w:noProof/>
                <w:sz w:val="26"/>
                <w:szCs w:val="26"/>
                <w:lang w:eastAsia="fr-FR"/>
              </w:rPr>
              <w:drawing>
                <wp:anchor distT="0" distB="0" distL="114300" distR="114300" simplePos="0" relativeHeight="251698176" behindDoc="1" locked="0" layoutInCell="1" allowOverlap="1">
                  <wp:simplePos x="0" y="0"/>
                  <wp:positionH relativeFrom="column">
                    <wp:posOffset>-140605</wp:posOffset>
                  </wp:positionH>
                  <wp:positionV relativeFrom="paragraph">
                    <wp:posOffset>2668992</wp:posOffset>
                  </wp:positionV>
                  <wp:extent cx="4615581" cy="463463"/>
                  <wp:effectExtent l="19050" t="0" r="0" b="0"/>
                  <wp:wrapNone/>
                  <wp:docPr id="1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IMI DOCS\IMAGES\TANGUIETA\IMAG0009.JPG"/>
                          <pic:cNvPicPr>
                            <a:picLocks noChangeAspect="1" noChangeArrowheads="1"/>
                          </pic:cNvPicPr>
                        </pic:nvPicPr>
                        <pic:blipFill>
                          <a:blip r:embed="rId12"/>
                          <a:srcRect l="42215" t="48905" r="12457" b="29528"/>
                          <a:stretch>
                            <a:fillRect/>
                          </a:stretch>
                        </pic:blipFill>
                        <pic:spPr bwMode="auto">
                          <a:xfrm>
                            <a:off x="0" y="0"/>
                            <a:ext cx="4615581" cy="463463"/>
                          </a:xfrm>
                          <a:prstGeom prst="rect">
                            <a:avLst/>
                          </a:prstGeom>
                          <a:noFill/>
                          <a:ln w="9525">
                            <a:noFill/>
                            <a:miter lim="800000"/>
                            <a:headEnd/>
                            <a:tailEnd/>
                          </a:ln>
                        </pic:spPr>
                      </pic:pic>
                    </a:graphicData>
                  </a:graphic>
                </wp:anchor>
              </w:drawing>
            </w:r>
          </w:p>
        </w:tc>
        <w:tc>
          <w:tcPr>
            <w:tcW w:w="7646" w:type="dxa"/>
            <w:gridSpan w:val="5"/>
          </w:tcPr>
          <w:p w:rsidR="00772E5F" w:rsidRDefault="00772E5F" w:rsidP="00467F8E">
            <w:pPr>
              <w:tabs>
                <w:tab w:val="left" w:pos="5970"/>
              </w:tabs>
              <w:rPr>
                <w:rFonts w:ascii="Times New Roman" w:eastAsia="Times New Roman" w:hAnsi="Times New Roman"/>
                <w:b/>
                <w:bCs/>
                <w:sz w:val="52"/>
                <w:szCs w:val="52"/>
                <w:lang w:eastAsia="fr-FR"/>
              </w:rPr>
            </w:pPr>
          </w:p>
          <w:p w:rsidR="00772E5F" w:rsidRDefault="00772E5F" w:rsidP="00467F8E">
            <w:pPr>
              <w:tabs>
                <w:tab w:val="left" w:pos="5970"/>
              </w:tabs>
              <w:jc w:val="center"/>
              <w:rPr>
                <w:rFonts w:ascii="Times New Roman" w:eastAsia="Times New Roman" w:hAnsi="Times New Roman"/>
                <w:b/>
                <w:bCs/>
                <w:sz w:val="52"/>
                <w:szCs w:val="52"/>
                <w:lang w:eastAsia="fr-FR"/>
              </w:rPr>
            </w:pPr>
          </w:p>
          <w:p w:rsidR="00772E5F" w:rsidRDefault="00772E5F" w:rsidP="00467F8E">
            <w:pPr>
              <w:tabs>
                <w:tab w:val="left" w:pos="5970"/>
              </w:tabs>
              <w:jc w:val="center"/>
              <w:rPr>
                <w:rFonts w:ascii="Times New Roman" w:eastAsia="Times New Roman" w:hAnsi="Times New Roman"/>
                <w:b/>
                <w:bCs/>
                <w:sz w:val="56"/>
                <w:szCs w:val="56"/>
                <w:lang w:eastAsia="fr-FR"/>
              </w:rPr>
            </w:pPr>
          </w:p>
          <w:p w:rsidR="00772E5F" w:rsidRDefault="004F064D" w:rsidP="00467F8E">
            <w:pPr>
              <w:tabs>
                <w:tab w:val="left" w:pos="5970"/>
              </w:tabs>
              <w:jc w:val="center"/>
              <w:rPr>
                <w:rFonts w:ascii="Times New Roman" w:eastAsia="Times New Roman" w:hAnsi="Times New Roman"/>
                <w:b/>
                <w:bCs/>
                <w:sz w:val="56"/>
                <w:szCs w:val="56"/>
                <w:lang w:eastAsia="fr-FR"/>
              </w:rPr>
            </w:pPr>
            <w:r>
              <w:rPr>
                <w:rFonts w:ascii="Times New Roman" w:eastAsia="Times New Roman" w:hAnsi="Times New Roman"/>
                <w:b/>
                <w:bCs/>
                <w:noProof/>
                <w:color w:val="31849B" w:themeColor="accent5" w:themeShade="BF"/>
                <w:sz w:val="56"/>
                <w:szCs w:val="56"/>
                <w:lang w:val="en-US"/>
              </w:rPr>
              <w:pict>
                <v:shape id="Text Box 120" o:spid="_x0000_s1031" type="#_x0000_t202" style="position:absolute;left:0;text-align:left;margin-left:102pt;margin-top:40.4pt;width:325.25pt;height:173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" filled="f" stroked="f">
                  <v:textbox>
                    <w:txbxContent>
                      <w:p w:rsidR="008C2241" w:rsidRPr="00C13117" w:rsidRDefault="008C2241" w:rsidP="0016388F">
                        <w:pPr>
                          <w:tabs>
                            <w:tab w:val="left" w:pos="5970"/>
                          </w:tabs>
                          <w:ind w:left="-170"/>
                          <w:jc w:val="right"/>
                          <w:rPr>
                            <w:rFonts w:ascii="Times New Roman" w:eastAsia="Times New Roman" w:hAnsi="Times New Roman"/>
                            <w:b/>
                            <w:bCs/>
                            <w:color w:val="FFFFFF" w:themeColor="background1"/>
                            <w:sz w:val="72"/>
                            <w:szCs w:val="72"/>
                            <w:lang w:eastAsia="fr-FR"/>
                          </w:rPr>
                        </w:pPr>
                        <w:r w:rsidRPr="00C13117">
                          <w:rPr>
                            <w:rFonts w:ascii="Times New Roman" w:eastAsia="Times New Roman" w:hAnsi="Times New Roman"/>
                            <w:b/>
                            <w:bCs/>
                            <w:color w:val="FFFFFF" w:themeColor="background1"/>
                            <w:sz w:val="72"/>
                            <w:szCs w:val="72"/>
                            <w:lang w:eastAsia="fr-FR"/>
                          </w:rPr>
                          <w:t xml:space="preserve">Evaluation  </w:t>
                        </w:r>
                      </w:p>
                      <w:p w:rsidR="008C2241" w:rsidRPr="00C13117" w:rsidRDefault="008C2241" w:rsidP="0016388F">
                        <w:pPr>
                          <w:tabs>
                            <w:tab w:val="left" w:pos="5970"/>
                          </w:tabs>
                          <w:ind w:left="-170"/>
                          <w:jc w:val="right"/>
                          <w:rPr>
                            <w:rFonts w:ascii="Times New Roman" w:eastAsia="Times New Roman" w:hAnsi="Times New Roman"/>
                            <w:b/>
                            <w:bCs/>
                            <w:color w:val="FFFFFF" w:themeColor="background1"/>
                            <w:sz w:val="72"/>
                            <w:szCs w:val="72"/>
                            <w:lang w:eastAsia="fr-FR"/>
                          </w:rPr>
                        </w:pPr>
                        <w:r w:rsidRPr="00C13117">
                          <w:rPr>
                            <w:rFonts w:ascii="Times New Roman" w:eastAsia="Times New Roman" w:hAnsi="Times New Roman"/>
                            <w:b/>
                            <w:bCs/>
                            <w:color w:val="FFFFFF" w:themeColor="background1"/>
                            <w:sz w:val="72"/>
                            <w:szCs w:val="72"/>
                            <w:lang w:eastAsia="fr-FR"/>
                          </w:rPr>
                          <w:t>de la pauvreté au Bénin</w:t>
                        </w:r>
                      </w:p>
                      <w:p w:rsidR="008C2241" w:rsidRDefault="008C2241" w:rsidP="0016388F">
                        <w:pPr>
                          <w:jc w:val="right"/>
                        </w:pPr>
                      </w:p>
                    </w:txbxContent>
                  </v:textbox>
                </v:shape>
              </w:pict>
            </w:r>
          </w:p>
          <w:p w:rsidR="00772E5F" w:rsidRDefault="00772E5F" w:rsidP="00467F8E">
            <w:pPr>
              <w:tabs>
                <w:tab w:val="left" w:pos="5970"/>
              </w:tabs>
              <w:jc w:val="center"/>
              <w:rPr>
                <w:rFonts w:ascii="Times New Roman" w:eastAsia="Times New Roman" w:hAnsi="Times New Roman"/>
                <w:b/>
                <w:bCs/>
                <w:sz w:val="56"/>
                <w:szCs w:val="56"/>
                <w:lang w:eastAsia="fr-FR"/>
              </w:rPr>
            </w:pPr>
          </w:p>
          <w:p w:rsidR="00772E5F" w:rsidRDefault="003F4D91" w:rsidP="00467F8E">
            <w:pPr>
              <w:tabs>
                <w:tab w:val="left" w:pos="5970"/>
              </w:tabs>
              <w:ind w:left="-170"/>
              <w:jc w:val="center"/>
              <w:rPr>
                <w:rFonts w:ascii="Times New Roman" w:eastAsia="Times New Roman" w:hAnsi="Times New Roman"/>
                <w:b/>
                <w:bCs/>
                <w:color w:val="31849B" w:themeColor="accent5" w:themeShade="BF"/>
                <w:sz w:val="56"/>
                <w:szCs w:val="56"/>
                <w:lang w:eastAsia="fr-FR"/>
              </w:rPr>
            </w:pPr>
            <w:r>
              <w:rPr>
                <w:rFonts w:ascii="Times New Roman" w:eastAsia="Times New Roman" w:hAnsi="Times New Roman"/>
                <w:b/>
                <w:bCs/>
                <w:noProof/>
                <w:color w:val="31849B" w:themeColor="accent5" w:themeShade="BF"/>
                <w:sz w:val="56"/>
                <w:szCs w:val="56"/>
                <w:lang w:eastAsia="fr-FR"/>
              </w:rPr>
              <w:drawing>
                <wp:anchor distT="0" distB="0" distL="114300" distR="114300" simplePos="0" relativeHeight="251699200" behindDoc="1" locked="0" layoutInCell="1" allowOverlap="1">
                  <wp:simplePos x="0" y="0"/>
                  <wp:positionH relativeFrom="column">
                    <wp:posOffset>2479371</wp:posOffset>
                  </wp:positionH>
                  <wp:positionV relativeFrom="paragraph">
                    <wp:posOffset>153034</wp:posOffset>
                  </wp:positionV>
                  <wp:extent cx="1321234" cy="300625"/>
                  <wp:effectExtent l="19050" t="0" r="0" b="0"/>
                  <wp:wrapNone/>
                  <wp:docPr id="1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IMI DOCS\IMAGES\TANGUIETA\IMAG0009.JPG"/>
                          <pic:cNvPicPr>
                            <a:picLocks noChangeAspect="1" noChangeArrowheads="1"/>
                          </pic:cNvPicPr>
                        </pic:nvPicPr>
                        <pic:blipFill>
                          <a:blip r:embed="rId13" cstate="print"/>
                          <a:srcRect l="48790" t="54441" r="12457" b="29528"/>
                          <a:stretch>
                            <a:fillRect/>
                          </a:stretch>
                        </pic:blipFill>
                        <pic:spPr bwMode="auto">
                          <a:xfrm flipV="1">
                            <a:off x="0" y="0"/>
                            <a:ext cx="1321234" cy="300625"/>
                          </a:xfrm>
                          <a:prstGeom prst="rect">
                            <a:avLst/>
                          </a:prstGeom>
                          <a:noFill/>
                          <a:ln w="9525">
                            <a:noFill/>
                            <a:miter lim="800000"/>
                            <a:headEnd/>
                            <a:tailEnd/>
                          </a:ln>
                        </pic:spPr>
                      </pic:pic>
                    </a:graphicData>
                  </a:graphic>
                </wp:anchor>
              </w:drawing>
            </w:r>
          </w:p>
          <w:p w:rsidR="00772E5F" w:rsidRDefault="00772E5F" w:rsidP="00467F8E">
            <w:pPr>
              <w:tabs>
                <w:tab w:val="left" w:pos="5970"/>
              </w:tabs>
              <w:ind w:left="-170"/>
              <w:jc w:val="center"/>
              <w:rPr>
                <w:rFonts w:ascii="Times New Roman" w:eastAsia="Times New Roman" w:hAnsi="Times New Roman"/>
                <w:b/>
                <w:bCs/>
                <w:color w:val="31849B" w:themeColor="accent5" w:themeShade="BF"/>
                <w:sz w:val="56"/>
                <w:szCs w:val="56"/>
                <w:lang w:eastAsia="fr-FR"/>
              </w:rPr>
            </w:pPr>
          </w:p>
          <w:p w:rsidR="00772E5F" w:rsidRDefault="00772E5F" w:rsidP="00467F8E">
            <w:pPr>
              <w:tabs>
                <w:tab w:val="left" w:pos="5970"/>
              </w:tabs>
              <w:ind w:left="-170"/>
              <w:jc w:val="center"/>
              <w:rPr>
                <w:rFonts w:ascii="Times New Roman" w:eastAsia="Times New Roman" w:hAnsi="Times New Roman"/>
                <w:b/>
                <w:bCs/>
                <w:color w:val="31849B" w:themeColor="accent5" w:themeShade="BF"/>
                <w:sz w:val="56"/>
                <w:szCs w:val="56"/>
                <w:lang w:eastAsia="fr-FR"/>
              </w:rPr>
            </w:pPr>
          </w:p>
          <w:p w:rsidR="00772E5F" w:rsidRPr="00395CD3" w:rsidRDefault="00772E5F" w:rsidP="0016388F">
            <w:pPr>
              <w:tabs>
                <w:tab w:val="left" w:pos="5970"/>
              </w:tabs>
              <w:ind w:left="-170"/>
              <w:jc w:val="center"/>
              <w:rPr>
                <w:rFonts w:ascii="Times New Roman" w:eastAsia="Times New Roman" w:hAnsi="Times New Roman"/>
                <w:sz w:val="52"/>
                <w:szCs w:val="52"/>
                <w:lang w:eastAsia="fr-FR"/>
              </w:rPr>
            </w:pPr>
          </w:p>
        </w:tc>
        <w:tc>
          <w:tcPr>
            <w:tcW w:w="977" w:type="dxa"/>
          </w:tcPr>
          <w:p w:rsidR="00772E5F" w:rsidRDefault="00772E5F" w:rsidP="00467F8E">
            <w:pPr>
              <w:tabs>
                <w:tab w:val="left" w:pos="5970"/>
              </w:tabs>
              <w:rPr>
                <w:rFonts w:eastAsia="Times New Roman"/>
                <w:bCs/>
                <w:sz w:val="26"/>
                <w:szCs w:val="26"/>
                <w:lang w:eastAsia="fr-FR"/>
              </w:rPr>
            </w:pPr>
          </w:p>
        </w:tc>
      </w:tr>
      <w:tr w:rsidR="00772E5F" w:rsidTr="00641293">
        <w:trPr>
          <w:trHeight w:val="1230"/>
          <w:jc w:val="center"/>
        </w:trPr>
        <w:tc>
          <w:tcPr>
            <w:tcW w:w="3126" w:type="dxa"/>
            <w:gridSpan w:val="3"/>
          </w:tcPr>
          <w:p w:rsidR="00772E5F" w:rsidRDefault="00CE79B0" w:rsidP="00467F8E">
            <w:pPr>
              <w:tabs>
                <w:tab w:val="left" w:pos="5970"/>
              </w:tabs>
              <w:spacing w:line="240" w:lineRule="auto"/>
              <w:contextualSpacing/>
              <w:rPr>
                <w:rFonts w:eastAsia="Times New Roman"/>
                <w:bCs/>
                <w:sz w:val="26"/>
                <w:szCs w:val="26"/>
                <w:lang w:eastAsia="fr-FR"/>
              </w:rPr>
            </w:pPr>
            <w:r>
              <w:rPr>
                <w:rFonts w:eastAsia="Times New Roman"/>
                <w:bCs/>
                <w:noProof/>
                <w:sz w:val="26"/>
                <w:szCs w:val="26"/>
                <w:lang w:eastAsia="fr-FR"/>
              </w:rPr>
              <w:drawing>
                <wp:inline distT="0" distB="0" distL="0" distR="0">
                  <wp:extent cx="1133344" cy="751562"/>
                  <wp:effectExtent l="19050" t="0" r="0" b="0"/>
                  <wp:docPr id="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r="2297"/>
                          <a:stretch>
                            <a:fillRect/>
                          </a:stretch>
                        </pic:blipFill>
                        <pic:spPr bwMode="auto">
                          <a:xfrm>
                            <a:off x="0" y="0"/>
                            <a:ext cx="1133344" cy="751562"/>
                          </a:xfrm>
                          <a:prstGeom prst="rect">
                            <a:avLst/>
                          </a:prstGeom>
                          <a:noFill/>
                          <a:ln w="9525">
                            <a:noFill/>
                            <a:miter lim="800000"/>
                            <a:headEnd/>
                            <a:tailEnd/>
                          </a:ln>
                        </pic:spPr>
                      </pic:pic>
                    </a:graphicData>
                  </a:graphic>
                </wp:inline>
              </w:drawing>
            </w:r>
          </w:p>
        </w:tc>
        <w:tc>
          <w:tcPr>
            <w:tcW w:w="3843" w:type="dxa"/>
          </w:tcPr>
          <w:p w:rsidR="00772E5F" w:rsidRDefault="00772E5F" w:rsidP="00467F8E">
            <w:pPr>
              <w:tabs>
                <w:tab w:val="left" w:pos="5970"/>
              </w:tabs>
              <w:spacing w:line="240" w:lineRule="auto"/>
              <w:contextualSpacing/>
              <w:jc w:val="center"/>
              <w:rPr>
                <w:rFonts w:eastAsia="Times New Roman"/>
                <w:bCs/>
                <w:sz w:val="26"/>
                <w:szCs w:val="26"/>
                <w:lang w:eastAsia="fr-FR"/>
              </w:rPr>
            </w:pPr>
          </w:p>
          <w:p w:rsidR="00772E5F" w:rsidRDefault="00772E5F" w:rsidP="00467F8E">
            <w:pPr>
              <w:tabs>
                <w:tab w:val="left" w:pos="5970"/>
              </w:tabs>
              <w:spacing w:line="240" w:lineRule="auto"/>
              <w:contextualSpacing/>
              <w:jc w:val="center"/>
              <w:rPr>
                <w:rFonts w:eastAsia="Times New Roman"/>
                <w:bCs/>
                <w:sz w:val="26"/>
                <w:szCs w:val="26"/>
                <w:lang w:eastAsia="fr-FR"/>
              </w:rPr>
            </w:pPr>
          </w:p>
          <w:p w:rsidR="00772E5F" w:rsidRPr="00C94A3C" w:rsidRDefault="0002621A" w:rsidP="00467F8E">
            <w:pPr>
              <w:tabs>
                <w:tab w:val="left" w:pos="5970"/>
              </w:tabs>
              <w:spacing w:line="240" w:lineRule="auto"/>
              <w:contextualSpacing/>
              <w:jc w:val="center"/>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Mars</w:t>
            </w:r>
            <w:r w:rsidR="001064B7" w:rsidRPr="001064B7">
              <w:rPr>
                <w:rFonts w:ascii="Times New Roman" w:eastAsia="Times New Roman" w:hAnsi="Times New Roman"/>
                <w:bCs/>
                <w:sz w:val="24"/>
                <w:szCs w:val="24"/>
                <w:lang w:eastAsia="fr-FR"/>
              </w:rPr>
              <w:t xml:space="preserve"> 201</w:t>
            </w:r>
            <w:r>
              <w:rPr>
                <w:rFonts w:ascii="Times New Roman" w:eastAsia="Times New Roman" w:hAnsi="Times New Roman"/>
                <w:bCs/>
                <w:sz w:val="24"/>
                <w:szCs w:val="24"/>
                <w:lang w:eastAsia="fr-FR"/>
              </w:rPr>
              <w:t>4</w:t>
            </w:r>
          </w:p>
        </w:tc>
        <w:tc>
          <w:tcPr>
            <w:tcW w:w="2716" w:type="dxa"/>
            <w:gridSpan w:val="3"/>
          </w:tcPr>
          <w:p w:rsidR="00772E5F" w:rsidRDefault="00CE79B0" w:rsidP="00467F8E">
            <w:pPr>
              <w:tabs>
                <w:tab w:val="left" w:pos="5970"/>
              </w:tabs>
              <w:spacing w:line="240" w:lineRule="auto"/>
              <w:contextualSpacing/>
              <w:rPr>
                <w:rFonts w:eastAsia="Times New Roman"/>
                <w:bCs/>
                <w:sz w:val="26"/>
                <w:szCs w:val="26"/>
                <w:lang w:eastAsia="fr-FR"/>
              </w:rPr>
            </w:pPr>
            <w:r>
              <w:rPr>
                <w:noProof/>
                <w:lang w:eastAsia="fr-FR"/>
              </w:rPr>
              <w:drawing>
                <wp:inline distT="0" distB="0" distL="0" distR="0">
                  <wp:extent cx="979952" cy="751562"/>
                  <wp:effectExtent l="19050" t="0" r="0" b="0"/>
                  <wp:docPr id="71" name="Picture 20" descr="worldbank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orldbanklogo.jpeg"/>
                          <pic:cNvPicPr>
                            <a:picLocks noChangeAspect="1" noChangeArrowheads="1"/>
                          </pic:cNvPicPr>
                        </pic:nvPicPr>
                        <pic:blipFill>
                          <a:blip r:embed="rId15" cstate="print"/>
                          <a:srcRect/>
                          <a:stretch>
                            <a:fillRect/>
                          </a:stretch>
                        </pic:blipFill>
                        <pic:spPr bwMode="auto">
                          <a:xfrm>
                            <a:off x="0" y="0"/>
                            <a:ext cx="994934" cy="763052"/>
                          </a:xfrm>
                          <a:prstGeom prst="rect">
                            <a:avLst/>
                          </a:prstGeom>
                          <a:noFill/>
                          <a:ln w="9525">
                            <a:noFill/>
                            <a:miter lim="800000"/>
                            <a:headEnd/>
                            <a:tailEnd/>
                          </a:ln>
                        </pic:spPr>
                      </pic:pic>
                    </a:graphicData>
                  </a:graphic>
                </wp:inline>
              </w:drawing>
            </w:r>
          </w:p>
        </w:tc>
      </w:tr>
    </w:tbl>
    <w:p w:rsidR="00772E5F" w:rsidRDefault="00772E5F" w:rsidP="00C270D2">
      <w:pPr>
        <w:jc w:val="center"/>
        <w:rPr>
          <w:rFonts w:ascii="Garamond" w:hAnsi="Garamond"/>
          <w:b/>
        </w:rPr>
      </w:pPr>
    </w:p>
    <w:p w:rsidR="00772E5F" w:rsidRDefault="00772E5F" w:rsidP="00C270D2">
      <w:pPr>
        <w:jc w:val="center"/>
        <w:rPr>
          <w:rFonts w:ascii="Garamond" w:hAnsi="Garamond"/>
          <w:b/>
        </w:rPr>
      </w:pPr>
    </w:p>
    <w:p w:rsidR="00C270D2" w:rsidRPr="00E61064" w:rsidRDefault="00C270D2" w:rsidP="00C270D2">
      <w:pPr>
        <w:jc w:val="center"/>
        <w:rPr>
          <w:rFonts w:ascii="Garamond" w:hAnsi="Garamond"/>
          <w:b/>
        </w:rPr>
      </w:pPr>
      <w:r w:rsidRPr="00E61064">
        <w:rPr>
          <w:rFonts w:ascii="Garamond" w:hAnsi="Garamond"/>
          <w:b/>
        </w:rPr>
        <w:t>ÉQUIVALENCE MONETAIRE</w:t>
      </w:r>
    </w:p>
    <w:p w:rsidR="00C270D2" w:rsidRPr="00E61064" w:rsidRDefault="00C270D2" w:rsidP="00C270D2">
      <w:pPr>
        <w:jc w:val="center"/>
        <w:rPr>
          <w:rFonts w:ascii="Garamond" w:hAnsi="Garamond"/>
        </w:rPr>
      </w:pPr>
    </w:p>
    <w:tbl>
      <w:tblPr>
        <w:tblW w:w="0" w:type="auto"/>
        <w:tblInd w:w="1668" w:type="dxa"/>
        <w:tblLayout w:type="fixed"/>
        <w:tblLook w:val="01E0" w:firstRow="1" w:lastRow="1" w:firstColumn="1" w:lastColumn="1" w:noHBand="0" w:noVBand="0"/>
      </w:tblPr>
      <w:tblGrid>
        <w:gridCol w:w="2835"/>
        <w:gridCol w:w="236"/>
        <w:gridCol w:w="2883"/>
      </w:tblGrid>
      <w:tr w:rsidR="00C270D2" w:rsidRPr="00E61064" w:rsidTr="00272B35">
        <w:tc>
          <w:tcPr>
            <w:tcW w:w="2835" w:type="dxa"/>
          </w:tcPr>
          <w:p w:rsidR="00C270D2" w:rsidRPr="00E61064" w:rsidRDefault="00C270D2" w:rsidP="00272B35">
            <w:pPr>
              <w:jc w:val="right"/>
              <w:rPr>
                <w:rFonts w:ascii="Garamond" w:hAnsi="Garamond"/>
                <w:b/>
              </w:rPr>
            </w:pPr>
            <w:r w:rsidRPr="00E61064">
              <w:rPr>
                <w:rFonts w:ascii="Garamond" w:hAnsi="Garamond"/>
                <w:b/>
              </w:rPr>
              <w:t>Unité monétaire</w:t>
            </w:r>
          </w:p>
        </w:tc>
        <w:tc>
          <w:tcPr>
            <w:tcW w:w="236" w:type="dxa"/>
          </w:tcPr>
          <w:p w:rsidR="00C270D2" w:rsidRPr="00E61064" w:rsidRDefault="00C270D2" w:rsidP="00272B35">
            <w:pPr>
              <w:jc w:val="center"/>
              <w:rPr>
                <w:rFonts w:ascii="Garamond" w:hAnsi="Garamond"/>
                <w:b/>
              </w:rPr>
            </w:pPr>
            <w:r w:rsidRPr="00E61064">
              <w:rPr>
                <w:rFonts w:ascii="Garamond" w:hAnsi="Garamond"/>
                <w:b/>
              </w:rPr>
              <w:t>:</w:t>
            </w:r>
          </w:p>
        </w:tc>
        <w:tc>
          <w:tcPr>
            <w:tcW w:w="2883" w:type="dxa"/>
          </w:tcPr>
          <w:p w:rsidR="00C270D2" w:rsidRPr="00E61064" w:rsidRDefault="00C270D2" w:rsidP="00272B35">
            <w:pPr>
              <w:rPr>
                <w:rFonts w:ascii="Garamond" w:hAnsi="Garamond"/>
              </w:rPr>
            </w:pPr>
            <w:r w:rsidRPr="00E61064">
              <w:rPr>
                <w:rFonts w:ascii="Garamond" w:hAnsi="Garamond"/>
              </w:rPr>
              <w:t>Franc CFA (FCFA)</w:t>
            </w:r>
          </w:p>
        </w:tc>
      </w:tr>
      <w:tr w:rsidR="00C270D2" w:rsidRPr="00E61064" w:rsidTr="00272B35">
        <w:tc>
          <w:tcPr>
            <w:tcW w:w="5954" w:type="dxa"/>
            <w:gridSpan w:val="3"/>
          </w:tcPr>
          <w:p w:rsidR="00CE79B0" w:rsidRDefault="00CE79B0">
            <w:pPr>
              <w:rPr>
                <w:rFonts w:ascii="Garamond" w:hAnsi="Garamond"/>
              </w:rPr>
            </w:pPr>
          </w:p>
        </w:tc>
      </w:tr>
      <w:tr w:rsidR="00C270D2" w:rsidRPr="00E61064" w:rsidTr="00272B35">
        <w:tc>
          <w:tcPr>
            <w:tcW w:w="2835" w:type="dxa"/>
          </w:tcPr>
          <w:p w:rsidR="00C270D2" w:rsidRPr="00E61064" w:rsidRDefault="00C270D2" w:rsidP="00272B35">
            <w:pPr>
              <w:jc w:val="right"/>
              <w:rPr>
                <w:rFonts w:ascii="Garamond" w:hAnsi="Garamond"/>
                <w:b/>
              </w:rPr>
            </w:pPr>
            <w:r w:rsidRPr="00E61064">
              <w:rPr>
                <w:rFonts w:ascii="Garamond" w:hAnsi="Garamond"/>
                <w:b/>
              </w:rPr>
              <w:t xml:space="preserve">1 dollar EU </w:t>
            </w:r>
          </w:p>
        </w:tc>
        <w:tc>
          <w:tcPr>
            <w:tcW w:w="236" w:type="dxa"/>
          </w:tcPr>
          <w:p w:rsidR="00C270D2" w:rsidRPr="00E61064" w:rsidRDefault="00C270D2" w:rsidP="00272B35">
            <w:pPr>
              <w:jc w:val="center"/>
              <w:rPr>
                <w:rFonts w:ascii="Garamond" w:hAnsi="Garamond"/>
                <w:b/>
              </w:rPr>
            </w:pPr>
            <w:r w:rsidRPr="00E61064">
              <w:rPr>
                <w:rFonts w:ascii="Garamond" w:hAnsi="Garamond"/>
                <w:b/>
              </w:rPr>
              <w:t>:</w:t>
            </w:r>
          </w:p>
        </w:tc>
        <w:tc>
          <w:tcPr>
            <w:tcW w:w="2883" w:type="dxa"/>
          </w:tcPr>
          <w:p w:rsidR="00C270D2" w:rsidRPr="00E61064" w:rsidRDefault="00A071CB" w:rsidP="00272B35">
            <w:pPr>
              <w:rPr>
                <w:rFonts w:ascii="Garamond" w:hAnsi="Garamond"/>
              </w:rPr>
            </w:pPr>
            <w:r>
              <w:rPr>
                <w:rFonts w:ascii="Garamond" w:hAnsi="Garamond"/>
              </w:rPr>
              <w:t>500 F</w:t>
            </w:r>
            <w:r w:rsidR="00C270D2" w:rsidRPr="00E61064">
              <w:rPr>
                <w:rFonts w:ascii="Garamond" w:hAnsi="Garamond"/>
              </w:rPr>
              <w:t>CFA</w:t>
            </w:r>
          </w:p>
        </w:tc>
      </w:tr>
    </w:tbl>
    <w:p w:rsidR="00C270D2" w:rsidRPr="00E61064" w:rsidRDefault="00C270D2" w:rsidP="00C270D2">
      <w:pPr>
        <w:jc w:val="center"/>
        <w:rPr>
          <w:rFonts w:ascii="Garamond" w:hAnsi="Garamond"/>
          <w:b/>
        </w:rPr>
      </w:pPr>
    </w:p>
    <w:p w:rsidR="00C270D2" w:rsidRPr="00E61064" w:rsidRDefault="00C270D2" w:rsidP="00C270D2">
      <w:pPr>
        <w:jc w:val="center"/>
        <w:rPr>
          <w:rFonts w:ascii="Garamond" w:hAnsi="Garamond"/>
          <w:b/>
        </w:rPr>
      </w:pPr>
    </w:p>
    <w:p w:rsidR="00C270D2" w:rsidRPr="00E61064" w:rsidRDefault="00C270D2" w:rsidP="00C270D2">
      <w:pPr>
        <w:jc w:val="center"/>
        <w:rPr>
          <w:rFonts w:ascii="Garamond" w:hAnsi="Garamond"/>
          <w:b/>
        </w:rPr>
      </w:pPr>
      <w:r w:rsidRPr="00E61064">
        <w:rPr>
          <w:rFonts w:ascii="Garamond" w:hAnsi="Garamond"/>
          <w:b/>
        </w:rPr>
        <w:t xml:space="preserve">POIDS ET MESURES: </w:t>
      </w:r>
    </w:p>
    <w:p w:rsidR="00C270D2" w:rsidRPr="00B169BB" w:rsidRDefault="00C270D2" w:rsidP="00C270D2">
      <w:pPr>
        <w:spacing w:after="120"/>
        <w:jc w:val="center"/>
        <w:rPr>
          <w:rFonts w:ascii="Garamond" w:hAnsi="Garamond"/>
          <w:b/>
        </w:rPr>
      </w:pPr>
      <w:r w:rsidRPr="00E61064">
        <w:rPr>
          <w:rFonts w:ascii="Garamond" w:hAnsi="Garamond"/>
        </w:rPr>
        <w:t>Système métrique</w:t>
      </w:r>
    </w:p>
    <w:p w:rsidR="00C270D2" w:rsidRDefault="00C270D2" w:rsidP="00C270D2">
      <w:pPr>
        <w:pStyle w:val="Titre1"/>
        <w:rPr>
          <w:rFonts w:ascii="Times New Roman" w:hAnsi="Times New Roman" w:cs="Times New Roman"/>
          <w:sz w:val="28"/>
          <w:szCs w:val="28"/>
        </w:rPr>
      </w:pPr>
    </w:p>
    <w:p w:rsidR="006A0686" w:rsidRDefault="006A0686" w:rsidP="000F7629">
      <w:pPr>
        <w:rPr>
          <w:rFonts w:ascii="Times New Roman" w:hAnsi="Times New Roman"/>
          <w:sz w:val="24"/>
          <w:szCs w:val="24"/>
        </w:rPr>
        <w:sectPr w:rsidR="006A0686" w:rsidSect="001B4547">
          <w:headerReference w:type="default" r:id="rId16"/>
          <w:footerReference w:type="default" r:id="rId17"/>
          <w:pgSz w:w="11906" w:h="16838"/>
          <w:pgMar w:top="293" w:right="1417" w:bottom="567" w:left="1417" w:header="4" w:footer="0"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6D439C" w:rsidTr="006D439C">
        <w:trPr>
          <w:trHeight w:val="912"/>
        </w:trPr>
        <w:tc>
          <w:tcPr>
            <w:tcW w:w="1418" w:type="dxa"/>
            <w:tcBorders>
              <w:right w:val="thinThickSmallGap" w:sz="24" w:space="0" w:color="FFFFFF" w:themeColor="background1"/>
            </w:tcBorders>
            <w:shd w:val="clear" w:color="auto" w:fill="92CDDC" w:themeFill="accent5" w:themeFillTint="99"/>
          </w:tcPr>
          <w:p w:rsidR="006D439C" w:rsidRPr="00494CC8" w:rsidRDefault="006D439C" w:rsidP="003A4C3B">
            <w:pPr>
              <w:pStyle w:val="Titre1"/>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6D439C" w:rsidRPr="002E7181" w:rsidRDefault="00BC7FC6" w:rsidP="003A4C3B">
            <w:pPr>
              <w:spacing w:line="240" w:lineRule="auto"/>
              <w:rPr>
                <w:rFonts w:ascii="Times New Roman" w:hAnsi="Times New Roman"/>
                <w:b/>
                <w:sz w:val="52"/>
                <w:szCs w:val="52"/>
              </w:rPr>
            </w:pPr>
            <w:r>
              <w:rPr>
                <w:rFonts w:ascii="Times New Roman" w:hAnsi="Times New Roman"/>
                <w:b/>
                <w:sz w:val="52"/>
                <w:szCs w:val="52"/>
              </w:rPr>
              <w:t>Sommaire</w:t>
            </w:r>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6D439C" w:rsidRPr="00E04E53" w:rsidRDefault="006D439C" w:rsidP="003A4C3B">
            <w:pPr>
              <w:pStyle w:val="Titre1"/>
              <w:spacing w:line="240" w:lineRule="auto"/>
              <w:jc w:val="center"/>
              <w:outlineLvl w:val="0"/>
              <w:rPr>
                <w:rFonts w:ascii="Times New Roman" w:hAnsi="Times New Roman" w:cs="Times New Roman"/>
                <w:sz w:val="52"/>
                <w:szCs w:val="52"/>
              </w:rPr>
            </w:pPr>
          </w:p>
        </w:tc>
      </w:tr>
    </w:tbl>
    <w:p w:rsidR="005F2FAF" w:rsidRPr="005F2FAF" w:rsidRDefault="005F2FAF" w:rsidP="00DA5BAE">
      <w:pPr>
        <w:pStyle w:val="Titre1"/>
        <w:spacing w:before="0" w:after="0" w:line="240" w:lineRule="auto"/>
        <w:rPr>
          <w:rFonts w:ascii="Times New Roman" w:hAnsi="Times New Roman" w:cs="Times New Roman"/>
          <w:sz w:val="24"/>
          <w:szCs w:val="24"/>
          <w:highlight w:val="yellow"/>
        </w:rPr>
      </w:pPr>
    </w:p>
    <w:p w:rsidR="0066267D" w:rsidRPr="0066267D" w:rsidRDefault="00182C97" w:rsidP="0066267D">
      <w:pPr>
        <w:pStyle w:val="TM1"/>
        <w:spacing w:line="276" w:lineRule="auto"/>
        <w:contextualSpacing/>
        <w:rPr>
          <w:rFonts w:asciiTheme="minorHAnsi" w:eastAsiaTheme="minorEastAsia" w:hAnsiTheme="minorHAnsi" w:cstheme="minorBidi"/>
          <w:b w:val="0"/>
          <w:i w:val="0"/>
          <w:noProof/>
          <w:sz w:val="22"/>
          <w:szCs w:val="22"/>
          <w:lang w:eastAsia="fr-FR"/>
        </w:rPr>
      </w:pPr>
      <w:r w:rsidRPr="0066267D">
        <w:rPr>
          <w:rFonts w:ascii="Times New Roman" w:hAnsi="Times New Roman" w:cs="Times New Roman"/>
          <w:b w:val="0"/>
          <w:i w:val="0"/>
          <w:highlight w:val="yellow"/>
        </w:rPr>
        <w:fldChar w:fldCharType="begin"/>
      </w:r>
      <w:r w:rsidR="001064B7" w:rsidRPr="0066267D">
        <w:rPr>
          <w:rFonts w:ascii="Times New Roman" w:hAnsi="Times New Roman" w:cs="Times New Roman"/>
          <w:b w:val="0"/>
          <w:i w:val="0"/>
          <w:highlight w:val="yellow"/>
        </w:rPr>
        <w:instrText xml:space="preserve"> TOC \o "1-2" \h \z \u </w:instrText>
      </w:r>
      <w:r w:rsidRPr="0066267D">
        <w:rPr>
          <w:rFonts w:ascii="Times New Roman" w:hAnsi="Times New Roman" w:cs="Times New Roman"/>
          <w:b w:val="0"/>
          <w:i w:val="0"/>
          <w:highlight w:val="yellow"/>
        </w:rPr>
        <w:fldChar w:fldCharType="separate"/>
      </w:r>
      <w:hyperlink w:anchor="_Toc382322892" w:history="1">
        <w:r w:rsidR="0066267D" w:rsidRPr="0066267D">
          <w:rPr>
            <w:rStyle w:val="Lienhypertexte"/>
            <w:rFonts w:ascii="Times New Roman" w:hAnsi="Times New Roman" w:cs="Times New Roman"/>
            <w:b w:val="0"/>
            <w:i w:val="0"/>
            <w:noProof/>
            <w:u w:val="none"/>
          </w:rPr>
          <w:t>Preface</w:t>
        </w:r>
        <w:r w:rsidR="0066267D" w:rsidRPr="0066267D">
          <w:rPr>
            <w:b w:val="0"/>
            <w:i w:val="0"/>
            <w:noProof/>
            <w:webHidden/>
          </w:rPr>
          <w:tab/>
        </w:r>
        <w:r w:rsidRPr="0066267D">
          <w:rPr>
            <w:b w:val="0"/>
            <w:i w:val="0"/>
            <w:noProof/>
            <w:webHidden/>
          </w:rPr>
          <w:fldChar w:fldCharType="begin"/>
        </w:r>
        <w:r w:rsidR="0066267D" w:rsidRPr="0066267D">
          <w:rPr>
            <w:b w:val="0"/>
            <w:i w:val="0"/>
            <w:noProof/>
            <w:webHidden/>
          </w:rPr>
          <w:instrText xml:space="preserve"> PAGEREF _Toc382322892 \h </w:instrText>
        </w:r>
        <w:r w:rsidRPr="0066267D">
          <w:rPr>
            <w:b w:val="0"/>
            <w:i w:val="0"/>
            <w:noProof/>
            <w:webHidden/>
          </w:rPr>
        </w:r>
        <w:r w:rsidRPr="0066267D">
          <w:rPr>
            <w:b w:val="0"/>
            <w:i w:val="0"/>
            <w:noProof/>
            <w:webHidden/>
          </w:rPr>
          <w:fldChar w:fldCharType="separate"/>
        </w:r>
        <w:r w:rsidR="00AB1967">
          <w:rPr>
            <w:bCs w:val="0"/>
            <w:i w:val="0"/>
            <w:noProof/>
            <w:webHidden/>
          </w:rPr>
          <w:t>Erreur ! Signet non défini.</w:t>
        </w:r>
        <w:r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893" w:history="1">
        <w:r w:rsidR="0066267D" w:rsidRPr="0066267D">
          <w:rPr>
            <w:rStyle w:val="Lienhypertexte"/>
            <w:rFonts w:ascii="Times New Roman" w:hAnsi="Times New Roman" w:cs="Times New Roman"/>
            <w:b w:val="0"/>
            <w:i w:val="0"/>
            <w:noProof/>
            <w:u w:val="none"/>
          </w:rPr>
          <w:t>Avant-propos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_Toc382322893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6</w:t>
        </w:r>
        <w:r w:rsidR="00182C97"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894" w:history="1">
        <w:r w:rsidR="0066267D" w:rsidRPr="0066267D">
          <w:rPr>
            <w:rStyle w:val="Lienhypertexte"/>
            <w:rFonts w:ascii="Times New Roman" w:hAnsi="Times New Roman" w:cs="Times New Roman"/>
            <w:b w:val="0"/>
            <w:i w:val="0"/>
            <w:noProof/>
            <w:u w:val="none"/>
          </w:rPr>
          <w:t>Remerciements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_Toc382322894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7</w:t>
        </w:r>
        <w:r w:rsidR="00182C97"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895" w:history="1">
        <w:r w:rsidR="0066267D" w:rsidRPr="0066267D">
          <w:rPr>
            <w:rStyle w:val="Lienhypertexte"/>
            <w:rFonts w:ascii="Times New Roman" w:hAnsi="Times New Roman" w:cs="Times New Roman"/>
            <w:b w:val="0"/>
            <w:i w:val="0"/>
            <w:noProof/>
            <w:u w:val="none"/>
          </w:rPr>
          <w:t>Sigles et abréviations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_Toc382322895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8</w:t>
        </w:r>
        <w:r w:rsidR="00182C97"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896" w:history="1">
        <w:r w:rsidR="0066267D" w:rsidRPr="0066267D">
          <w:rPr>
            <w:rStyle w:val="Lienhypertexte"/>
            <w:rFonts w:ascii="Times New Roman" w:hAnsi="Times New Roman" w:cs="Times New Roman"/>
            <w:b w:val="0"/>
            <w:i w:val="0"/>
            <w:noProof/>
            <w:u w:val="none"/>
          </w:rPr>
          <w:t>Liste des tableaux</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_Toc382322896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10</w:t>
        </w:r>
        <w:r w:rsidR="00182C97"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897" w:history="1">
        <w:r w:rsidR="0066267D" w:rsidRPr="0066267D">
          <w:rPr>
            <w:rStyle w:val="Lienhypertexte"/>
            <w:rFonts w:ascii="Times New Roman" w:hAnsi="Times New Roman" w:cs="Times New Roman"/>
            <w:b w:val="0"/>
            <w:i w:val="0"/>
            <w:noProof/>
            <w:u w:val="none"/>
          </w:rPr>
          <w:t>Liste des graphiques et figures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_Toc382322897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12</w:t>
        </w:r>
        <w:r w:rsidR="00182C97"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898" w:history="1">
        <w:r w:rsidR="0066267D" w:rsidRPr="0066267D">
          <w:rPr>
            <w:rStyle w:val="Lienhypertexte"/>
            <w:rFonts w:ascii="Times New Roman" w:hAnsi="Times New Roman" w:cs="Times New Roman"/>
            <w:b w:val="0"/>
            <w:i w:val="0"/>
            <w:noProof/>
            <w:u w:val="none"/>
          </w:rPr>
          <w:t>Résumé exécutif</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_Toc382322898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13</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899" w:history="1">
        <w:r w:rsidR="0066267D" w:rsidRPr="0066267D">
          <w:rPr>
            <w:rStyle w:val="Lienhypertexte"/>
            <w:rFonts w:ascii="Times New Roman" w:hAnsi="Times New Roman" w:cs="Times New Roman"/>
            <w:b w:val="0"/>
            <w:noProof/>
            <w:u w:val="none"/>
          </w:rPr>
          <w:t>Evolution de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_Toc382322899 \h </w:instrText>
        </w:r>
        <w:r w:rsidR="00182C97" w:rsidRPr="0066267D">
          <w:rPr>
            <w:b w:val="0"/>
            <w:noProof/>
            <w:webHidden/>
          </w:rPr>
        </w:r>
        <w:r w:rsidR="00182C97" w:rsidRPr="0066267D">
          <w:rPr>
            <w:b w:val="0"/>
            <w:noProof/>
            <w:webHidden/>
          </w:rPr>
          <w:fldChar w:fldCharType="separate"/>
        </w:r>
        <w:r w:rsidR="00AB1967">
          <w:rPr>
            <w:b w:val="0"/>
            <w:noProof/>
            <w:webHidden/>
          </w:rPr>
          <w:t>14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0" w:history="1">
        <w:r w:rsidR="0066267D" w:rsidRPr="0066267D">
          <w:rPr>
            <w:rStyle w:val="Lienhypertexte"/>
            <w:rFonts w:ascii="Times New Roman" w:hAnsi="Times New Roman" w:cs="Times New Roman"/>
            <w:b w:val="0"/>
            <w:noProof/>
            <w:u w:val="none"/>
          </w:rPr>
          <w:t>Corrélation entre croissance et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_Toc382322900 \h </w:instrText>
        </w:r>
        <w:r w:rsidR="00182C97" w:rsidRPr="0066267D">
          <w:rPr>
            <w:b w:val="0"/>
            <w:noProof/>
            <w:webHidden/>
          </w:rPr>
        </w:r>
        <w:r w:rsidR="00182C97" w:rsidRPr="0066267D">
          <w:rPr>
            <w:b w:val="0"/>
            <w:noProof/>
            <w:webHidden/>
          </w:rPr>
          <w:fldChar w:fldCharType="separate"/>
        </w:r>
        <w:r w:rsidR="00AB1967">
          <w:rPr>
            <w:b w:val="0"/>
            <w:noProof/>
            <w:webHidden/>
          </w:rPr>
          <w:t>16</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1" w:history="1">
        <w:r w:rsidR="0066267D" w:rsidRPr="0066267D">
          <w:rPr>
            <w:rStyle w:val="Lienhypertexte"/>
            <w:rFonts w:ascii="Times New Roman" w:hAnsi="Times New Roman" w:cs="Times New Roman"/>
            <w:b w:val="0"/>
            <w:noProof/>
            <w:u w:val="none"/>
          </w:rPr>
          <w:t>Chocs, vulnérabilités et stratégies d’adaptation des ménages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_Toc382322901 \h </w:instrText>
        </w:r>
        <w:r w:rsidR="00182C97" w:rsidRPr="0066267D">
          <w:rPr>
            <w:b w:val="0"/>
            <w:noProof/>
            <w:webHidden/>
          </w:rPr>
        </w:r>
        <w:r w:rsidR="00182C97" w:rsidRPr="0066267D">
          <w:rPr>
            <w:b w:val="0"/>
            <w:noProof/>
            <w:webHidden/>
          </w:rPr>
          <w:fldChar w:fldCharType="separate"/>
        </w:r>
        <w:r w:rsidR="00AB1967">
          <w:rPr>
            <w:b w:val="0"/>
            <w:noProof/>
            <w:webHidden/>
          </w:rPr>
          <w:t>22</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2" w:history="1">
        <w:r w:rsidR="0066267D" w:rsidRPr="0066267D">
          <w:rPr>
            <w:rStyle w:val="Lienhypertexte"/>
            <w:rFonts w:ascii="Times New Roman" w:hAnsi="Times New Roman" w:cs="Times New Roman"/>
            <w:b w:val="0"/>
            <w:noProof/>
            <w:u w:val="none"/>
          </w:rPr>
          <w:t>Politiques budgétaires et réduction de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_Toc382322902 \h </w:instrText>
        </w:r>
        <w:r w:rsidR="00182C97" w:rsidRPr="0066267D">
          <w:rPr>
            <w:b w:val="0"/>
            <w:noProof/>
            <w:webHidden/>
          </w:rPr>
        </w:r>
        <w:r w:rsidR="00182C97" w:rsidRPr="0066267D">
          <w:rPr>
            <w:b w:val="0"/>
            <w:noProof/>
            <w:webHidden/>
          </w:rPr>
          <w:fldChar w:fldCharType="separate"/>
        </w:r>
        <w:r w:rsidR="00AB1967">
          <w:rPr>
            <w:b w:val="0"/>
            <w:noProof/>
            <w:webHidden/>
          </w:rPr>
          <w:t>24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3" w:history="1">
        <w:r w:rsidR="0066267D" w:rsidRPr="0066267D">
          <w:rPr>
            <w:rStyle w:val="Lienhypertexte"/>
            <w:rFonts w:ascii="Times New Roman" w:hAnsi="Times New Roman" w:cs="Times New Roman"/>
            <w:b w:val="0"/>
            <w:noProof/>
            <w:u w:val="none"/>
          </w:rPr>
          <w:t>Politique de l’emploi et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_Toc382322903 \h </w:instrText>
        </w:r>
        <w:r w:rsidR="00182C97" w:rsidRPr="0066267D">
          <w:rPr>
            <w:b w:val="0"/>
            <w:noProof/>
            <w:webHidden/>
          </w:rPr>
        </w:r>
        <w:r w:rsidR="00182C97" w:rsidRPr="0066267D">
          <w:rPr>
            <w:b w:val="0"/>
            <w:noProof/>
            <w:webHidden/>
          </w:rPr>
          <w:fldChar w:fldCharType="separate"/>
        </w:r>
        <w:r w:rsidR="00AB1967">
          <w:rPr>
            <w:b w:val="0"/>
            <w:noProof/>
            <w:webHidden/>
          </w:rPr>
          <w:t>27</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4" w:history="1">
        <w:r w:rsidR="0066267D" w:rsidRPr="0066267D">
          <w:rPr>
            <w:rStyle w:val="Lienhypertexte"/>
            <w:rFonts w:ascii="Times New Roman" w:hAnsi="Times New Roman" w:cs="Times New Roman"/>
            <w:b w:val="0"/>
            <w:noProof/>
            <w:u w:val="none"/>
          </w:rPr>
          <w:t>Inégalités d’accès entre sexes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_Toc382322904 \h </w:instrText>
        </w:r>
        <w:r w:rsidR="00182C97" w:rsidRPr="0066267D">
          <w:rPr>
            <w:b w:val="0"/>
            <w:noProof/>
            <w:webHidden/>
          </w:rPr>
        </w:r>
        <w:r w:rsidR="00182C97" w:rsidRPr="0066267D">
          <w:rPr>
            <w:b w:val="0"/>
            <w:noProof/>
            <w:webHidden/>
          </w:rPr>
          <w:fldChar w:fldCharType="separate"/>
        </w:r>
        <w:r w:rsidR="00AB1967">
          <w:rPr>
            <w:b w:val="0"/>
            <w:noProof/>
            <w:webHidden/>
          </w:rPr>
          <w:t>29</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5" w:history="1">
        <w:r w:rsidR="0066267D" w:rsidRPr="0066267D">
          <w:rPr>
            <w:rStyle w:val="Lienhypertexte"/>
            <w:rFonts w:ascii="Times New Roman" w:hAnsi="Times New Roman" w:cs="Times New Roman"/>
            <w:b w:val="0"/>
            <w:noProof/>
            <w:u w:val="none"/>
          </w:rPr>
          <w:t>Dispositif de suivi</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_Toc382322905 \h </w:instrText>
        </w:r>
        <w:r w:rsidR="00182C97" w:rsidRPr="0066267D">
          <w:rPr>
            <w:b w:val="0"/>
            <w:noProof/>
            <w:webHidden/>
          </w:rPr>
        </w:r>
        <w:r w:rsidR="00182C97" w:rsidRPr="0066267D">
          <w:rPr>
            <w:b w:val="0"/>
            <w:noProof/>
            <w:webHidden/>
          </w:rPr>
          <w:fldChar w:fldCharType="separate"/>
        </w:r>
        <w:r w:rsidR="00AB1967">
          <w:rPr>
            <w:b w:val="0"/>
            <w:noProof/>
            <w:webHidden/>
          </w:rPr>
          <w:t>29</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06" w:history="1">
        <w:r w:rsidR="0066267D" w:rsidRPr="0066267D">
          <w:rPr>
            <w:rStyle w:val="Lienhypertexte"/>
            <w:rFonts w:ascii="Times New Roman" w:hAnsi="Times New Roman" w:cs="Times New Roman"/>
            <w:b w:val="0"/>
            <w:i w:val="0"/>
            <w:noProof/>
            <w:u w:val="none"/>
          </w:rPr>
          <w:t>CHAPITRE</w:t>
        </w:r>
      </w:hyperlink>
      <w:r w:rsidR="0066267D">
        <w:rPr>
          <w:rStyle w:val="Lienhypertexte"/>
          <w:b w:val="0"/>
          <w:i w:val="0"/>
          <w:noProof/>
          <w:u w:val="none"/>
        </w:rPr>
        <w:t xml:space="preserve">: </w:t>
      </w:r>
      <w:hyperlink w:anchor="_Toc382322907" w:history="1">
        <w:r w:rsidR="0066267D" w:rsidRPr="0066267D">
          <w:rPr>
            <w:rStyle w:val="Lienhypertexte"/>
            <w:rFonts w:ascii="Times New Roman" w:hAnsi="Times New Roman" w:cs="Times New Roman"/>
            <w:b w:val="0"/>
            <w:i w:val="0"/>
            <w:noProof/>
            <w:u w:val="none"/>
          </w:rPr>
          <w:t>INTRODUCTIF</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_Toc382322907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31</w:t>
        </w:r>
        <w:r w:rsidR="00182C97" w:rsidRPr="0066267D">
          <w:rPr>
            <w:b w:val="0"/>
            <w:i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08" w:history="1">
        <w:r w:rsidR="0066267D" w:rsidRPr="0066267D">
          <w:rPr>
            <w:rStyle w:val="Lienhypertexte"/>
            <w:rFonts w:ascii="Times New Roman" w:hAnsi="Times New Roman" w:cs="Times New Roman"/>
            <w:b w:val="0"/>
            <w:i w:val="0"/>
            <w:noProof/>
            <w:u w:val="none"/>
          </w:rPr>
          <w:t>Pourquoi une analyse approfondie de la pauvreté au Bénin ?</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_Toc382322908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31</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09" w:history="1">
        <w:r w:rsidR="0066267D" w:rsidRPr="0066267D">
          <w:rPr>
            <w:rStyle w:val="Lienhypertexte"/>
            <w:rFonts w:ascii="Times New Roman" w:hAnsi="Times New Roman" w:cs="Times New Roman"/>
            <w:b w:val="0"/>
            <w:noProof/>
            <w:u w:val="none"/>
          </w:rPr>
          <w:t>Contexte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_Toc382322909 \h </w:instrText>
        </w:r>
        <w:r w:rsidR="00182C97" w:rsidRPr="0066267D">
          <w:rPr>
            <w:b w:val="0"/>
            <w:noProof/>
            <w:webHidden/>
          </w:rPr>
        </w:r>
        <w:r w:rsidR="00182C97" w:rsidRPr="0066267D">
          <w:rPr>
            <w:b w:val="0"/>
            <w:noProof/>
            <w:webHidden/>
          </w:rPr>
          <w:fldChar w:fldCharType="separate"/>
        </w:r>
        <w:r w:rsidR="00AB1967">
          <w:rPr>
            <w:b w:val="0"/>
            <w:noProof/>
            <w:webHidden/>
          </w:rPr>
          <w:t>31</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0" w:history="1">
        <w:r w:rsidR="0066267D" w:rsidRPr="0066267D">
          <w:rPr>
            <w:rStyle w:val="Lienhypertexte"/>
            <w:rFonts w:ascii="Times New Roman" w:hAnsi="Times New Roman" w:cs="Times New Roman"/>
            <w:b w:val="0"/>
            <w:noProof/>
            <w:u w:val="none"/>
          </w:rPr>
          <w:t>Justification et objectifs de l’évaluation et Principales questions à examiner dans l’évaluation de la pauvreté envisagée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_Toc382322910 \h </w:instrText>
        </w:r>
        <w:r w:rsidR="00182C97" w:rsidRPr="0066267D">
          <w:rPr>
            <w:b w:val="0"/>
            <w:noProof/>
            <w:webHidden/>
          </w:rPr>
        </w:r>
        <w:r w:rsidR="00182C97" w:rsidRPr="0066267D">
          <w:rPr>
            <w:b w:val="0"/>
            <w:noProof/>
            <w:webHidden/>
          </w:rPr>
          <w:fldChar w:fldCharType="separate"/>
        </w:r>
        <w:r w:rsidR="00AB1967">
          <w:rPr>
            <w:b w:val="0"/>
            <w:noProof/>
            <w:webHidden/>
          </w:rPr>
          <w:t>33</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1" w:history="1">
        <w:r w:rsidR="0066267D" w:rsidRPr="0066267D">
          <w:rPr>
            <w:rStyle w:val="Lienhypertexte"/>
            <w:rFonts w:ascii="Times New Roman" w:hAnsi="Times New Roman" w:cs="Times New Roman"/>
            <w:b w:val="0"/>
            <w:noProof/>
            <w:u w:val="none"/>
          </w:rPr>
          <w:t>Démarche méthodologique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_Toc382322911 \h </w:instrText>
        </w:r>
        <w:r w:rsidR="00182C97" w:rsidRPr="0066267D">
          <w:rPr>
            <w:b w:val="0"/>
            <w:noProof/>
            <w:webHidden/>
          </w:rPr>
        </w:r>
        <w:r w:rsidR="00182C97" w:rsidRPr="0066267D">
          <w:rPr>
            <w:b w:val="0"/>
            <w:noProof/>
            <w:webHidden/>
          </w:rPr>
          <w:fldChar w:fldCharType="separate"/>
        </w:r>
        <w:r w:rsidR="00AB1967">
          <w:rPr>
            <w:b w:val="0"/>
            <w:noProof/>
            <w:webHidden/>
          </w:rPr>
          <w:t>36</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12"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13" w:history="1">
        <w:r w:rsidR="0066267D" w:rsidRPr="0066267D">
          <w:rPr>
            <w:rStyle w:val="Lienhypertexte"/>
            <w:rFonts w:ascii="Times New Roman" w:hAnsi="Times New Roman" w:cs="Times New Roman"/>
            <w:b w:val="0"/>
            <w:i w:val="0"/>
            <w:noProof/>
            <w:u w:val="none"/>
          </w:rPr>
          <w:t>1</w:t>
        </w:r>
        <w:r w:rsidR="0066267D">
          <w:rPr>
            <w:rStyle w:val="Lienhypertexte"/>
            <w:rFonts w:ascii="Times New Roman" w:hAnsi="Times New Roman" w:cs="Times New Roman"/>
            <w:b w:val="0"/>
            <w:i w:val="0"/>
            <w:noProof/>
            <w:u w:val="none"/>
          </w:rPr>
          <w:t> :</w:t>
        </w:r>
      </w:hyperlink>
      <w:r w:rsidR="0066267D">
        <w:rPr>
          <w:rStyle w:val="Lienhypertexte"/>
          <w:b w:val="0"/>
          <w:i w:val="0"/>
          <w:noProof/>
          <w:u w:val="none"/>
        </w:rPr>
        <w:t xml:space="preserve"> </w:t>
      </w:r>
      <w:hyperlink w:anchor="_Toc382322914" w:history="1">
        <w:r w:rsidR="0066267D" w:rsidRPr="0066267D">
          <w:rPr>
            <w:rStyle w:val="Lienhypertexte"/>
            <w:rFonts w:ascii="Times New Roman" w:hAnsi="Times New Roman" w:cs="Times New Roman"/>
            <w:b w:val="0"/>
            <w:i w:val="0"/>
            <w:noProof/>
            <w:u w:val="none"/>
          </w:rPr>
          <w:t>Profil et dynamique de la pauvreté au Bénin</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_Toc382322914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37</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5" w:history="1">
        <w:r w:rsidR="0066267D" w:rsidRPr="0066267D">
          <w:rPr>
            <w:rStyle w:val="Lienhypertexte"/>
            <w:rFonts w:ascii="Times New Roman" w:hAnsi="Times New Roman" w:cs="Times New Roman"/>
            <w:b w:val="0"/>
            <w:noProof/>
            <w:u w:val="none"/>
          </w:rPr>
          <w:t>1.1 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_Toc382322915 \h </w:instrText>
        </w:r>
        <w:r w:rsidR="00182C97" w:rsidRPr="0066267D">
          <w:rPr>
            <w:b w:val="0"/>
            <w:noProof/>
            <w:webHidden/>
          </w:rPr>
        </w:r>
        <w:r w:rsidR="00182C97" w:rsidRPr="0066267D">
          <w:rPr>
            <w:b w:val="0"/>
            <w:noProof/>
            <w:webHidden/>
          </w:rPr>
          <w:fldChar w:fldCharType="separate"/>
        </w:r>
        <w:r w:rsidR="00AB1967">
          <w:rPr>
            <w:b w:val="0"/>
            <w:noProof/>
            <w:webHidden/>
          </w:rPr>
          <w:t>37</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6" w:history="1">
        <w:r w:rsidR="0066267D" w:rsidRPr="0066267D">
          <w:rPr>
            <w:rStyle w:val="Lienhypertexte"/>
            <w:rFonts w:ascii="Times New Roman" w:hAnsi="Times New Roman" w:cs="Times New Roman"/>
            <w:b w:val="0"/>
            <w:noProof/>
            <w:u w:val="none"/>
          </w:rPr>
          <w:t>1.2 Analyse du profil de pauvreté au Bénin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_Toc382322916 \h </w:instrText>
        </w:r>
        <w:r w:rsidR="00182C97" w:rsidRPr="0066267D">
          <w:rPr>
            <w:b w:val="0"/>
            <w:noProof/>
            <w:webHidden/>
          </w:rPr>
        </w:r>
        <w:r w:rsidR="00182C97" w:rsidRPr="0066267D">
          <w:rPr>
            <w:b w:val="0"/>
            <w:noProof/>
            <w:webHidden/>
          </w:rPr>
          <w:fldChar w:fldCharType="separate"/>
        </w:r>
        <w:r w:rsidR="00AB1967">
          <w:rPr>
            <w:b w:val="0"/>
            <w:noProof/>
            <w:webHidden/>
          </w:rPr>
          <w:t>37</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7" w:history="1">
        <w:r w:rsidR="0066267D" w:rsidRPr="0066267D">
          <w:rPr>
            <w:rStyle w:val="Lienhypertexte"/>
            <w:rFonts w:ascii="Times New Roman" w:hAnsi="Times New Roman"/>
            <w:b w:val="0"/>
            <w:noProof/>
            <w:u w:val="none"/>
          </w:rPr>
          <w:t>1</w:t>
        </w:r>
        <w:r w:rsidR="0066267D" w:rsidRPr="0066267D">
          <w:rPr>
            <w:rStyle w:val="Lienhypertexte"/>
            <w:rFonts w:ascii="Times New Roman" w:hAnsi="Times New Roman" w:cs="Times New Roman"/>
            <w:b w:val="0"/>
            <w:noProof/>
            <w:u w:val="none"/>
          </w:rPr>
          <w:t>.3 Analyse de la mobilité des ménages dans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_Toc382322917 \h </w:instrText>
        </w:r>
        <w:r w:rsidR="00182C97" w:rsidRPr="0066267D">
          <w:rPr>
            <w:b w:val="0"/>
            <w:noProof/>
            <w:webHidden/>
          </w:rPr>
        </w:r>
        <w:r w:rsidR="00182C97" w:rsidRPr="0066267D">
          <w:rPr>
            <w:b w:val="0"/>
            <w:noProof/>
            <w:webHidden/>
          </w:rPr>
          <w:fldChar w:fldCharType="separate"/>
        </w:r>
        <w:r w:rsidR="00AB1967">
          <w:rPr>
            <w:b w:val="0"/>
            <w:noProof/>
            <w:webHidden/>
          </w:rPr>
          <w:t>53</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8" w:history="1">
        <w:r w:rsidR="0066267D" w:rsidRPr="0066267D">
          <w:rPr>
            <w:rStyle w:val="Lienhypertexte"/>
            <w:rFonts w:ascii="Times New Roman" w:hAnsi="Times New Roman" w:cs="Times New Roman"/>
            <w:b w:val="0"/>
            <w:noProof/>
            <w:u w:val="none"/>
          </w:rPr>
          <w:t>1.4  Les déterminants de la mobilité des ménages dans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_Toc382322918 \h </w:instrText>
        </w:r>
        <w:r w:rsidR="00182C97" w:rsidRPr="0066267D">
          <w:rPr>
            <w:b w:val="0"/>
            <w:noProof/>
            <w:webHidden/>
          </w:rPr>
        </w:r>
        <w:r w:rsidR="00182C97" w:rsidRPr="0066267D">
          <w:rPr>
            <w:b w:val="0"/>
            <w:noProof/>
            <w:webHidden/>
          </w:rPr>
          <w:fldChar w:fldCharType="separate"/>
        </w:r>
        <w:r w:rsidR="00AB1967">
          <w:rPr>
            <w:b w:val="0"/>
            <w:noProof/>
            <w:webHidden/>
          </w:rPr>
          <w:t>60</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19" w:history="1">
        <w:r w:rsidR="0066267D" w:rsidRPr="0066267D">
          <w:rPr>
            <w:rStyle w:val="Lienhypertexte"/>
            <w:rFonts w:ascii="Times New Roman" w:hAnsi="Times New Roman"/>
            <w:b w:val="0"/>
            <w:noProof/>
            <w:u w:val="none"/>
          </w:rPr>
          <w:t>1</w:t>
        </w:r>
        <w:r w:rsidR="0066267D" w:rsidRPr="0066267D">
          <w:rPr>
            <w:rStyle w:val="Lienhypertexte"/>
            <w:rFonts w:ascii="Times New Roman" w:hAnsi="Times New Roman" w:cs="Times New Roman"/>
            <w:b w:val="0"/>
            <w:noProof/>
            <w:u w:val="none"/>
          </w:rPr>
          <w:t>.5 Conclusion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_Toc382322919 \h </w:instrText>
        </w:r>
        <w:r w:rsidR="00182C97" w:rsidRPr="0066267D">
          <w:rPr>
            <w:b w:val="0"/>
            <w:noProof/>
            <w:webHidden/>
          </w:rPr>
        </w:r>
        <w:r w:rsidR="00182C97" w:rsidRPr="0066267D">
          <w:rPr>
            <w:b w:val="0"/>
            <w:noProof/>
            <w:webHidden/>
          </w:rPr>
          <w:fldChar w:fldCharType="separate"/>
        </w:r>
        <w:r w:rsidR="00AB1967">
          <w:rPr>
            <w:b w:val="0"/>
            <w:noProof/>
            <w:webHidden/>
          </w:rPr>
          <w:t>72</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20"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21" w:history="1">
        <w:r w:rsidR="0066267D" w:rsidRPr="0066267D">
          <w:rPr>
            <w:rStyle w:val="Lienhypertexte"/>
            <w:rFonts w:ascii="Times New Roman" w:hAnsi="Times New Roman" w:cs="Times New Roman"/>
            <w:b w:val="0"/>
            <w:i w:val="0"/>
            <w:noProof/>
            <w:u w:val="none"/>
          </w:rPr>
          <w:t>2</w:t>
        </w:r>
        <w:r w:rsidR="0066267D">
          <w:rPr>
            <w:rStyle w:val="Lienhypertexte"/>
            <w:rFonts w:ascii="Times New Roman" w:hAnsi="Times New Roman" w:cs="Times New Roman"/>
            <w:b w:val="0"/>
            <w:i w:val="0"/>
            <w:noProof/>
            <w:u w:val="none"/>
          </w:rPr>
          <w:t> :</w:t>
        </w:r>
      </w:hyperlink>
      <w:r w:rsidR="0066267D">
        <w:rPr>
          <w:rStyle w:val="Lienhypertexte"/>
          <w:b w:val="0"/>
          <w:i w:val="0"/>
          <w:noProof/>
          <w:u w:val="none"/>
        </w:rPr>
        <w:t xml:space="preserve"> </w:t>
      </w:r>
      <w:hyperlink w:anchor="_Toc382322922" w:history="1">
        <w:r w:rsidR="0066267D" w:rsidRPr="0066267D">
          <w:rPr>
            <w:rStyle w:val="Lienhypertexte"/>
            <w:rFonts w:ascii="Times New Roman" w:hAnsi="Times New Roman" w:cs="Times New Roman"/>
            <w:b w:val="0"/>
            <w:i w:val="0"/>
            <w:noProof/>
            <w:u w:val="none"/>
          </w:rPr>
          <w:t>Croissance économique et réduction de la pauvreté au Bénin</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_Toc382322922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74</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23" w:history="1">
        <w:r w:rsidR="0066267D" w:rsidRPr="0066267D">
          <w:rPr>
            <w:rStyle w:val="Lienhypertexte"/>
            <w:rFonts w:ascii="Times New Roman" w:hAnsi="Times New Roman" w:cs="Times New Roman"/>
            <w:b w:val="0"/>
            <w:noProof/>
            <w:u w:val="none"/>
          </w:rPr>
          <w:t>2.1Introduction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_Toc382322923 \h </w:instrText>
        </w:r>
        <w:r w:rsidR="00182C97" w:rsidRPr="0066267D">
          <w:rPr>
            <w:b w:val="0"/>
            <w:noProof/>
            <w:webHidden/>
          </w:rPr>
        </w:r>
        <w:r w:rsidR="00182C97" w:rsidRPr="0066267D">
          <w:rPr>
            <w:b w:val="0"/>
            <w:noProof/>
            <w:webHidden/>
          </w:rPr>
          <w:fldChar w:fldCharType="separate"/>
        </w:r>
        <w:r w:rsidR="00AB1967">
          <w:rPr>
            <w:b w:val="0"/>
            <w:noProof/>
            <w:webHidden/>
          </w:rPr>
          <w:t>74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24" w:history="1">
        <w:r w:rsidR="0066267D" w:rsidRPr="0066267D">
          <w:rPr>
            <w:rStyle w:val="Lienhypertexte"/>
            <w:rFonts w:ascii="Times New Roman" w:hAnsi="Times New Roman" w:cs="Times New Roman"/>
            <w:b w:val="0"/>
            <w:noProof/>
            <w:u w:val="none"/>
          </w:rPr>
          <w:t>2.2 Evolution et performance de l’économie béninoise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_Toc382322924 \h </w:instrText>
        </w:r>
        <w:r w:rsidR="00182C97" w:rsidRPr="0066267D">
          <w:rPr>
            <w:b w:val="0"/>
            <w:noProof/>
            <w:webHidden/>
          </w:rPr>
        </w:r>
        <w:r w:rsidR="00182C97" w:rsidRPr="0066267D">
          <w:rPr>
            <w:b w:val="0"/>
            <w:noProof/>
            <w:webHidden/>
          </w:rPr>
          <w:fldChar w:fldCharType="separate"/>
        </w:r>
        <w:r w:rsidR="00AB1967">
          <w:rPr>
            <w:b w:val="0"/>
            <w:noProof/>
            <w:webHidden/>
          </w:rPr>
          <w:t>74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25" w:history="1">
        <w:r w:rsidR="0066267D" w:rsidRPr="0066267D">
          <w:rPr>
            <w:rStyle w:val="Lienhypertexte"/>
            <w:rFonts w:ascii="Times New Roman" w:hAnsi="Times New Roman" w:cs="Times New Roman"/>
            <w:b w:val="0"/>
            <w:noProof/>
            <w:u w:val="none"/>
          </w:rPr>
          <w:t>2.3 Analyse de la nature pro-pauvre de la croissance et de sa contribution à la réduction de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_Toc382322925 \h </w:instrText>
        </w:r>
        <w:r w:rsidR="00182C97" w:rsidRPr="0066267D">
          <w:rPr>
            <w:b w:val="0"/>
            <w:noProof/>
            <w:webHidden/>
          </w:rPr>
        </w:r>
        <w:r w:rsidR="00182C97" w:rsidRPr="0066267D">
          <w:rPr>
            <w:b w:val="0"/>
            <w:noProof/>
            <w:webHidden/>
          </w:rPr>
          <w:fldChar w:fldCharType="separate"/>
        </w:r>
        <w:r w:rsidR="00AB1967">
          <w:rPr>
            <w:b w:val="0"/>
            <w:noProof/>
            <w:webHidden/>
          </w:rPr>
          <w:t>89</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26" w:history="1">
        <w:r w:rsidR="0066267D" w:rsidRPr="0066267D">
          <w:rPr>
            <w:rStyle w:val="Lienhypertexte"/>
            <w:rFonts w:ascii="Times New Roman" w:hAnsi="Times New Roman" w:cs="Times New Roman"/>
            <w:b w:val="0"/>
            <w:noProof/>
            <w:u w:val="none"/>
            <w:lang w:eastAsia="fr-FR"/>
          </w:rPr>
          <w:t>2.4  Conclusion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_Toc382322926 \h </w:instrText>
        </w:r>
        <w:r w:rsidR="00182C97" w:rsidRPr="0066267D">
          <w:rPr>
            <w:b w:val="0"/>
            <w:noProof/>
            <w:webHidden/>
          </w:rPr>
        </w:r>
        <w:r w:rsidR="00182C97" w:rsidRPr="0066267D">
          <w:rPr>
            <w:b w:val="0"/>
            <w:noProof/>
            <w:webHidden/>
          </w:rPr>
          <w:fldChar w:fldCharType="separate"/>
        </w:r>
        <w:r w:rsidR="00AB1967">
          <w:rPr>
            <w:b w:val="0"/>
            <w:noProof/>
            <w:webHidden/>
          </w:rPr>
          <w:t>97</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27"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28" w:history="1">
        <w:r w:rsidR="0066267D" w:rsidRPr="0066267D">
          <w:rPr>
            <w:rStyle w:val="Lienhypertexte"/>
            <w:rFonts w:ascii="Times New Roman" w:hAnsi="Times New Roman" w:cs="Times New Roman"/>
            <w:b w:val="0"/>
            <w:i w:val="0"/>
            <w:noProof/>
            <w:u w:val="none"/>
          </w:rPr>
          <w:t>3</w:t>
        </w:r>
        <w:r w:rsidR="0066267D">
          <w:rPr>
            <w:rStyle w:val="Lienhypertexte"/>
            <w:rFonts w:ascii="Times New Roman" w:hAnsi="Times New Roman" w:cs="Times New Roman"/>
            <w:b w:val="0"/>
            <w:i w:val="0"/>
            <w:noProof/>
            <w:u w:val="none"/>
          </w:rPr>
          <w:t xml:space="preserve"> : </w:t>
        </w:r>
      </w:hyperlink>
      <w:hyperlink w:anchor="_Toc382322929" w:history="1">
        <w:r w:rsidR="0066267D" w:rsidRPr="0066267D">
          <w:rPr>
            <w:rStyle w:val="Lienhypertexte"/>
            <w:rFonts w:ascii="Times New Roman" w:hAnsi="Times New Roman"/>
            <w:b w:val="0"/>
            <w:i w:val="0"/>
            <w:noProof/>
            <w:u w:val="none"/>
          </w:rPr>
          <w:t>Chocs, vulnérabilités et stratégies d’adaptation des ménages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_Toc382322929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98</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0" w:history="1">
        <w:r w:rsidR="0066267D" w:rsidRPr="0066267D">
          <w:rPr>
            <w:rStyle w:val="Lienhypertexte"/>
            <w:rFonts w:ascii="Times New Roman" w:hAnsi="Times New Roman"/>
            <w:b w:val="0"/>
            <w:noProof/>
            <w:u w:val="none"/>
          </w:rPr>
          <w:t>3.1  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_Toc382322930 \h </w:instrText>
        </w:r>
        <w:r w:rsidR="00182C97" w:rsidRPr="0066267D">
          <w:rPr>
            <w:b w:val="0"/>
            <w:noProof/>
            <w:webHidden/>
          </w:rPr>
        </w:r>
        <w:r w:rsidR="00182C97" w:rsidRPr="0066267D">
          <w:rPr>
            <w:b w:val="0"/>
            <w:noProof/>
            <w:webHidden/>
          </w:rPr>
          <w:fldChar w:fldCharType="separate"/>
        </w:r>
        <w:r w:rsidR="00AB1967">
          <w:rPr>
            <w:b w:val="0"/>
            <w:noProof/>
            <w:webHidden/>
          </w:rPr>
          <w:t>98</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1" w:history="1">
        <w:r w:rsidR="0066267D" w:rsidRPr="0066267D">
          <w:rPr>
            <w:rStyle w:val="Lienhypertexte"/>
            <w:rFonts w:ascii="Times New Roman" w:hAnsi="Times New Roman"/>
            <w:b w:val="0"/>
            <w:noProof/>
            <w:u w:val="none"/>
          </w:rPr>
          <w:t>3.2  Analyse de la prévalence des chocs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_Toc382322931 \h </w:instrText>
        </w:r>
        <w:r w:rsidR="00182C97" w:rsidRPr="0066267D">
          <w:rPr>
            <w:b w:val="0"/>
            <w:noProof/>
            <w:webHidden/>
          </w:rPr>
        </w:r>
        <w:r w:rsidR="00182C97" w:rsidRPr="0066267D">
          <w:rPr>
            <w:b w:val="0"/>
            <w:noProof/>
            <w:webHidden/>
          </w:rPr>
          <w:fldChar w:fldCharType="separate"/>
        </w:r>
        <w:r w:rsidR="00AB1967">
          <w:rPr>
            <w:b w:val="0"/>
            <w:noProof/>
            <w:webHidden/>
          </w:rPr>
          <w:t>98</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2" w:history="1">
        <w:r w:rsidR="0066267D" w:rsidRPr="0066267D">
          <w:rPr>
            <w:rStyle w:val="Lienhypertexte"/>
            <w:rFonts w:ascii="Times New Roman" w:hAnsi="Times New Roman"/>
            <w:b w:val="0"/>
            <w:noProof/>
            <w:u w:val="none"/>
          </w:rPr>
          <w:t>3.3  Stratégies d’adaptation des ménages face aux chocs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_Toc382322932 \h </w:instrText>
        </w:r>
        <w:r w:rsidR="00182C97" w:rsidRPr="0066267D">
          <w:rPr>
            <w:b w:val="0"/>
            <w:noProof/>
            <w:webHidden/>
          </w:rPr>
        </w:r>
        <w:r w:rsidR="00182C97" w:rsidRPr="0066267D">
          <w:rPr>
            <w:b w:val="0"/>
            <w:noProof/>
            <w:webHidden/>
          </w:rPr>
          <w:fldChar w:fldCharType="separate"/>
        </w:r>
        <w:r w:rsidR="00AB1967">
          <w:rPr>
            <w:b w:val="0"/>
            <w:noProof/>
            <w:webHidden/>
          </w:rPr>
          <w:t>103</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3" w:history="1">
        <w:r w:rsidR="0066267D" w:rsidRPr="0066267D">
          <w:rPr>
            <w:rStyle w:val="Lienhypertexte"/>
            <w:rFonts w:ascii="Times New Roman" w:hAnsi="Times New Roman"/>
            <w:b w:val="0"/>
            <w:noProof/>
            <w:u w:val="none"/>
          </w:rPr>
          <w:t>3.4 Stratégies d’adaptation et mobilité dans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_Toc382322933 \h </w:instrText>
        </w:r>
        <w:r w:rsidR="00182C97" w:rsidRPr="0066267D">
          <w:rPr>
            <w:b w:val="0"/>
            <w:noProof/>
            <w:webHidden/>
          </w:rPr>
        </w:r>
        <w:r w:rsidR="00182C97" w:rsidRPr="0066267D">
          <w:rPr>
            <w:b w:val="0"/>
            <w:noProof/>
            <w:webHidden/>
          </w:rPr>
          <w:fldChar w:fldCharType="separate"/>
        </w:r>
        <w:r w:rsidR="00AB1967">
          <w:rPr>
            <w:b w:val="0"/>
            <w:noProof/>
            <w:webHidden/>
          </w:rPr>
          <w:t>107</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4" w:history="1">
        <w:r w:rsidR="0066267D" w:rsidRPr="0066267D">
          <w:rPr>
            <w:rStyle w:val="Lienhypertexte"/>
            <w:rFonts w:ascii="Times New Roman" w:hAnsi="Times New Roman"/>
            <w:b w:val="0"/>
            <w:noProof/>
            <w:u w:val="none"/>
          </w:rPr>
          <w:t>3.6  Conclusion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_Toc382322934 \h </w:instrText>
        </w:r>
        <w:r w:rsidR="00182C97" w:rsidRPr="0066267D">
          <w:rPr>
            <w:b w:val="0"/>
            <w:noProof/>
            <w:webHidden/>
          </w:rPr>
        </w:r>
        <w:r w:rsidR="00182C97" w:rsidRPr="0066267D">
          <w:rPr>
            <w:b w:val="0"/>
            <w:noProof/>
            <w:webHidden/>
          </w:rPr>
          <w:fldChar w:fldCharType="separate"/>
        </w:r>
        <w:r w:rsidR="00AB1967">
          <w:rPr>
            <w:b w:val="0"/>
            <w:noProof/>
            <w:webHidden/>
          </w:rPr>
          <w:t>110</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35"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36" w:history="1">
        <w:r w:rsidR="0066267D" w:rsidRPr="0066267D">
          <w:rPr>
            <w:rStyle w:val="Lienhypertexte"/>
            <w:rFonts w:ascii="Times New Roman" w:hAnsi="Times New Roman" w:cs="Times New Roman"/>
            <w:b w:val="0"/>
            <w:i w:val="0"/>
            <w:noProof/>
            <w:u w:val="none"/>
          </w:rPr>
          <w:t>4</w:t>
        </w:r>
        <w:r w:rsidR="0066267D">
          <w:rPr>
            <w:rStyle w:val="Lienhypertexte"/>
            <w:rFonts w:ascii="Times New Roman" w:hAnsi="Times New Roman" w:cs="Times New Roman"/>
            <w:b w:val="0"/>
            <w:i w:val="0"/>
            <w:noProof/>
            <w:u w:val="none"/>
          </w:rPr>
          <w:t xml:space="preserve"> : </w:t>
        </w:r>
      </w:hyperlink>
      <w:hyperlink w:anchor="_Toc382322937" w:history="1">
        <w:r w:rsidR="0066267D" w:rsidRPr="0066267D">
          <w:rPr>
            <w:rStyle w:val="Lienhypertexte"/>
            <w:rFonts w:ascii="Times New Roman" w:hAnsi="Times New Roman" w:cs="Times New Roman"/>
            <w:b w:val="0"/>
            <w:i w:val="0"/>
            <w:noProof/>
            <w:u w:val="none"/>
          </w:rPr>
          <w:t>Politiques budgétaires et réduction de la pauvreté</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_Toc382322937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112</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8" w:history="1">
        <w:r w:rsidR="0066267D" w:rsidRPr="0066267D">
          <w:rPr>
            <w:rStyle w:val="Lienhypertexte"/>
            <w:rFonts w:ascii="Times New Roman" w:hAnsi="Times New Roman"/>
            <w:b w:val="0"/>
            <w:noProof/>
            <w:u w:val="none"/>
          </w:rPr>
          <w:t>4.1 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_Toc382322938 \h </w:instrText>
        </w:r>
        <w:r w:rsidR="00182C97" w:rsidRPr="0066267D">
          <w:rPr>
            <w:b w:val="0"/>
            <w:noProof/>
            <w:webHidden/>
          </w:rPr>
        </w:r>
        <w:r w:rsidR="00182C97" w:rsidRPr="0066267D">
          <w:rPr>
            <w:b w:val="0"/>
            <w:noProof/>
            <w:webHidden/>
          </w:rPr>
          <w:fldChar w:fldCharType="separate"/>
        </w:r>
        <w:r w:rsidR="00AB1967">
          <w:rPr>
            <w:b w:val="0"/>
            <w:noProof/>
            <w:webHidden/>
          </w:rPr>
          <w:t>112</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39" w:history="1">
        <w:r w:rsidR="0066267D" w:rsidRPr="0066267D">
          <w:rPr>
            <w:rStyle w:val="Lienhypertexte"/>
            <w:rFonts w:ascii="Times New Roman" w:hAnsi="Times New Roman"/>
            <w:b w:val="0"/>
            <w:noProof/>
            <w:u w:val="none"/>
          </w:rPr>
          <w:t>4.2 Analyse de la structure des dépenses publiques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_Toc382322939 \h </w:instrText>
        </w:r>
        <w:r w:rsidR="00182C97" w:rsidRPr="0066267D">
          <w:rPr>
            <w:b w:val="0"/>
            <w:noProof/>
            <w:webHidden/>
          </w:rPr>
        </w:r>
        <w:r w:rsidR="00182C97" w:rsidRPr="0066267D">
          <w:rPr>
            <w:b w:val="0"/>
            <w:noProof/>
            <w:webHidden/>
          </w:rPr>
          <w:fldChar w:fldCharType="separate"/>
        </w:r>
        <w:r w:rsidR="00AB1967">
          <w:rPr>
            <w:b w:val="0"/>
            <w:noProof/>
            <w:webHidden/>
          </w:rPr>
          <w:t>112</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0" w:history="1">
        <w:r w:rsidR="0066267D" w:rsidRPr="0066267D">
          <w:rPr>
            <w:rStyle w:val="Lienhypertexte"/>
            <w:rFonts w:ascii="Times New Roman" w:hAnsi="Times New Roman"/>
            <w:b w:val="0"/>
            <w:noProof/>
            <w:u w:val="none"/>
          </w:rPr>
          <w:t>4.3 Contribution des dépenses publiques à la réduction de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_Toc382322940 \h </w:instrText>
        </w:r>
        <w:r w:rsidR="00182C97" w:rsidRPr="0066267D">
          <w:rPr>
            <w:b w:val="0"/>
            <w:noProof/>
            <w:webHidden/>
          </w:rPr>
        </w:r>
        <w:r w:rsidR="00182C97" w:rsidRPr="0066267D">
          <w:rPr>
            <w:b w:val="0"/>
            <w:noProof/>
            <w:webHidden/>
          </w:rPr>
          <w:fldChar w:fldCharType="separate"/>
        </w:r>
        <w:r w:rsidR="00AB1967">
          <w:rPr>
            <w:b w:val="0"/>
            <w:noProof/>
            <w:webHidden/>
          </w:rPr>
          <w:t>121</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1" w:history="1">
        <w:r w:rsidR="0066267D" w:rsidRPr="0066267D">
          <w:rPr>
            <w:rStyle w:val="Lienhypertexte"/>
            <w:rFonts w:ascii="Times New Roman" w:hAnsi="Times New Roman"/>
            <w:b w:val="0"/>
            <w:noProof/>
            <w:u w:val="none"/>
          </w:rPr>
          <w:t>4.4 Conclusion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_Toc382322941 \h </w:instrText>
        </w:r>
        <w:r w:rsidR="00182C97" w:rsidRPr="0066267D">
          <w:rPr>
            <w:b w:val="0"/>
            <w:noProof/>
            <w:webHidden/>
          </w:rPr>
        </w:r>
        <w:r w:rsidR="00182C97" w:rsidRPr="0066267D">
          <w:rPr>
            <w:b w:val="0"/>
            <w:noProof/>
            <w:webHidden/>
          </w:rPr>
          <w:fldChar w:fldCharType="separate"/>
        </w:r>
        <w:r w:rsidR="00AB1967">
          <w:rPr>
            <w:b w:val="0"/>
            <w:noProof/>
            <w:webHidden/>
          </w:rPr>
          <w:t>128</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42"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43" w:history="1">
        <w:r w:rsidR="0066267D" w:rsidRPr="0066267D">
          <w:rPr>
            <w:rStyle w:val="Lienhypertexte"/>
            <w:rFonts w:ascii="Times New Roman" w:hAnsi="Times New Roman" w:cs="Times New Roman"/>
            <w:b w:val="0"/>
            <w:i w:val="0"/>
            <w:noProof/>
            <w:u w:val="none"/>
          </w:rPr>
          <w:t>5</w:t>
        </w:r>
        <w:r w:rsidR="0066267D">
          <w:rPr>
            <w:rStyle w:val="Lienhypertexte"/>
            <w:rFonts w:ascii="Times New Roman" w:hAnsi="Times New Roman" w:cs="Times New Roman"/>
            <w:b w:val="0"/>
            <w:i w:val="0"/>
            <w:noProof/>
            <w:u w:val="none"/>
          </w:rPr>
          <w:t xml:space="preserve"> : </w:t>
        </w:r>
      </w:hyperlink>
      <w:hyperlink w:anchor="_Toc382322944" w:history="1">
        <w:r w:rsidR="0066267D" w:rsidRPr="0066267D">
          <w:rPr>
            <w:rStyle w:val="Lienhypertexte"/>
            <w:rFonts w:ascii="Times New Roman" w:hAnsi="Times New Roman" w:cs="Times New Roman"/>
            <w:b w:val="0"/>
            <w:i w:val="0"/>
            <w:noProof/>
            <w:u w:val="none"/>
          </w:rPr>
          <w:t>Politique de l’emploi et pauvreté</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_Toc382322944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129</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5" w:history="1">
        <w:r w:rsidR="0066267D" w:rsidRPr="0066267D">
          <w:rPr>
            <w:rStyle w:val="Lienhypertexte"/>
            <w:rFonts w:ascii="Times New Roman" w:hAnsi="Times New Roman" w:cs="Times New Roman"/>
            <w:b w:val="0"/>
            <w:noProof/>
            <w:u w:val="none"/>
          </w:rPr>
          <w:t>5.1 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_Toc382322945 \h </w:instrText>
        </w:r>
        <w:r w:rsidR="00182C97" w:rsidRPr="0066267D">
          <w:rPr>
            <w:b w:val="0"/>
            <w:noProof/>
            <w:webHidden/>
          </w:rPr>
        </w:r>
        <w:r w:rsidR="00182C97" w:rsidRPr="0066267D">
          <w:rPr>
            <w:b w:val="0"/>
            <w:noProof/>
            <w:webHidden/>
          </w:rPr>
          <w:fldChar w:fldCharType="separate"/>
        </w:r>
        <w:r w:rsidR="00AB1967">
          <w:rPr>
            <w:b w:val="0"/>
            <w:noProof/>
            <w:webHidden/>
          </w:rPr>
          <w:t>129</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6" w:history="1">
        <w:r w:rsidR="0066267D" w:rsidRPr="0066267D">
          <w:rPr>
            <w:rStyle w:val="Lienhypertexte"/>
            <w:rFonts w:ascii="Times New Roman" w:hAnsi="Times New Roman" w:cs="Times New Roman"/>
            <w:b w:val="0"/>
            <w:noProof/>
            <w:u w:val="none"/>
          </w:rPr>
          <w:t>5.2 Situation de l’emploi au Bénin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_Toc382322946 \h </w:instrText>
        </w:r>
        <w:r w:rsidR="00182C97" w:rsidRPr="0066267D">
          <w:rPr>
            <w:b w:val="0"/>
            <w:noProof/>
            <w:webHidden/>
          </w:rPr>
        </w:r>
        <w:r w:rsidR="00182C97" w:rsidRPr="0066267D">
          <w:rPr>
            <w:b w:val="0"/>
            <w:noProof/>
            <w:webHidden/>
          </w:rPr>
          <w:fldChar w:fldCharType="separate"/>
        </w:r>
        <w:r w:rsidR="00AB1967">
          <w:rPr>
            <w:b w:val="0"/>
            <w:noProof/>
            <w:webHidden/>
          </w:rPr>
          <w:t>129</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7" w:history="1">
        <w:r w:rsidR="0066267D" w:rsidRPr="0066267D">
          <w:rPr>
            <w:rStyle w:val="Lienhypertexte"/>
            <w:rFonts w:ascii="Times New Roman" w:hAnsi="Times New Roman" w:cs="Times New Roman"/>
            <w:b w:val="0"/>
            <w:noProof/>
            <w:u w:val="none"/>
          </w:rPr>
          <w:t>5.3 Primauté du secteur informel dans l’économie béninoise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_Toc382322947 \h </w:instrText>
        </w:r>
        <w:r w:rsidR="00182C97" w:rsidRPr="0066267D">
          <w:rPr>
            <w:b w:val="0"/>
            <w:noProof/>
            <w:webHidden/>
          </w:rPr>
        </w:r>
        <w:r w:rsidR="00182C97" w:rsidRPr="0066267D">
          <w:rPr>
            <w:b w:val="0"/>
            <w:noProof/>
            <w:webHidden/>
          </w:rPr>
          <w:fldChar w:fldCharType="separate"/>
        </w:r>
        <w:r w:rsidR="00AB1967">
          <w:rPr>
            <w:b w:val="0"/>
            <w:noProof/>
            <w:webHidden/>
          </w:rPr>
          <w:t>138</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8" w:history="1">
        <w:r w:rsidR="0066267D" w:rsidRPr="0066267D">
          <w:rPr>
            <w:rStyle w:val="Lienhypertexte"/>
            <w:rFonts w:ascii="Times New Roman" w:hAnsi="Times New Roman" w:cs="Times New Roman"/>
            <w:b w:val="0"/>
            <w:noProof/>
            <w:u w:val="none"/>
          </w:rPr>
          <w:t>5.4  Paradoxe du taux de chômage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_Toc382322948 \h </w:instrText>
        </w:r>
        <w:r w:rsidR="00182C97" w:rsidRPr="0066267D">
          <w:rPr>
            <w:b w:val="0"/>
            <w:noProof/>
            <w:webHidden/>
          </w:rPr>
        </w:r>
        <w:r w:rsidR="00182C97" w:rsidRPr="0066267D">
          <w:rPr>
            <w:b w:val="0"/>
            <w:noProof/>
            <w:webHidden/>
          </w:rPr>
          <w:fldChar w:fldCharType="separate"/>
        </w:r>
        <w:r w:rsidR="00AB1967">
          <w:rPr>
            <w:b w:val="0"/>
            <w:noProof/>
            <w:webHidden/>
          </w:rPr>
          <w:t>138</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49" w:history="1">
        <w:r w:rsidR="0066267D" w:rsidRPr="0066267D">
          <w:rPr>
            <w:rStyle w:val="Lienhypertexte"/>
            <w:rFonts w:ascii="Times New Roman" w:hAnsi="Times New Roman" w:cs="Times New Roman"/>
            <w:b w:val="0"/>
            <w:noProof/>
            <w:u w:val="none"/>
          </w:rPr>
          <w:t>5.5 Niveau du chômage  et du sous-emploi</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_Toc382322949 \h </w:instrText>
        </w:r>
        <w:r w:rsidR="00182C97" w:rsidRPr="0066267D">
          <w:rPr>
            <w:b w:val="0"/>
            <w:noProof/>
            <w:webHidden/>
          </w:rPr>
        </w:r>
        <w:r w:rsidR="00182C97" w:rsidRPr="0066267D">
          <w:rPr>
            <w:b w:val="0"/>
            <w:noProof/>
            <w:webHidden/>
          </w:rPr>
          <w:fldChar w:fldCharType="separate"/>
        </w:r>
        <w:r w:rsidR="00AB1967">
          <w:rPr>
            <w:b w:val="0"/>
            <w:noProof/>
            <w:webHidden/>
          </w:rPr>
          <w:t>140</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0" w:history="1">
        <w:r w:rsidR="0066267D" w:rsidRPr="0066267D">
          <w:rPr>
            <w:rStyle w:val="Lienhypertexte"/>
            <w:rFonts w:ascii="Times New Roman" w:hAnsi="Times New Roman" w:cs="Times New Roman"/>
            <w:b w:val="0"/>
            <w:noProof/>
            <w:u w:val="none"/>
          </w:rPr>
          <w:t>5.7 Relation entre emploi et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_Toc382322950 \h </w:instrText>
        </w:r>
        <w:r w:rsidR="00182C97" w:rsidRPr="0066267D">
          <w:rPr>
            <w:b w:val="0"/>
            <w:noProof/>
            <w:webHidden/>
          </w:rPr>
        </w:r>
        <w:r w:rsidR="00182C97" w:rsidRPr="0066267D">
          <w:rPr>
            <w:b w:val="0"/>
            <w:noProof/>
            <w:webHidden/>
          </w:rPr>
          <w:fldChar w:fldCharType="separate"/>
        </w:r>
        <w:r w:rsidR="00AB1967">
          <w:rPr>
            <w:b w:val="0"/>
            <w:noProof/>
            <w:webHidden/>
          </w:rPr>
          <w:t>146</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1" w:history="1">
        <w:r w:rsidR="0066267D" w:rsidRPr="0066267D">
          <w:rPr>
            <w:rStyle w:val="Lienhypertexte"/>
            <w:rFonts w:ascii="Times New Roman" w:hAnsi="Times New Roman" w:cs="Times New Roman"/>
            <w:b w:val="0"/>
            <w:noProof/>
            <w:u w:val="none"/>
          </w:rPr>
          <w:t>5.8 Conclusion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_Toc382322951 \h </w:instrText>
        </w:r>
        <w:r w:rsidR="00182C97" w:rsidRPr="0066267D">
          <w:rPr>
            <w:b w:val="0"/>
            <w:noProof/>
            <w:webHidden/>
          </w:rPr>
        </w:r>
        <w:r w:rsidR="00182C97" w:rsidRPr="0066267D">
          <w:rPr>
            <w:b w:val="0"/>
            <w:noProof/>
            <w:webHidden/>
          </w:rPr>
          <w:fldChar w:fldCharType="separate"/>
        </w:r>
        <w:r w:rsidR="00AB1967">
          <w:rPr>
            <w:b w:val="0"/>
            <w:noProof/>
            <w:webHidden/>
          </w:rPr>
          <w:t>153</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52"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53" w:history="1">
        <w:r w:rsidR="0066267D" w:rsidRPr="0066267D">
          <w:rPr>
            <w:rStyle w:val="Lienhypertexte"/>
            <w:rFonts w:ascii="Times New Roman" w:hAnsi="Times New Roman" w:cs="Times New Roman"/>
            <w:b w:val="0"/>
            <w:i w:val="0"/>
            <w:noProof/>
            <w:u w:val="none"/>
          </w:rPr>
          <w:t>6</w:t>
        </w:r>
        <w:r w:rsidR="0066267D">
          <w:rPr>
            <w:rStyle w:val="Lienhypertexte"/>
            <w:rFonts w:ascii="Times New Roman" w:hAnsi="Times New Roman" w:cs="Times New Roman"/>
            <w:b w:val="0"/>
            <w:i w:val="0"/>
            <w:noProof/>
            <w:u w:val="none"/>
          </w:rPr>
          <w:t xml:space="preserve"> : </w:t>
        </w:r>
      </w:hyperlink>
      <w:hyperlink w:anchor="_Toc382322954" w:history="1">
        <w:r w:rsidR="0066267D" w:rsidRPr="0066267D">
          <w:rPr>
            <w:rStyle w:val="Lienhypertexte"/>
            <w:rFonts w:ascii="Times New Roman" w:hAnsi="Times New Roman" w:cs="Times New Roman"/>
            <w:b w:val="0"/>
            <w:i w:val="0"/>
            <w:noProof/>
            <w:u w:val="none"/>
          </w:rPr>
          <w:t>Inégalités d’accès et de bénéfices entre sexes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_Toc382322954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154</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5" w:history="1">
        <w:r w:rsidR="0066267D" w:rsidRPr="0066267D">
          <w:rPr>
            <w:rStyle w:val="Lienhypertexte"/>
            <w:rFonts w:ascii="Times New Roman" w:hAnsi="Times New Roman" w:cs="Times New Roman"/>
            <w:b w:val="0"/>
            <w:noProof/>
            <w:u w:val="none"/>
          </w:rPr>
          <w:t>6.1 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_Toc382322955 \h </w:instrText>
        </w:r>
        <w:r w:rsidR="00182C97" w:rsidRPr="0066267D">
          <w:rPr>
            <w:b w:val="0"/>
            <w:noProof/>
            <w:webHidden/>
          </w:rPr>
        </w:r>
        <w:r w:rsidR="00182C97" w:rsidRPr="0066267D">
          <w:rPr>
            <w:b w:val="0"/>
            <w:noProof/>
            <w:webHidden/>
          </w:rPr>
          <w:fldChar w:fldCharType="separate"/>
        </w:r>
        <w:r w:rsidR="00AB1967">
          <w:rPr>
            <w:b w:val="0"/>
            <w:noProof/>
            <w:webHidden/>
          </w:rPr>
          <w:t>154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6" w:history="1">
        <w:r w:rsidR="0066267D" w:rsidRPr="0066267D">
          <w:rPr>
            <w:rStyle w:val="Lienhypertexte"/>
            <w:rFonts w:ascii="Times New Roman" w:hAnsi="Times New Roman" w:cs="Times New Roman"/>
            <w:b w:val="0"/>
            <w:noProof/>
            <w:u w:val="none"/>
          </w:rPr>
          <w:t>6.2  Inégalité d’accès entre sexes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_Toc382322956 \h </w:instrText>
        </w:r>
        <w:r w:rsidR="00182C97" w:rsidRPr="0066267D">
          <w:rPr>
            <w:b w:val="0"/>
            <w:noProof/>
            <w:webHidden/>
          </w:rPr>
        </w:r>
        <w:r w:rsidR="00182C97" w:rsidRPr="0066267D">
          <w:rPr>
            <w:b w:val="0"/>
            <w:noProof/>
            <w:webHidden/>
          </w:rPr>
          <w:fldChar w:fldCharType="separate"/>
        </w:r>
        <w:r w:rsidR="00AB1967">
          <w:rPr>
            <w:b w:val="0"/>
            <w:noProof/>
            <w:webHidden/>
          </w:rPr>
          <w:t>154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7" w:history="1">
        <w:r w:rsidR="0066267D" w:rsidRPr="0066267D">
          <w:rPr>
            <w:rStyle w:val="Lienhypertexte"/>
            <w:rFonts w:ascii="Times New Roman" w:hAnsi="Times New Roman" w:cs="Times New Roman"/>
            <w:b w:val="0"/>
            <w:noProof/>
            <w:u w:val="none"/>
          </w:rPr>
          <w:t>6.3  Inégalités d’accès et statut de pauvreté selon le sexe du chef de ménage</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_Toc382322957 \h </w:instrText>
        </w:r>
        <w:r w:rsidR="00182C97" w:rsidRPr="0066267D">
          <w:rPr>
            <w:b w:val="0"/>
            <w:noProof/>
            <w:webHidden/>
          </w:rPr>
        </w:r>
        <w:r w:rsidR="00182C97" w:rsidRPr="0066267D">
          <w:rPr>
            <w:b w:val="0"/>
            <w:noProof/>
            <w:webHidden/>
          </w:rPr>
          <w:fldChar w:fldCharType="separate"/>
        </w:r>
        <w:r w:rsidR="00AB1967">
          <w:rPr>
            <w:b w:val="0"/>
            <w:noProof/>
            <w:webHidden/>
          </w:rPr>
          <w:t>156</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8" w:history="1">
        <w:r w:rsidR="0066267D" w:rsidRPr="0066267D">
          <w:rPr>
            <w:rStyle w:val="Lienhypertexte"/>
            <w:rFonts w:ascii="Times New Roman" w:hAnsi="Times New Roman" w:cs="Times New Roman"/>
            <w:b w:val="0"/>
            <w:noProof/>
            <w:u w:val="none"/>
          </w:rPr>
          <w:t>6.4  Les obstacles liés aux inégalités d’accès entre sexes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_Toc382322958 \h </w:instrText>
        </w:r>
        <w:r w:rsidR="00182C97" w:rsidRPr="0066267D">
          <w:rPr>
            <w:b w:val="0"/>
            <w:noProof/>
            <w:webHidden/>
          </w:rPr>
        </w:r>
        <w:r w:rsidR="00182C97" w:rsidRPr="0066267D">
          <w:rPr>
            <w:b w:val="0"/>
            <w:noProof/>
            <w:webHidden/>
          </w:rPr>
          <w:fldChar w:fldCharType="separate"/>
        </w:r>
        <w:r w:rsidR="00AB1967">
          <w:rPr>
            <w:b w:val="0"/>
            <w:noProof/>
            <w:webHidden/>
          </w:rPr>
          <w:t>158</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59" w:history="1">
        <w:r w:rsidR="0066267D" w:rsidRPr="0066267D">
          <w:rPr>
            <w:rStyle w:val="Lienhypertexte"/>
            <w:rFonts w:ascii="Times New Roman" w:hAnsi="Times New Roman" w:cs="Times New Roman"/>
            <w:b w:val="0"/>
            <w:noProof/>
            <w:u w:val="none"/>
          </w:rPr>
          <w:t>6.5 Conclusion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_Toc382322959 \h </w:instrText>
        </w:r>
        <w:r w:rsidR="00182C97" w:rsidRPr="0066267D">
          <w:rPr>
            <w:b w:val="0"/>
            <w:noProof/>
            <w:webHidden/>
          </w:rPr>
        </w:r>
        <w:r w:rsidR="00182C97" w:rsidRPr="0066267D">
          <w:rPr>
            <w:b w:val="0"/>
            <w:noProof/>
            <w:webHidden/>
          </w:rPr>
          <w:fldChar w:fldCharType="separate"/>
        </w:r>
        <w:r w:rsidR="00AB1967">
          <w:rPr>
            <w:b w:val="0"/>
            <w:noProof/>
            <w:webHidden/>
          </w:rPr>
          <w:t>163</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60" w:history="1">
        <w:r w:rsidR="0066267D" w:rsidRPr="0066267D">
          <w:rPr>
            <w:rStyle w:val="Lienhypertexte"/>
            <w:rFonts w:ascii="Times New Roman" w:hAnsi="Times New Roman" w:cs="Times New Roman"/>
            <w:b w:val="0"/>
            <w:i w:val="0"/>
            <w:noProof/>
            <w:u w:val="none"/>
          </w:rPr>
          <w:t>CHAPITRE</w:t>
        </w:r>
        <w:r w:rsidR="0066267D">
          <w:rPr>
            <w:rStyle w:val="Lienhypertexte"/>
            <w:rFonts w:ascii="Times New Roman" w:hAnsi="Times New Roman" w:cs="Times New Roman"/>
            <w:b w:val="0"/>
            <w:i w:val="0"/>
            <w:noProof/>
            <w:u w:val="none"/>
          </w:rPr>
          <w:t xml:space="preserve"> </w:t>
        </w:r>
      </w:hyperlink>
      <w:hyperlink w:anchor="_Toc382322961" w:history="1">
        <w:r w:rsidR="0066267D" w:rsidRPr="0066267D">
          <w:rPr>
            <w:rStyle w:val="Lienhypertexte"/>
            <w:rFonts w:ascii="Times New Roman" w:hAnsi="Times New Roman" w:cs="Times New Roman"/>
            <w:b w:val="0"/>
            <w:i w:val="0"/>
            <w:noProof/>
            <w:u w:val="none"/>
          </w:rPr>
          <w:t>7</w:t>
        </w:r>
        <w:r w:rsidR="00FD14DC">
          <w:rPr>
            <w:rStyle w:val="Lienhypertexte"/>
            <w:rFonts w:ascii="Times New Roman" w:hAnsi="Times New Roman" w:cs="Times New Roman"/>
            <w:b w:val="0"/>
            <w:i w:val="0"/>
            <w:noProof/>
            <w:u w:val="none"/>
          </w:rPr>
          <w:t> :</w:t>
        </w:r>
      </w:hyperlink>
      <w:r w:rsidR="00FD14DC">
        <w:rPr>
          <w:rStyle w:val="Lienhypertexte"/>
          <w:b w:val="0"/>
          <w:i w:val="0"/>
          <w:noProof/>
          <w:u w:val="none"/>
        </w:rPr>
        <w:t xml:space="preserve"> </w:t>
      </w:r>
      <w:hyperlink w:anchor="_Toc382322962" w:history="1">
        <w:r w:rsidR="0066267D" w:rsidRPr="0066267D">
          <w:rPr>
            <w:rStyle w:val="Lienhypertexte"/>
            <w:rFonts w:ascii="Times New Roman" w:hAnsi="Times New Roman"/>
            <w:b w:val="0"/>
            <w:i w:val="0"/>
            <w:noProof/>
            <w:u w:val="none"/>
          </w:rPr>
          <w:t>Suivi de la pauvreté au Bénin</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_Toc382322962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164</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63" w:history="1">
        <w:r w:rsidR="0066267D" w:rsidRPr="0066267D">
          <w:rPr>
            <w:rStyle w:val="Lienhypertexte"/>
            <w:rFonts w:ascii="Times New Roman" w:hAnsi="Times New Roman"/>
            <w:b w:val="0"/>
            <w:noProof/>
            <w:u w:val="none"/>
            <w:lang w:val="fr-CA"/>
          </w:rPr>
          <w:t>7.1 Introduction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_Toc382322963 \h </w:instrText>
        </w:r>
        <w:r w:rsidR="00182C97" w:rsidRPr="0066267D">
          <w:rPr>
            <w:b w:val="0"/>
            <w:noProof/>
            <w:webHidden/>
          </w:rPr>
        </w:r>
        <w:r w:rsidR="00182C97" w:rsidRPr="0066267D">
          <w:rPr>
            <w:b w:val="0"/>
            <w:noProof/>
            <w:webHidden/>
          </w:rPr>
          <w:fldChar w:fldCharType="separate"/>
        </w:r>
        <w:r w:rsidR="00AB1967">
          <w:rPr>
            <w:b w:val="0"/>
            <w:noProof/>
            <w:webHidden/>
          </w:rPr>
          <w:t>164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64" w:history="1">
        <w:r w:rsidR="0066267D" w:rsidRPr="0066267D">
          <w:rPr>
            <w:rStyle w:val="Lienhypertexte"/>
            <w:rFonts w:ascii="Times New Roman" w:hAnsi="Times New Roman"/>
            <w:b w:val="0"/>
            <w:noProof/>
            <w:u w:val="none"/>
          </w:rPr>
          <w:t>7.2 Bref rappel de l’architecture du dispositif de suivi de la Stratégie de Croissance pour la Réduction de la Pauvreté au Bénin.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_Toc382322964 \h </w:instrText>
        </w:r>
        <w:r w:rsidR="00182C97" w:rsidRPr="0066267D">
          <w:rPr>
            <w:b w:val="0"/>
            <w:noProof/>
            <w:webHidden/>
          </w:rPr>
        </w:r>
        <w:r w:rsidR="00182C97" w:rsidRPr="0066267D">
          <w:rPr>
            <w:b w:val="0"/>
            <w:noProof/>
            <w:webHidden/>
          </w:rPr>
          <w:fldChar w:fldCharType="separate"/>
        </w:r>
        <w:r w:rsidR="00AB1967">
          <w:rPr>
            <w:b w:val="0"/>
            <w:noProof/>
            <w:webHidden/>
          </w:rPr>
          <w:t>164</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65" w:history="1">
        <w:r w:rsidR="0066267D" w:rsidRPr="0066267D">
          <w:rPr>
            <w:rStyle w:val="Lienhypertexte"/>
            <w:rFonts w:ascii="Times New Roman" w:hAnsi="Times New Roman"/>
            <w:b w:val="0"/>
            <w:noProof/>
            <w:u w:val="none"/>
          </w:rPr>
          <w:t>7.3 Principaux produits du dispositif de suivi et d’évaluation</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_Toc382322965 \h </w:instrText>
        </w:r>
        <w:r w:rsidR="00182C97" w:rsidRPr="0066267D">
          <w:rPr>
            <w:b w:val="0"/>
            <w:noProof/>
            <w:webHidden/>
          </w:rPr>
        </w:r>
        <w:r w:rsidR="00182C97" w:rsidRPr="0066267D">
          <w:rPr>
            <w:b w:val="0"/>
            <w:noProof/>
            <w:webHidden/>
          </w:rPr>
          <w:fldChar w:fldCharType="separate"/>
        </w:r>
        <w:r w:rsidR="00AB1967">
          <w:rPr>
            <w:b w:val="0"/>
            <w:noProof/>
            <w:webHidden/>
          </w:rPr>
          <w:t>167</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66" w:history="1">
        <w:r w:rsidR="0066267D" w:rsidRPr="0066267D">
          <w:rPr>
            <w:rStyle w:val="Lienhypertexte"/>
            <w:rFonts w:ascii="Times New Roman" w:hAnsi="Times New Roman"/>
            <w:b w:val="0"/>
            <w:noProof/>
            <w:u w:val="none"/>
            <w:lang w:val="fr-CA"/>
          </w:rPr>
          <w:t>7.4  Besoins d’amélioration en termes d’approches méthodologiques pour le suivi de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_Toc382322966 \h </w:instrText>
        </w:r>
        <w:r w:rsidR="00182C97" w:rsidRPr="0066267D">
          <w:rPr>
            <w:b w:val="0"/>
            <w:noProof/>
            <w:webHidden/>
          </w:rPr>
        </w:r>
        <w:r w:rsidR="00182C97" w:rsidRPr="0066267D">
          <w:rPr>
            <w:b w:val="0"/>
            <w:noProof/>
            <w:webHidden/>
          </w:rPr>
          <w:fldChar w:fldCharType="separate"/>
        </w:r>
        <w:r w:rsidR="00AB1967">
          <w:rPr>
            <w:b w:val="0"/>
            <w:noProof/>
            <w:webHidden/>
          </w:rPr>
          <w:t>170</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67" w:history="1">
        <w:r w:rsidR="0066267D" w:rsidRPr="0066267D">
          <w:rPr>
            <w:rStyle w:val="Lienhypertexte"/>
            <w:rFonts w:ascii="Times New Roman" w:eastAsia="Times New Roman" w:hAnsi="Times New Roman"/>
            <w:b w:val="0"/>
            <w:noProof/>
            <w:u w:val="none"/>
            <w:lang w:eastAsia="fr-FR"/>
          </w:rPr>
          <w:t xml:space="preserve">7.5 Enjeux </w:t>
        </w:r>
        <w:r w:rsidR="0066267D" w:rsidRPr="0066267D">
          <w:rPr>
            <w:rStyle w:val="Lienhypertexte"/>
            <w:rFonts w:ascii="Times New Roman" w:hAnsi="Times New Roman"/>
            <w:b w:val="0"/>
            <w:noProof/>
            <w:u w:val="none"/>
          </w:rPr>
          <w:t xml:space="preserve">pour le </w:t>
        </w:r>
        <w:r w:rsidR="0066267D" w:rsidRPr="0066267D">
          <w:rPr>
            <w:rStyle w:val="Lienhypertexte"/>
            <w:rFonts w:ascii="Times New Roman" w:eastAsia="Times New Roman" w:hAnsi="Times New Roman"/>
            <w:b w:val="0"/>
            <w:noProof/>
            <w:u w:val="none"/>
            <w:lang w:eastAsia="fr-FR"/>
          </w:rPr>
          <w:t xml:space="preserve"> suivi de  la vulnérabilité des ménages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_Toc382322967 \h </w:instrText>
        </w:r>
        <w:r w:rsidR="00182C97" w:rsidRPr="0066267D">
          <w:rPr>
            <w:b w:val="0"/>
            <w:noProof/>
            <w:webHidden/>
          </w:rPr>
        </w:r>
        <w:r w:rsidR="00182C97" w:rsidRPr="0066267D">
          <w:rPr>
            <w:b w:val="0"/>
            <w:noProof/>
            <w:webHidden/>
          </w:rPr>
          <w:fldChar w:fldCharType="separate"/>
        </w:r>
        <w:r w:rsidR="00AB1967">
          <w:rPr>
            <w:b w:val="0"/>
            <w:noProof/>
            <w:webHidden/>
          </w:rPr>
          <w:t>173</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68" w:history="1">
        <w:r w:rsidR="0066267D" w:rsidRPr="0066267D">
          <w:rPr>
            <w:rStyle w:val="Lienhypertexte"/>
            <w:rFonts w:ascii="Times New Roman" w:eastAsia="Times New Roman" w:hAnsi="Times New Roman"/>
            <w:b w:val="0"/>
            <w:noProof/>
            <w:u w:val="none"/>
            <w:lang w:eastAsia="fr-FR"/>
          </w:rPr>
          <w:t>7.6  Pérennisation des bonnes  pratiques</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_Toc382322968 \h </w:instrText>
        </w:r>
        <w:r w:rsidR="00182C97" w:rsidRPr="0066267D">
          <w:rPr>
            <w:b w:val="0"/>
            <w:noProof/>
            <w:webHidden/>
          </w:rPr>
        </w:r>
        <w:r w:rsidR="00182C97" w:rsidRPr="0066267D">
          <w:rPr>
            <w:b w:val="0"/>
            <w:noProof/>
            <w:webHidden/>
          </w:rPr>
          <w:fldChar w:fldCharType="separate"/>
        </w:r>
        <w:r w:rsidR="00AB1967">
          <w:rPr>
            <w:b w:val="0"/>
            <w:noProof/>
            <w:webHidden/>
          </w:rPr>
          <w:t>175</w:t>
        </w:r>
        <w:r w:rsidR="00182C97" w:rsidRPr="0066267D">
          <w:rPr>
            <w:b w:val="0"/>
            <w:noProof/>
            <w:webHidden/>
          </w:rPr>
          <w:fldChar w:fldCharType="end"/>
        </w:r>
      </w:hyperlink>
    </w:p>
    <w:p w:rsidR="0066267D" w:rsidRPr="0066267D" w:rsidRDefault="004F064D" w:rsidP="0066267D">
      <w:pPr>
        <w:pStyle w:val="TM1"/>
        <w:spacing w:line="276" w:lineRule="auto"/>
        <w:contextualSpacing/>
        <w:rPr>
          <w:rFonts w:asciiTheme="minorHAnsi" w:eastAsiaTheme="minorEastAsia" w:hAnsiTheme="minorHAnsi" w:cstheme="minorBidi"/>
          <w:b w:val="0"/>
          <w:i w:val="0"/>
          <w:noProof/>
          <w:sz w:val="22"/>
          <w:szCs w:val="22"/>
          <w:lang w:eastAsia="fr-FR"/>
        </w:rPr>
      </w:pPr>
      <w:hyperlink w:anchor="_Toc382322969" w:history="1">
        <w:r w:rsidR="0066267D" w:rsidRPr="0066267D">
          <w:rPr>
            <w:rStyle w:val="Lienhypertexte"/>
            <w:rFonts w:ascii="Times New Roman" w:hAnsi="Times New Roman" w:cs="Times New Roman"/>
            <w:b w:val="0"/>
            <w:i w:val="0"/>
            <w:noProof/>
            <w:u w:val="none"/>
          </w:rPr>
          <w:t>Annexes</w:t>
        </w:r>
        <w:r w:rsidR="0066267D" w:rsidRPr="0066267D">
          <w:rPr>
            <w:b w:val="0"/>
            <w:i w:val="0"/>
            <w:noProof/>
            <w:webHidden/>
          </w:rPr>
          <w:tab/>
        </w:r>
        <w:r w:rsidR="00182C97" w:rsidRPr="0066267D">
          <w:rPr>
            <w:b w:val="0"/>
            <w:i w:val="0"/>
            <w:noProof/>
            <w:webHidden/>
          </w:rPr>
          <w:fldChar w:fldCharType="begin"/>
        </w:r>
        <w:r w:rsidR="0066267D" w:rsidRPr="0066267D">
          <w:rPr>
            <w:b w:val="0"/>
            <w:i w:val="0"/>
            <w:noProof/>
            <w:webHidden/>
          </w:rPr>
          <w:instrText xml:space="preserve"> PAGEREF _Toc382322969 \h </w:instrText>
        </w:r>
        <w:r w:rsidR="00182C97" w:rsidRPr="0066267D">
          <w:rPr>
            <w:b w:val="0"/>
            <w:i w:val="0"/>
            <w:noProof/>
            <w:webHidden/>
          </w:rPr>
        </w:r>
        <w:r w:rsidR="00182C97" w:rsidRPr="0066267D">
          <w:rPr>
            <w:b w:val="0"/>
            <w:i w:val="0"/>
            <w:noProof/>
            <w:webHidden/>
          </w:rPr>
          <w:fldChar w:fldCharType="separate"/>
        </w:r>
        <w:r w:rsidR="00AB1967">
          <w:rPr>
            <w:b w:val="0"/>
            <w:i w:val="0"/>
            <w:noProof/>
            <w:webHidden/>
          </w:rPr>
          <w:t>187</w:t>
        </w:r>
        <w:r w:rsidR="00182C97" w:rsidRPr="0066267D">
          <w:rPr>
            <w:b w:val="0"/>
            <w:i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70" w:history="1">
        <w:r w:rsidR="0066267D" w:rsidRPr="0066267D">
          <w:rPr>
            <w:rStyle w:val="Lienhypertexte"/>
            <w:rFonts w:ascii="Times New Roman" w:hAnsi="Times New Roman" w:cs="Times New Roman"/>
            <w:b w:val="0"/>
            <w:noProof/>
            <w:u w:val="none"/>
          </w:rPr>
          <w:t>A1 : Présentation et analyse des données sur la pauvreté</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_Toc382322970 \h </w:instrText>
        </w:r>
        <w:r w:rsidR="00182C97" w:rsidRPr="0066267D">
          <w:rPr>
            <w:b w:val="0"/>
            <w:noProof/>
            <w:webHidden/>
          </w:rPr>
        </w:r>
        <w:r w:rsidR="00182C97" w:rsidRPr="0066267D">
          <w:rPr>
            <w:b w:val="0"/>
            <w:noProof/>
            <w:webHidden/>
          </w:rPr>
          <w:fldChar w:fldCharType="separate"/>
        </w:r>
        <w:r w:rsidR="00AB1967">
          <w:rPr>
            <w:b w:val="0"/>
            <w:noProof/>
            <w:webHidden/>
          </w:rPr>
          <w:t>187</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71" w:history="1">
        <w:r w:rsidR="0066267D" w:rsidRPr="0066267D">
          <w:rPr>
            <w:rStyle w:val="Lienhypertexte"/>
            <w:rFonts w:ascii="Times New Roman" w:hAnsi="Times New Roman" w:cs="Times New Roman"/>
            <w:b w:val="0"/>
            <w:noProof/>
            <w:u w:val="none"/>
          </w:rPr>
          <w:t>A2 : Tableaux et graphiques complémentaires du chapitre 1</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_Toc382322971 \h </w:instrText>
        </w:r>
        <w:r w:rsidR="00182C97" w:rsidRPr="0066267D">
          <w:rPr>
            <w:b w:val="0"/>
            <w:noProof/>
            <w:webHidden/>
          </w:rPr>
        </w:r>
        <w:r w:rsidR="00182C97" w:rsidRPr="0066267D">
          <w:rPr>
            <w:b w:val="0"/>
            <w:noProof/>
            <w:webHidden/>
          </w:rPr>
          <w:fldChar w:fldCharType="separate"/>
        </w:r>
        <w:r w:rsidR="00AB1967">
          <w:rPr>
            <w:b w:val="0"/>
            <w:noProof/>
            <w:webHidden/>
          </w:rPr>
          <w:t>202</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72" w:history="1">
        <w:r w:rsidR="0066267D" w:rsidRPr="0066267D">
          <w:rPr>
            <w:rStyle w:val="Lienhypertexte"/>
            <w:rFonts w:ascii="Times New Roman" w:hAnsi="Times New Roman" w:cs="Times New Roman"/>
            <w:b w:val="0"/>
            <w:noProof/>
            <w:u w:val="none"/>
          </w:rPr>
          <w:t>A3 : Tableaux complémentaires du chapitre 3</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_Toc382322972 \h </w:instrText>
        </w:r>
        <w:r w:rsidR="00182C97" w:rsidRPr="0066267D">
          <w:rPr>
            <w:b w:val="0"/>
            <w:noProof/>
            <w:webHidden/>
          </w:rPr>
        </w:r>
        <w:r w:rsidR="00182C97" w:rsidRPr="0066267D">
          <w:rPr>
            <w:b w:val="0"/>
            <w:noProof/>
            <w:webHidden/>
          </w:rPr>
          <w:fldChar w:fldCharType="separate"/>
        </w:r>
        <w:r w:rsidR="00AB1967">
          <w:rPr>
            <w:b w:val="0"/>
            <w:noProof/>
            <w:webHidden/>
          </w:rPr>
          <w:t>213</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73" w:history="1">
        <w:r w:rsidR="0066267D" w:rsidRPr="0066267D">
          <w:rPr>
            <w:rStyle w:val="Lienhypertexte"/>
            <w:rFonts w:ascii="Times New Roman" w:hAnsi="Times New Roman" w:cs="Times New Roman"/>
            <w:b w:val="0"/>
            <w:noProof/>
            <w:u w:val="none"/>
          </w:rPr>
          <w:t>A4 : Tableaux complémentaires du chapitre 5</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_Toc382322973 \h </w:instrText>
        </w:r>
        <w:r w:rsidR="00182C97" w:rsidRPr="0066267D">
          <w:rPr>
            <w:b w:val="0"/>
            <w:noProof/>
            <w:webHidden/>
          </w:rPr>
        </w:r>
        <w:r w:rsidR="00182C97" w:rsidRPr="0066267D">
          <w:rPr>
            <w:b w:val="0"/>
            <w:noProof/>
            <w:webHidden/>
          </w:rPr>
          <w:fldChar w:fldCharType="separate"/>
        </w:r>
        <w:r w:rsidR="00AB1967">
          <w:rPr>
            <w:b w:val="0"/>
            <w:noProof/>
            <w:webHidden/>
          </w:rPr>
          <w:t>215</w:t>
        </w:r>
        <w:r w:rsidR="00182C97" w:rsidRPr="0066267D">
          <w:rPr>
            <w:b w:val="0"/>
            <w:noProof/>
            <w:webHidden/>
          </w:rPr>
          <w:fldChar w:fldCharType="end"/>
        </w:r>
      </w:hyperlink>
    </w:p>
    <w:p w:rsidR="0066267D" w:rsidRPr="0066267D" w:rsidRDefault="004F064D" w:rsidP="0066267D">
      <w:pPr>
        <w:pStyle w:val="TM2"/>
        <w:tabs>
          <w:tab w:val="right" w:leader="dot" w:pos="9062"/>
        </w:tabs>
        <w:spacing w:before="0" w:line="276" w:lineRule="auto"/>
        <w:contextualSpacing/>
        <w:rPr>
          <w:rFonts w:asciiTheme="minorHAnsi" w:eastAsiaTheme="minorEastAsia" w:hAnsiTheme="minorHAnsi" w:cstheme="minorBidi"/>
          <w:b w:val="0"/>
          <w:bCs w:val="0"/>
          <w:noProof/>
          <w:lang w:eastAsia="fr-FR"/>
        </w:rPr>
      </w:pPr>
      <w:hyperlink w:anchor="_Toc382322974" w:history="1">
        <w:r w:rsidR="0066267D" w:rsidRPr="0066267D">
          <w:rPr>
            <w:rStyle w:val="Lienhypertexte"/>
            <w:rFonts w:ascii="Times New Roman" w:hAnsi="Times New Roman" w:cs="Times New Roman"/>
            <w:b w:val="0"/>
            <w:noProof/>
            <w:u w:val="none"/>
          </w:rPr>
          <w:t>A5 : Tableaux complémentaires du chapitre 6</w:t>
        </w:r>
        <w:r w:rsidR="0066267D" w:rsidRPr="0066267D">
          <w:rPr>
            <w:b w:val="0"/>
            <w:noProof/>
            <w:webHidden/>
          </w:rPr>
          <w:tab/>
        </w:r>
        <w:r w:rsidR="00182C97" w:rsidRPr="0066267D">
          <w:rPr>
            <w:b w:val="0"/>
            <w:noProof/>
            <w:webHidden/>
          </w:rPr>
          <w:fldChar w:fldCharType="begin"/>
        </w:r>
        <w:r w:rsidR="0066267D" w:rsidRPr="0066267D">
          <w:rPr>
            <w:b w:val="0"/>
            <w:noProof/>
            <w:webHidden/>
          </w:rPr>
          <w:instrText xml:space="preserve"> PAGEREF _Toc382322974 \h </w:instrText>
        </w:r>
        <w:r w:rsidR="00182C97" w:rsidRPr="0066267D">
          <w:rPr>
            <w:b w:val="0"/>
            <w:noProof/>
            <w:webHidden/>
          </w:rPr>
        </w:r>
        <w:r w:rsidR="00182C97" w:rsidRPr="0066267D">
          <w:rPr>
            <w:b w:val="0"/>
            <w:noProof/>
            <w:webHidden/>
          </w:rPr>
          <w:fldChar w:fldCharType="separate"/>
        </w:r>
        <w:r w:rsidR="00AB1967">
          <w:rPr>
            <w:b w:val="0"/>
            <w:noProof/>
            <w:webHidden/>
          </w:rPr>
          <w:t>218</w:t>
        </w:r>
        <w:r w:rsidR="00182C97" w:rsidRPr="0066267D">
          <w:rPr>
            <w:b w:val="0"/>
            <w:noProof/>
            <w:webHidden/>
          </w:rPr>
          <w:fldChar w:fldCharType="end"/>
        </w:r>
      </w:hyperlink>
    </w:p>
    <w:p w:rsidR="00206595" w:rsidRPr="0066267D" w:rsidRDefault="00182C97" w:rsidP="0066267D">
      <w:pPr>
        <w:spacing w:line="276" w:lineRule="auto"/>
        <w:contextualSpacing/>
        <w:rPr>
          <w:rFonts w:ascii="Times New Roman" w:hAnsi="Times New Roman"/>
          <w:sz w:val="24"/>
          <w:szCs w:val="24"/>
        </w:rPr>
      </w:pPr>
      <w:r w:rsidRPr="0066267D">
        <w:rPr>
          <w:rFonts w:ascii="Times New Roman" w:hAnsi="Times New Roman"/>
          <w:sz w:val="24"/>
          <w:szCs w:val="24"/>
          <w:highlight w:val="yellow"/>
        </w:rPr>
        <w:fldChar w:fldCharType="end"/>
      </w:r>
    </w:p>
    <w:p w:rsidR="00206595" w:rsidRPr="0066267D" w:rsidRDefault="00206595" w:rsidP="0066267D">
      <w:pPr>
        <w:contextualSpacing/>
      </w:pPr>
    </w:p>
    <w:p w:rsidR="006D439C" w:rsidRDefault="006D439C" w:rsidP="0066267D">
      <w:pPr>
        <w:contextualSpacing/>
        <w:rPr>
          <w:rFonts w:ascii="Times New Roman" w:hAnsi="Times New Roman"/>
          <w:sz w:val="24"/>
          <w:szCs w:val="24"/>
          <w:highlight w:val="yellow"/>
        </w:rPr>
      </w:pPr>
    </w:p>
    <w:p w:rsidR="00126FFC" w:rsidRDefault="00126FFC" w:rsidP="0066267D">
      <w:pPr>
        <w:contextualSpacing/>
        <w:rPr>
          <w:rFonts w:ascii="Times New Roman" w:hAnsi="Times New Roman"/>
          <w:sz w:val="24"/>
          <w:szCs w:val="24"/>
          <w:highlight w:val="yellow"/>
        </w:rPr>
        <w:sectPr w:rsidR="00126FFC" w:rsidSect="001B4547">
          <w:footerReference w:type="default" r:id="rId18"/>
          <w:pgSz w:w="11906" w:h="16838"/>
          <w:pgMar w:top="1417" w:right="1417" w:bottom="1417" w:left="1417" w:header="284" w:footer="708" w:gutter="0"/>
          <w:cols w:space="708"/>
          <w:docGrid w:linePitch="360"/>
        </w:sectPr>
      </w:pPr>
    </w:p>
    <w:p w:rsidR="00126FFC" w:rsidRPr="00126FFC" w:rsidRDefault="00126FFC" w:rsidP="00126FFC">
      <w:pPr>
        <w:spacing w:line="240" w:lineRule="auto"/>
        <w:contextualSpacing/>
        <w:rPr>
          <w:rFonts w:ascii="Times New Roman" w:hAnsi="Times New Roman"/>
          <w:sz w:val="6"/>
          <w:szCs w:val="6"/>
          <w:highlight w:val="yellow"/>
        </w:r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EB00DF" w:rsidTr="00AD715F">
        <w:trPr>
          <w:trHeight w:val="756"/>
        </w:trPr>
        <w:tc>
          <w:tcPr>
            <w:tcW w:w="1418" w:type="dxa"/>
            <w:tcBorders>
              <w:right w:val="thinThickSmallGap" w:sz="24" w:space="0" w:color="FFFFFF" w:themeColor="background1"/>
            </w:tcBorders>
            <w:shd w:val="clear" w:color="auto" w:fill="92CDDC" w:themeFill="accent5" w:themeFillTint="99"/>
          </w:tcPr>
          <w:p w:rsidR="00EB00DF" w:rsidRPr="00494CC8" w:rsidRDefault="00EB00DF" w:rsidP="00AD715F">
            <w:pPr>
              <w:pStyle w:val="Titre1"/>
              <w:spacing w:line="240" w:lineRule="auto"/>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vAlign w:val="center"/>
          </w:tcPr>
          <w:p w:rsidR="00EB00DF" w:rsidRPr="006D439C" w:rsidRDefault="0023055C" w:rsidP="00AD715F">
            <w:pPr>
              <w:pStyle w:val="Titre1"/>
              <w:spacing w:before="0"/>
              <w:jc w:val="left"/>
              <w:outlineLvl w:val="0"/>
              <w:rPr>
                <w:rFonts w:ascii="Times New Roman" w:hAnsi="Times New Roman" w:cs="Times New Roman"/>
                <w:sz w:val="52"/>
                <w:szCs w:val="52"/>
              </w:rPr>
            </w:pPr>
            <w:r>
              <w:rPr>
                <w:rFonts w:ascii="Times New Roman" w:hAnsi="Times New Roman" w:cs="Times New Roman"/>
                <w:sz w:val="52"/>
                <w:szCs w:val="52"/>
              </w:rPr>
              <w:t>Préface</w:t>
            </w:r>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EB00DF" w:rsidRPr="00E04E53" w:rsidRDefault="00EB00DF" w:rsidP="00AD715F">
            <w:pPr>
              <w:pStyle w:val="Titre1"/>
              <w:spacing w:line="240" w:lineRule="auto"/>
              <w:jc w:val="center"/>
              <w:outlineLvl w:val="0"/>
              <w:rPr>
                <w:rFonts w:ascii="Times New Roman" w:hAnsi="Times New Roman" w:cs="Times New Roman"/>
                <w:sz w:val="52"/>
                <w:szCs w:val="52"/>
              </w:rPr>
            </w:pPr>
          </w:p>
        </w:tc>
      </w:tr>
    </w:tbl>
    <w:p w:rsidR="0012102B" w:rsidRPr="0012102B" w:rsidRDefault="0012102B" w:rsidP="0012102B">
      <w:pPr>
        <w:pStyle w:val="NormalWeb"/>
        <w:spacing w:before="0" w:beforeAutospacing="0" w:after="0" w:afterAutospacing="0" w:line="276" w:lineRule="auto"/>
        <w:jc w:val="both"/>
      </w:pPr>
      <w:r w:rsidRPr="0012102B">
        <w:t xml:space="preserve">Ce rapport est le fruit d’un partenariat entre la Banque mondiale et l’Institut National de la Statistique et de l’Analyse Economique. Il  apporte un éclairage sur l’évolution de la pauvreté, les mécanismes de corrélation entre croissance et réduction de la pauvreté, les liens entre les services assurés par l’Etat et l’impact des dépenses publiques sur les mesures de lutte contre la pauvreté. </w:t>
      </w:r>
    </w:p>
    <w:p w:rsidR="0012102B" w:rsidRPr="0012102B" w:rsidRDefault="0012102B" w:rsidP="0012102B">
      <w:pPr>
        <w:pStyle w:val="NormalWeb"/>
        <w:spacing w:before="0" w:beforeAutospacing="0" w:after="0" w:afterAutospacing="0" w:line="276" w:lineRule="auto"/>
        <w:jc w:val="both"/>
      </w:pPr>
    </w:p>
    <w:p w:rsidR="0012102B" w:rsidRPr="0012102B" w:rsidRDefault="0012102B" w:rsidP="0012102B">
      <w:pPr>
        <w:pStyle w:val="NormalWeb"/>
        <w:spacing w:before="0" w:beforeAutospacing="0" w:after="0" w:afterAutospacing="0" w:line="276" w:lineRule="auto"/>
        <w:jc w:val="both"/>
      </w:pPr>
      <w:r w:rsidRPr="0012102B">
        <w:t xml:space="preserve">Tout d’abord, il permet de bien comprendre les caractéristiques et la dynamique de la pauvreté au Bénin pour se faire une idée plus claire de la situation. Ensuite, il permet de répondre à la question de savoir pourquoi la croissance n’a-t-elle pas été plus favorable aux pauvres et de comprendre comment les dépenses publiques pourraient mieux répondre aux besoins des pauvres. Le rapport se penche enfin sur le niveau et les facteurs qui conditionnent l’inégalité d’accès des ménages selon le genre. Je voudrais féliciter et encourager l’INSAE dans sa mission à fournir les données de qualité pour la prise de décision économique et sociale. </w:t>
      </w:r>
    </w:p>
    <w:p w:rsidR="0012102B" w:rsidRPr="0012102B" w:rsidRDefault="0012102B" w:rsidP="0012102B">
      <w:pPr>
        <w:pStyle w:val="NormalWeb"/>
        <w:spacing w:before="0" w:beforeAutospacing="0" w:after="0" w:afterAutospacing="0" w:line="276" w:lineRule="auto"/>
        <w:jc w:val="both"/>
      </w:pPr>
    </w:p>
    <w:p w:rsidR="0012102B" w:rsidRPr="0012102B" w:rsidRDefault="0012102B" w:rsidP="0012102B">
      <w:pPr>
        <w:pStyle w:val="NormalWeb"/>
        <w:spacing w:before="0" w:beforeAutospacing="0" w:after="0" w:afterAutospacing="0" w:line="276" w:lineRule="auto"/>
        <w:jc w:val="both"/>
      </w:pPr>
      <w:r w:rsidRPr="0012102B">
        <w:t xml:space="preserve">Le Gouvernement par ma voix attachera un grand prix aux résultats de cette étude qui aideront à coup sûr à concevoir des stratégies idoines pour favoriser une réduction plus conséquente de la pauvreté au Bénin. </w:t>
      </w:r>
    </w:p>
    <w:p w:rsidR="0012102B" w:rsidRPr="0012102B" w:rsidRDefault="0012102B" w:rsidP="0012102B">
      <w:pPr>
        <w:pStyle w:val="NormalWeb"/>
        <w:spacing w:before="0" w:beforeAutospacing="0" w:after="0" w:afterAutospacing="0" w:line="276" w:lineRule="auto"/>
        <w:jc w:val="both"/>
      </w:pPr>
    </w:p>
    <w:p w:rsidR="0012102B" w:rsidRPr="0012102B" w:rsidRDefault="0012102B" w:rsidP="0012102B">
      <w:pPr>
        <w:pStyle w:val="NormalWeb"/>
        <w:spacing w:before="0" w:beforeAutospacing="0" w:after="0" w:afterAutospacing="0" w:line="276" w:lineRule="auto"/>
        <w:jc w:val="both"/>
      </w:pPr>
      <w:r w:rsidRPr="0012102B">
        <w:t xml:space="preserve">Je tiens donc à féliciter le Directeur Général de l’INSAE et son équipe pour le professionnalisme remarquable apporté dans l’aboutissement de cette étude. J’adresse une mention spéciale aux universitaires et aux personnes ressources qui se sont efficacement associées au présent travail. Je formule le vœu et l’espoir de voir cet engagement s’élargir dans l’amélioration des statistiques en vue d’accroître leur fiabilité et leur pertinence. </w:t>
      </w:r>
    </w:p>
    <w:p w:rsidR="0012102B" w:rsidRPr="0012102B" w:rsidRDefault="0012102B" w:rsidP="0012102B">
      <w:pPr>
        <w:pStyle w:val="NormalWeb"/>
        <w:spacing w:before="0" w:beforeAutospacing="0" w:after="0" w:afterAutospacing="0" w:line="276" w:lineRule="auto"/>
        <w:ind w:firstLine="720"/>
        <w:jc w:val="both"/>
      </w:pPr>
    </w:p>
    <w:p w:rsidR="0012102B" w:rsidRPr="0012102B" w:rsidRDefault="0012102B" w:rsidP="0012102B">
      <w:pPr>
        <w:pStyle w:val="NormalWeb"/>
        <w:spacing w:before="0" w:beforeAutospacing="0" w:after="0" w:afterAutospacing="0" w:line="276" w:lineRule="auto"/>
        <w:jc w:val="both"/>
      </w:pPr>
      <w:r w:rsidRPr="0012102B">
        <w:t xml:space="preserve">Je voudrais, au nom du Gouvernement du Dr Boni YAYI, saluer les Partenaires techniques et financiers qui accompagnent le Gouvernement dans le renforcement de l’appareil statistique en général et dans le processus de fiabilisation des statistiques en particulier. Cette étude n’aurait pas connu une réalisation effective sans l’appui remarquable de la Banque Mondiale. </w:t>
      </w:r>
    </w:p>
    <w:p w:rsidR="0012102B" w:rsidRPr="0012102B" w:rsidRDefault="0012102B" w:rsidP="0012102B">
      <w:pPr>
        <w:pStyle w:val="NormalWeb"/>
        <w:spacing w:before="0" w:beforeAutospacing="0" w:after="0" w:afterAutospacing="0" w:line="276" w:lineRule="auto"/>
        <w:ind w:firstLine="720"/>
        <w:jc w:val="both"/>
      </w:pPr>
    </w:p>
    <w:p w:rsidR="0012102B" w:rsidRPr="0012102B" w:rsidRDefault="0012102B" w:rsidP="0012102B">
      <w:pPr>
        <w:pStyle w:val="NormalWeb"/>
        <w:spacing w:before="0" w:beforeAutospacing="0" w:after="0" w:afterAutospacing="0" w:line="276" w:lineRule="auto"/>
        <w:jc w:val="both"/>
      </w:pPr>
      <w:r w:rsidRPr="0012102B">
        <w:t>Le Gouvernement, par ma voix, s’engage à étudier la mise en œuvre des  recommandations formulées par rapport aux options de réponse proposées à l’issue de la présente évaluation.</w:t>
      </w:r>
    </w:p>
    <w:p w:rsidR="0012102B" w:rsidRPr="0012102B" w:rsidRDefault="0012102B" w:rsidP="0012102B">
      <w:pPr>
        <w:pStyle w:val="NormalWeb"/>
        <w:spacing w:before="0" w:beforeAutospacing="0" w:after="0" w:afterAutospacing="0" w:line="276" w:lineRule="auto"/>
        <w:jc w:val="both"/>
      </w:pPr>
    </w:p>
    <w:p w:rsidR="0012102B" w:rsidRPr="0012102B" w:rsidRDefault="0012102B" w:rsidP="0023055C">
      <w:pPr>
        <w:pStyle w:val="NormalWeb"/>
        <w:jc w:val="right"/>
      </w:pPr>
      <w:r w:rsidRPr="0012102B">
        <w:t xml:space="preserve">Le Ministre du Développement, de l’Analyse </w:t>
      </w:r>
    </w:p>
    <w:p w:rsidR="0012102B" w:rsidRPr="0012102B" w:rsidRDefault="0012102B" w:rsidP="0023055C">
      <w:pPr>
        <w:pStyle w:val="NormalWeb"/>
        <w:jc w:val="right"/>
      </w:pPr>
      <w:r w:rsidRPr="0012102B">
        <w:t>Economique et de la Prospective</w:t>
      </w:r>
    </w:p>
    <w:p w:rsidR="0012102B" w:rsidRPr="0012102B" w:rsidRDefault="0012102B" w:rsidP="0012102B">
      <w:pPr>
        <w:pStyle w:val="NormalWeb"/>
        <w:spacing w:line="276" w:lineRule="auto"/>
        <w:jc w:val="right"/>
      </w:pPr>
    </w:p>
    <w:p w:rsidR="0012102B" w:rsidRPr="0012102B" w:rsidRDefault="0012102B" w:rsidP="0012102B">
      <w:pPr>
        <w:pStyle w:val="NormalWeb"/>
        <w:spacing w:line="276" w:lineRule="auto"/>
        <w:jc w:val="right"/>
      </w:pPr>
      <w:r w:rsidRPr="0012102B">
        <w:t>Marcel A de Souza</w:t>
      </w:r>
    </w:p>
    <w:p w:rsidR="00EB00DF" w:rsidRPr="0012102B" w:rsidRDefault="00EB00DF" w:rsidP="0012102B">
      <w:pPr>
        <w:spacing w:line="276" w:lineRule="auto"/>
        <w:rPr>
          <w:rFonts w:ascii="Times New Roman" w:hAnsi="Times New Roman"/>
          <w:b/>
          <w:sz w:val="24"/>
          <w:szCs w:val="24"/>
          <w:highlight w:val="yellow"/>
        </w:rPr>
        <w:sectPr w:rsidR="00EB00DF" w:rsidRPr="0012102B" w:rsidSect="001B4547">
          <w:pgSz w:w="11906" w:h="16838"/>
          <w:pgMar w:top="1417"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987502" w:rsidTr="00DA5BAE">
        <w:trPr>
          <w:trHeight w:val="756"/>
        </w:trPr>
        <w:tc>
          <w:tcPr>
            <w:tcW w:w="1418" w:type="dxa"/>
            <w:tcBorders>
              <w:right w:val="thinThickSmallGap" w:sz="24" w:space="0" w:color="FFFFFF" w:themeColor="background1"/>
            </w:tcBorders>
            <w:shd w:val="clear" w:color="auto" w:fill="92CDDC" w:themeFill="accent5" w:themeFillTint="99"/>
          </w:tcPr>
          <w:p w:rsidR="00987502" w:rsidRPr="00494CC8" w:rsidRDefault="00987502" w:rsidP="00DA5BAE">
            <w:pPr>
              <w:pStyle w:val="Titre1"/>
              <w:spacing w:line="240" w:lineRule="auto"/>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vAlign w:val="center"/>
          </w:tcPr>
          <w:p w:rsidR="00987502" w:rsidRPr="006D439C" w:rsidRDefault="00987502" w:rsidP="00DA5BAE">
            <w:pPr>
              <w:pStyle w:val="Titre1"/>
              <w:spacing w:before="0"/>
              <w:jc w:val="left"/>
              <w:outlineLvl w:val="0"/>
              <w:rPr>
                <w:rFonts w:ascii="Times New Roman" w:hAnsi="Times New Roman" w:cs="Times New Roman"/>
                <w:sz w:val="52"/>
                <w:szCs w:val="52"/>
              </w:rPr>
            </w:pPr>
            <w:bookmarkStart w:id="1" w:name="_Toc382322893"/>
            <w:r>
              <w:rPr>
                <w:rFonts w:ascii="Times New Roman" w:hAnsi="Times New Roman" w:cs="Times New Roman"/>
                <w:sz w:val="52"/>
                <w:szCs w:val="52"/>
              </w:rPr>
              <w:t>Avant-propos</w:t>
            </w:r>
            <w:bookmarkEnd w:id="1"/>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987502" w:rsidRPr="00E04E53" w:rsidRDefault="00987502" w:rsidP="00DA5BAE">
            <w:pPr>
              <w:pStyle w:val="Titre1"/>
              <w:spacing w:line="240" w:lineRule="auto"/>
              <w:jc w:val="center"/>
              <w:outlineLvl w:val="0"/>
              <w:rPr>
                <w:rFonts w:ascii="Times New Roman" w:hAnsi="Times New Roman" w:cs="Times New Roman"/>
                <w:sz w:val="52"/>
                <w:szCs w:val="52"/>
              </w:rPr>
            </w:pPr>
          </w:p>
        </w:tc>
      </w:tr>
    </w:tbl>
    <w:p w:rsidR="006B550D" w:rsidRDefault="006B550D" w:rsidP="006B550D">
      <w:pPr>
        <w:spacing w:line="276" w:lineRule="auto"/>
        <w:rPr>
          <w:rFonts w:ascii="Times New Roman" w:hAnsi="Times New Roman"/>
          <w:sz w:val="24"/>
          <w:szCs w:val="24"/>
        </w:rPr>
      </w:pPr>
    </w:p>
    <w:p w:rsidR="006B550D" w:rsidRPr="006B550D" w:rsidRDefault="006B550D" w:rsidP="006B550D">
      <w:pPr>
        <w:spacing w:line="276" w:lineRule="auto"/>
        <w:rPr>
          <w:rFonts w:ascii="Times New Roman" w:hAnsi="Times New Roman"/>
          <w:sz w:val="24"/>
          <w:szCs w:val="24"/>
        </w:rPr>
      </w:pPr>
      <w:r w:rsidRPr="006B550D">
        <w:rPr>
          <w:rFonts w:ascii="Times New Roman" w:hAnsi="Times New Roman"/>
          <w:sz w:val="24"/>
          <w:szCs w:val="24"/>
        </w:rPr>
        <w:t xml:space="preserve">La Banque mondiale se réjouit de l’aboutissement </w:t>
      </w:r>
      <w:r w:rsidRPr="002055A7">
        <w:rPr>
          <w:rFonts w:ascii="Times New Roman" w:hAnsi="Times New Roman"/>
          <w:sz w:val="24"/>
          <w:szCs w:val="24"/>
        </w:rPr>
        <w:t>d</w:t>
      </w:r>
      <w:r w:rsidR="002055A7" w:rsidRPr="002055A7">
        <w:rPr>
          <w:rFonts w:ascii="Times New Roman" w:hAnsi="Times New Roman"/>
          <w:sz w:val="24"/>
          <w:szCs w:val="24"/>
        </w:rPr>
        <w:t xml:space="preserve">e ce partenariat </w:t>
      </w:r>
      <w:r w:rsidR="00003BC5">
        <w:rPr>
          <w:rFonts w:ascii="Times New Roman" w:hAnsi="Times New Roman"/>
          <w:sz w:val="24"/>
          <w:szCs w:val="24"/>
        </w:rPr>
        <w:t xml:space="preserve">avec l’Institut National de la Statistique et de l’Analyse Economique (INSAE) </w:t>
      </w:r>
      <w:r w:rsidRPr="006B550D">
        <w:rPr>
          <w:rFonts w:ascii="Times New Roman" w:hAnsi="Times New Roman"/>
          <w:sz w:val="24"/>
          <w:szCs w:val="24"/>
        </w:rPr>
        <w:t>qui a conduit à la production du présent document sur l’évaluation approfondie de la pauvreté au Bénin au cours de ces dernières années.</w:t>
      </w:r>
    </w:p>
    <w:p w:rsidR="006B550D" w:rsidRDefault="006B550D" w:rsidP="006B550D">
      <w:pPr>
        <w:spacing w:line="276" w:lineRule="auto"/>
        <w:rPr>
          <w:rFonts w:ascii="Times New Roman" w:hAnsi="Times New Roman"/>
          <w:sz w:val="24"/>
          <w:szCs w:val="24"/>
        </w:rPr>
      </w:pPr>
    </w:p>
    <w:p w:rsidR="006B550D" w:rsidRPr="006B550D" w:rsidRDefault="006B550D" w:rsidP="006B550D">
      <w:pPr>
        <w:spacing w:line="276" w:lineRule="auto"/>
        <w:rPr>
          <w:rFonts w:ascii="Times New Roman" w:hAnsi="Times New Roman"/>
          <w:sz w:val="24"/>
          <w:szCs w:val="24"/>
        </w:rPr>
      </w:pPr>
      <w:r w:rsidRPr="006B550D">
        <w:rPr>
          <w:rFonts w:ascii="Times New Roman" w:hAnsi="Times New Roman"/>
          <w:sz w:val="24"/>
          <w:szCs w:val="24"/>
        </w:rPr>
        <w:t>Pour concevoir des politiques et des stratégies efficaces de réduction de la pauvreté, dans un pays ou une région donnée, il est essentiel d’en comprendre les caractéristiques et déterminants.</w:t>
      </w:r>
      <w:r>
        <w:rPr>
          <w:rFonts w:ascii="Times New Roman" w:hAnsi="Times New Roman"/>
          <w:sz w:val="24"/>
          <w:szCs w:val="24"/>
        </w:rPr>
        <w:t xml:space="preserve"> </w:t>
      </w:r>
      <w:r w:rsidRPr="006B550D">
        <w:rPr>
          <w:rFonts w:ascii="Times New Roman" w:hAnsi="Times New Roman"/>
          <w:sz w:val="24"/>
          <w:szCs w:val="24"/>
        </w:rPr>
        <w:t>En effet, les techniques de mesure de la pauvreté peuvent permettre de faire la lumière sur l’évolution de la pauvreté, à travers par exemple son augmentation ou sa diminution dans le temps, la nature pro-pauvre ou non de la croissance économique, l’efficacité des politiques publiques, etc.</w:t>
      </w:r>
    </w:p>
    <w:p w:rsidR="006B550D" w:rsidRDefault="006B550D" w:rsidP="006B550D">
      <w:pPr>
        <w:spacing w:line="276" w:lineRule="auto"/>
        <w:rPr>
          <w:rFonts w:ascii="Times New Roman" w:hAnsi="Times New Roman"/>
          <w:sz w:val="24"/>
          <w:szCs w:val="24"/>
        </w:rPr>
      </w:pPr>
    </w:p>
    <w:p w:rsidR="006B550D" w:rsidRDefault="006B550D" w:rsidP="006B550D">
      <w:pPr>
        <w:spacing w:line="276" w:lineRule="auto"/>
        <w:rPr>
          <w:rFonts w:ascii="Times New Roman" w:hAnsi="Times New Roman"/>
          <w:sz w:val="24"/>
          <w:szCs w:val="24"/>
        </w:rPr>
      </w:pPr>
      <w:r w:rsidRPr="000A1D2E">
        <w:rPr>
          <w:rFonts w:ascii="Times New Roman" w:hAnsi="Times New Roman"/>
          <w:sz w:val="24"/>
          <w:szCs w:val="24"/>
        </w:rPr>
        <w:t>Les profils de pauvreté sont des outils à même d’aider les gouvernements à identifier entre autres, les pauvres par région, niveau d'éducation, sexe, ou selon la forme d'emploi.</w:t>
      </w:r>
    </w:p>
    <w:p w:rsidR="00951643" w:rsidRPr="006B550D" w:rsidRDefault="00951643" w:rsidP="006B550D">
      <w:pPr>
        <w:spacing w:line="276" w:lineRule="auto"/>
        <w:rPr>
          <w:rFonts w:ascii="Times New Roman" w:hAnsi="Times New Roman"/>
          <w:sz w:val="24"/>
          <w:szCs w:val="24"/>
        </w:rPr>
      </w:pPr>
    </w:p>
    <w:p w:rsidR="009537C7" w:rsidRDefault="006B550D" w:rsidP="006B550D">
      <w:pPr>
        <w:spacing w:line="276" w:lineRule="auto"/>
        <w:rPr>
          <w:rFonts w:ascii="Times New Roman" w:hAnsi="Times New Roman"/>
          <w:sz w:val="24"/>
          <w:szCs w:val="24"/>
        </w:rPr>
      </w:pPr>
      <w:r w:rsidRPr="006B550D">
        <w:rPr>
          <w:rFonts w:ascii="Times New Roman" w:hAnsi="Times New Roman"/>
          <w:sz w:val="24"/>
          <w:szCs w:val="24"/>
        </w:rPr>
        <w:t>Avec de bonnes données sur la pauvreté, il est également possible d’évaluer la façon dont pauvres sont touchés par les politiques gouvernementales et de mieux apprendre à promouvoir des formes de croissance qui ont une meilleure chance de leur bénéficier.</w:t>
      </w:r>
      <w:r w:rsidR="00951643">
        <w:rPr>
          <w:rFonts w:ascii="Times New Roman" w:hAnsi="Times New Roman"/>
          <w:sz w:val="24"/>
          <w:szCs w:val="24"/>
        </w:rPr>
        <w:t xml:space="preserve"> </w:t>
      </w:r>
    </w:p>
    <w:p w:rsidR="009537C7" w:rsidRDefault="009537C7" w:rsidP="006B550D">
      <w:pPr>
        <w:spacing w:line="276" w:lineRule="auto"/>
        <w:rPr>
          <w:rFonts w:ascii="Times New Roman" w:hAnsi="Times New Roman"/>
          <w:sz w:val="24"/>
          <w:szCs w:val="24"/>
        </w:rPr>
      </w:pPr>
    </w:p>
    <w:p w:rsidR="006B550D" w:rsidRPr="006B550D" w:rsidRDefault="006B550D" w:rsidP="006B550D">
      <w:pPr>
        <w:spacing w:line="276" w:lineRule="auto"/>
        <w:rPr>
          <w:rFonts w:ascii="Times New Roman" w:hAnsi="Times New Roman"/>
          <w:sz w:val="24"/>
          <w:szCs w:val="24"/>
        </w:rPr>
      </w:pPr>
      <w:r w:rsidRPr="006B550D">
        <w:rPr>
          <w:rFonts w:ascii="Times New Roman" w:hAnsi="Times New Roman"/>
          <w:sz w:val="24"/>
          <w:szCs w:val="24"/>
        </w:rPr>
        <w:t>Mais la mesure de la pauvreté n’est que la première étape vers des politiques économiques pro-pauvres.</w:t>
      </w:r>
    </w:p>
    <w:p w:rsidR="006B550D" w:rsidRDefault="006B550D" w:rsidP="006B550D">
      <w:pPr>
        <w:spacing w:line="276" w:lineRule="auto"/>
        <w:rPr>
          <w:rFonts w:ascii="Times New Roman" w:hAnsi="Times New Roman"/>
          <w:sz w:val="24"/>
          <w:szCs w:val="24"/>
        </w:rPr>
      </w:pPr>
    </w:p>
    <w:p w:rsidR="006B550D" w:rsidRDefault="006B550D" w:rsidP="006B550D">
      <w:pPr>
        <w:spacing w:line="276" w:lineRule="auto"/>
        <w:rPr>
          <w:rFonts w:ascii="Times New Roman" w:hAnsi="Times New Roman"/>
          <w:sz w:val="24"/>
          <w:szCs w:val="24"/>
        </w:rPr>
      </w:pPr>
      <w:r w:rsidRPr="006B550D">
        <w:rPr>
          <w:rFonts w:ascii="Times New Roman" w:hAnsi="Times New Roman"/>
          <w:sz w:val="24"/>
          <w:szCs w:val="24"/>
        </w:rPr>
        <w:t>La deuxième étape consiste à comprendre le mode de fonctionnement de l’économie dans son ensemble à travers la production économique, l'inflation, le chômage, les dépenses gouvernementales et les liens entre ces différents facteurs macroéconomiques et la pauvreté.</w:t>
      </w:r>
    </w:p>
    <w:p w:rsidR="006B550D" w:rsidRPr="006B550D" w:rsidRDefault="006B550D" w:rsidP="006B550D">
      <w:pPr>
        <w:spacing w:line="276" w:lineRule="auto"/>
        <w:rPr>
          <w:rFonts w:ascii="Times New Roman" w:hAnsi="Times New Roman"/>
          <w:sz w:val="24"/>
          <w:szCs w:val="24"/>
        </w:rPr>
      </w:pPr>
    </w:p>
    <w:p w:rsidR="006B550D" w:rsidRDefault="006B550D" w:rsidP="006B550D">
      <w:pPr>
        <w:spacing w:line="276" w:lineRule="auto"/>
        <w:rPr>
          <w:rFonts w:ascii="Times New Roman" w:hAnsi="Times New Roman"/>
          <w:sz w:val="24"/>
          <w:szCs w:val="24"/>
        </w:rPr>
      </w:pPr>
      <w:r w:rsidRPr="006B550D">
        <w:rPr>
          <w:rFonts w:ascii="Times New Roman" w:hAnsi="Times New Roman"/>
          <w:sz w:val="24"/>
          <w:szCs w:val="24"/>
        </w:rPr>
        <w:t>Le présent rapport présente des résultats intéressants en ce qui concerne :</w:t>
      </w:r>
    </w:p>
    <w:p w:rsidR="006B550D" w:rsidRPr="006B550D" w:rsidRDefault="006B550D" w:rsidP="006B550D">
      <w:pPr>
        <w:spacing w:line="276" w:lineRule="auto"/>
        <w:rPr>
          <w:rFonts w:ascii="Times New Roman" w:hAnsi="Times New Roman"/>
          <w:sz w:val="24"/>
          <w:szCs w:val="24"/>
        </w:rPr>
      </w:pPr>
    </w:p>
    <w:p w:rsidR="006A1A25" w:rsidRPr="006B550D" w:rsidRDefault="006A1A25" w:rsidP="006A1A25">
      <w:pPr>
        <w:pStyle w:val="Paragraphedeliste"/>
        <w:numPr>
          <w:ilvl w:val="0"/>
          <w:numId w:val="23"/>
        </w:numPr>
        <w:spacing w:line="276" w:lineRule="auto"/>
        <w:contextualSpacing w:val="0"/>
        <w:rPr>
          <w:rFonts w:ascii="Times New Roman" w:hAnsi="Times New Roman"/>
        </w:rPr>
      </w:pPr>
      <w:r w:rsidRPr="006B550D">
        <w:rPr>
          <w:rFonts w:ascii="Times New Roman" w:hAnsi="Times New Roman"/>
        </w:rPr>
        <w:t>La situation de la pauvreté par région, par secteur, par sexe et par groupe démographique</w:t>
      </w:r>
      <w:r w:rsidR="00AA0945">
        <w:rPr>
          <w:rFonts w:ascii="Times New Roman" w:hAnsi="Times New Roman"/>
        </w:rPr>
        <w:t xml:space="preserve"> au Bénin</w:t>
      </w:r>
      <w:r w:rsidR="009537C7">
        <w:rPr>
          <w:rFonts w:ascii="Times New Roman" w:hAnsi="Times New Roman"/>
        </w:rPr>
        <w:t> ;</w:t>
      </w:r>
    </w:p>
    <w:p w:rsidR="006B550D" w:rsidRPr="006B550D" w:rsidRDefault="006B550D" w:rsidP="006B550D">
      <w:pPr>
        <w:pStyle w:val="Paragraphedeliste"/>
        <w:numPr>
          <w:ilvl w:val="0"/>
          <w:numId w:val="23"/>
        </w:numPr>
        <w:spacing w:line="276" w:lineRule="auto"/>
        <w:contextualSpacing w:val="0"/>
        <w:rPr>
          <w:rFonts w:ascii="Times New Roman" w:hAnsi="Times New Roman"/>
        </w:rPr>
      </w:pPr>
      <w:r w:rsidRPr="006B550D">
        <w:rPr>
          <w:rFonts w:ascii="Times New Roman" w:hAnsi="Times New Roman"/>
        </w:rPr>
        <w:t>les caractéristiques et la dynamique de la pauvreté au Bénin ;</w:t>
      </w:r>
    </w:p>
    <w:p w:rsidR="006B550D" w:rsidRPr="006B550D" w:rsidRDefault="006B550D" w:rsidP="006B550D">
      <w:pPr>
        <w:pStyle w:val="Paragraphedeliste"/>
        <w:numPr>
          <w:ilvl w:val="0"/>
          <w:numId w:val="23"/>
        </w:numPr>
        <w:spacing w:line="276" w:lineRule="auto"/>
        <w:contextualSpacing w:val="0"/>
        <w:rPr>
          <w:rFonts w:ascii="Times New Roman" w:hAnsi="Times New Roman"/>
        </w:rPr>
      </w:pPr>
      <w:r w:rsidRPr="006B550D">
        <w:rPr>
          <w:rFonts w:ascii="Times New Roman" w:hAnsi="Times New Roman"/>
        </w:rPr>
        <w:t>Les impacts des chocs survenus au cours des dernières années sur la pauvreté des ménages ;</w:t>
      </w:r>
    </w:p>
    <w:p w:rsidR="006B550D" w:rsidRPr="006B550D" w:rsidRDefault="006B550D" w:rsidP="006B550D">
      <w:pPr>
        <w:pStyle w:val="Paragraphedeliste"/>
        <w:numPr>
          <w:ilvl w:val="0"/>
          <w:numId w:val="23"/>
        </w:numPr>
        <w:spacing w:line="276" w:lineRule="auto"/>
        <w:contextualSpacing w:val="0"/>
        <w:rPr>
          <w:rFonts w:ascii="Times New Roman" w:hAnsi="Times New Roman"/>
        </w:rPr>
      </w:pPr>
      <w:r w:rsidRPr="006B550D">
        <w:rPr>
          <w:rFonts w:ascii="Times New Roman" w:hAnsi="Times New Roman"/>
        </w:rPr>
        <w:t>Les liens entre croissance économique et la réduction de la pauvreté ;</w:t>
      </w:r>
    </w:p>
    <w:p w:rsidR="006B550D" w:rsidRPr="006B550D" w:rsidRDefault="006B550D" w:rsidP="006B550D">
      <w:pPr>
        <w:pStyle w:val="Paragraphedeliste"/>
        <w:numPr>
          <w:ilvl w:val="0"/>
          <w:numId w:val="23"/>
        </w:numPr>
        <w:spacing w:line="276" w:lineRule="auto"/>
        <w:contextualSpacing w:val="0"/>
        <w:rPr>
          <w:rFonts w:ascii="Times New Roman" w:hAnsi="Times New Roman"/>
        </w:rPr>
      </w:pPr>
      <w:r w:rsidRPr="006B550D">
        <w:rPr>
          <w:rFonts w:ascii="Times New Roman" w:hAnsi="Times New Roman"/>
        </w:rPr>
        <w:t>Les liens entre les services assurés par l’État et l’impact des dépenses publiques sur les mesures de lutte contre la pauvreté ;</w:t>
      </w:r>
    </w:p>
    <w:p w:rsidR="006B550D" w:rsidRDefault="006B550D" w:rsidP="006B550D">
      <w:pPr>
        <w:spacing w:line="276" w:lineRule="auto"/>
        <w:rPr>
          <w:rFonts w:ascii="Times New Roman" w:hAnsi="Times New Roman"/>
          <w:sz w:val="24"/>
          <w:szCs w:val="24"/>
        </w:rPr>
      </w:pPr>
    </w:p>
    <w:p w:rsidR="006B550D" w:rsidRPr="006B550D" w:rsidRDefault="006B550D" w:rsidP="006B550D">
      <w:pPr>
        <w:spacing w:line="276" w:lineRule="auto"/>
        <w:rPr>
          <w:rFonts w:ascii="Times New Roman" w:hAnsi="Times New Roman"/>
          <w:sz w:val="24"/>
          <w:szCs w:val="24"/>
        </w:rPr>
      </w:pPr>
      <w:r w:rsidRPr="006B550D">
        <w:rPr>
          <w:rFonts w:ascii="Times New Roman" w:hAnsi="Times New Roman"/>
          <w:sz w:val="24"/>
          <w:szCs w:val="24"/>
        </w:rPr>
        <w:t>Nous espérons que les résultats obtenus aideront le gouvernement à définir et mettre en œuvre des réformes, politiques et programmes qui permettent d’accélérer la réduction de la pauvreté.</w:t>
      </w:r>
    </w:p>
    <w:p w:rsidR="006B550D" w:rsidRPr="006B550D" w:rsidRDefault="006B550D" w:rsidP="006B550D">
      <w:pPr>
        <w:spacing w:line="276" w:lineRule="auto"/>
        <w:rPr>
          <w:rFonts w:ascii="Times New Roman" w:hAnsi="Times New Roman"/>
          <w:sz w:val="28"/>
          <w:szCs w:val="28"/>
        </w:rPr>
      </w:pPr>
    </w:p>
    <w:p w:rsidR="00987502" w:rsidRDefault="006B550D" w:rsidP="004315AA">
      <w:pPr>
        <w:spacing w:line="276" w:lineRule="auto"/>
        <w:jc w:val="right"/>
        <w:rPr>
          <w:rFonts w:ascii="Times New Roman" w:hAnsi="Times New Roman"/>
          <w:b/>
          <w:sz w:val="24"/>
          <w:szCs w:val="24"/>
          <w:highlight w:val="yellow"/>
        </w:rPr>
      </w:pPr>
      <w:r w:rsidRPr="006B550D">
        <w:rPr>
          <w:rFonts w:ascii="Times New Roman" w:hAnsi="Times New Roman"/>
          <w:b/>
          <w:sz w:val="24"/>
          <w:szCs w:val="28"/>
        </w:rPr>
        <w:t>Miria A.Pigato, Directrice PREM</w:t>
      </w: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6D439C" w:rsidTr="004557F6">
        <w:trPr>
          <w:trHeight w:val="756"/>
        </w:trPr>
        <w:tc>
          <w:tcPr>
            <w:tcW w:w="1418" w:type="dxa"/>
            <w:tcBorders>
              <w:right w:val="thinThickSmallGap" w:sz="24" w:space="0" w:color="FFFFFF" w:themeColor="background1"/>
            </w:tcBorders>
            <w:shd w:val="clear" w:color="auto" w:fill="92CDDC" w:themeFill="accent5" w:themeFillTint="99"/>
          </w:tcPr>
          <w:p w:rsidR="006D439C" w:rsidRPr="00494CC8" w:rsidRDefault="006D439C" w:rsidP="004557F6">
            <w:pPr>
              <w:pStyle w:val="Titre1"/>
              <w:spacing w:line="240" w:lineRule="auto"/>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vAlign w:val="center"/>
          </w:tcPr>
          <w:p w:rsidR="006D439C" w:rsidRPr="006D439C" w:rsidRDefault="006D439C" w:rsidP="004557F6">
            <w:pPr>
              <w:pStyle w:val="Titre1"/>
              <w:spacing w:before="0"/>
              <w:jc w:val="left"/>
              <w:outlineLvl w:val="0"/>
              <w:rPr>
                <w:rFonts w:ascii="Times New Roman" w:hAnsi="Times New Roman" w:cs="Times New Roman"/>
                <w:sz w:val="52"/>
                <w:szCs w:val="52"/>
              </w:rPr>
            </w:pPr>
            <w:bookmarkStart w:id="2" w:name="_Toc382322894"/>
            <w:r>
              <w:rPr>
                <w:rFonts w:ascii="Times New Roman" w:hAnsi="Times New Roman" w:cs="Times New Roman"/>
                <w:sz w:val="52"/>
                <w:szCs w:val="52"/>
              </w:rPr>
              <w:t>R</w:t>
            </w:r>
            <w:r w:rsidR="008F0A31">
              <w:rPr>
                <w:rFonts w:ascii="Times New Roman" w:hAnsi="Times New Roman" w:cs="Times New Roman"/>
                <w:sz w:val="52"/>
                <w:szCs w:val="52"/>
              </w:rPr>
              <w:t>emerciement</w:t>
            </w:r>
            <w:r w:rsidR="000E4289">
              <w:rPr>
                <w:rFonts w:ascii="Times New Roman" w:hAnsi="Times New Roman" w:cs="Times New Roman"/>
                <w:sz w:val="52"/>
                <w:szCs w:val="52"/>
              </w:rPr>
              <w:t>s</w:t>
            </w:r>
            <w:bookmarkEnd w:id="2"/>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6D439C" w:rsidRPr="00E04E53" w:rsidRDefault="006D439C" w:rsidP="004557F6">
            <w:pPr>
              <w:pStyle w:val="Titre1"/>
              <w:spacing w:line="240" w:lineRule="auto"/>
              <w:jc w:val="center"/>
              <w:outlineLvl w:val="0"/>
              <w:rPr>
                <w:rFonts w:ascii="Times New Roman" w:hAnsi="Times New Roman" w:cs="Times New Roman"/>
                <w:sz w:val="52"/>
                <w:szCs w:val="52"/>
              </w:rPr>
            </w:pPr>
          </w:p>
        </w:tc>
      </w:tr>
    </w:tbl>
    <w:p w:rsidR="006D439C" w:rsidRPr="00B13086" w:rsidRDefault="006D439C" w:rsidP="00206595">
      <w:pPr>
        <w:rPr>
          <w:rFonts w:ascii="Times New Roman" w:hAnsi="Times New Roman"/>
          <w:b/>
          <w:sz w:val="24"/>
          <w:szCs w:val="24"/>
        </w:rPr>
      </w:pPr>
    </w:p>
    <w:p w:rsidR="00CE79B0" w:rsidRPr="004178A9" w:rsidRDefault="001064B7">
      <w:pPr>
        <w:spacing w:line="276" w:lineRule="auto"/>
        <w:rPr>
          <w:rFonts w:ascii="Times New Roman" w:hAnsi="Times New Roman"/>
          <w:sz w:val="24"/>
          <w:szCs w:val="24"/>
        </w:rPr>
      </w:pPr>
      <w:r w:rsidRPr="004178A9">
        <w:rPr>
          <w:rFonts w:ascii="Times New Roman" w:hAnsi="Times New Roman"/>
          <w:sz w:val="24"/>
          <w:szCs w:val="24"/>
        </w:rPr>
        <w:t xml:space="preserve">Le présent document porte sur </w:t>
      </w:r>
      <w:r w:rsidR="00F26923" w:rsidRPr="004178A9">
        <w:rPr>
          <w:rFonts w:ascii="Times New Roman" w:hAnsi="Times New Roman"/>
          <w:sz w:val="24"/>
          <w:szCs w:val="24"/>
        </w:rPr>
        <w:t>l’é</w:t>
      </w:r>
      <w:r w:rsidRPr="004178A9">
        <w:rPr>
          <w:rFonts w:ascii="Times New Roman" w:hAnsi="Times New Roman"/>
          <w:sz w:val="24"/>
          <w:szCs w:val="24"/>
        </w:rPr>
        <w:t>valuation de la pauvreté au Bénin</w:t>
      </w:r>
      <w:r w:rsidR="00A95C30">
        <w:rPr>
          <w:rFonts w:ascii="Times New Roman" w:hAnsi="Times New Roman"/>
          <w:sz w:val="24"/>
          <w:szCs w:val="24"/>
        </w:rPr>
        <w:t xml:space="preserve">. Il </w:t>
      </w:r>
      <w:r w:rsidR="00030E1E">
        <w:rPr>
          <w:rFonts w:ascii="Times New Roman" w:hAnsi="Times New Roman"/>
          <w:sz w:val="24"/>
          <w:szCs w:val="24"/>
        </w:rPr>
        <w:t xml:space="preserve">a été financé par la Banque </w:t>
      </w:r>
      <w:r w:rsidR="006F3BFE">
        <w:rPr>
          <w:rFonts w:ascii="Times New Roman" w:hAnsi="Times New Roman"/>
          <w:sz w:val="24"/>
          <w:szCs w:val="24"/>
        </w:rPr>
        <w:t xml:space="preserve">Mondiale. </w:t>
      </w:r>
    </w:p>
    <w:p w:rsidR="00CE79B0" w:rsidRPr="004178A9" w:rsidRDefault="00CE79B0">
      <w:pPr>
        <w:spacing w:line="276" w:lineRule="auto"/>
        <w:rPr>
          <w:rFonts w:ascii="Times New Roman" w:hAnsi="Times New Roman"/>
          <w:sz w:val="24"/>
          <w:szCs w:val="24"/>
        </w:rPr>
      </w:pPr>
    </w:p>
    <w:p w:rsidR="00CE79B0" w:rsidRDefault="001064B7">
      <w:pPr>
        <w:spacing w:line="276" w:lineRule="auto"/>
        <w:rPr>
          <w:rFonts w:ascii="Times New Roman" w:hAnsi="Times New Roman"/>
          <w:sz w:val="24"/>
          <w:szCs w:val="24"/>
        </w:rPr>
      </w:pPr>
      <w:r w:rsidRPr="00567072">
        <w:rPr>
          <w:rFonts w:ascii="Times New Roman" w:hAnsi="Times New Roman"/>
          <w:sz w:val="24"/>
          <w:szCs w:val="24"/>
        </w:rPr>
        <w:t xml:space="preserve">Pour sa préparation, </w:t>
      </w:r>
      <w:r w:rsidR="0002066D">
        <w:rPr>
          <w:rFonts w:ascii="Times New Roman" w:hAnsi="Times New Roman"/>
          <w:sz w:val="24"/>
          <w:szCs w:val="24"/>
        </w:rPr>
        <w:t>il</w:t>
      </w:r>
      <w:r w:rsidR="00051595">
        <w:rPr>
          <w:rFonts w:ascii="Times New Roman" w:hAnsi="Times New Roman"/>
          <w:sz w:val="24"/>
          <w:szCs w:val="24"/>
        </w:rPr>
        <w:t xml:space="preserve"> </w:t>
      </w:r>
      <w:r w:rsidRPr="00567072">
        <w:rPr>
          <w:rFonts w:ascii="Times New Roman" w:hAnsi="Times New Roman"/>
          <w:sz w:val="24"/>
          <w:szCs w:val="24"/>
        </w:rPr>
        <w:t>a bénéficié des contributions de plusieurs cadres de l’Institut National de la Stati</w:t>
      </w:r>
      <w:r w:rsidR="006F3BFE" w:rsidRPr="00567072">
        <w:rPr>
          <w:rFonts w:ascii="Times New Roman" w:hAnsi="Times New Roman"/>
          <w:sz w:val="24"/>
          <w:szCs w:val="24"/>
        </w:rPr>
        <w:t>stique et de l’Analyse</w:t>
      </w:r>
      <w:r w:rsidR="000E4289">
        <w:rPr>
          <w:rFonts w:ascii="Times New Roman" w:hAnsi="Times New Roman"/>
          <w:sz w:val="24"/>
          <w:szCs w:val="24"/>
        </w:rPr>
        <w:t xml:space="preserve"> Economique</w:t>
      </w:r>
      <w:r w:rsidR="006F3BFE" w:rsidRPr="00567072">
        <w:rPr>
          <w:rFonts w:ascii="Times New Roman" w:hAnsi="Times New Roman"/>
          <w:sz w:val="24"/>
          <w:szCs w:val="24"/>
        </w:rPr>
        <w:t xml:space="preserve"> (INSAE)</w:t>
      </w:r>
      <w:r w:rsidR="006F3BFE" w:rsidRPr="00567072">
        <w:rPr>
          <w:rFonts w:ascii="Times New Roman" w:hAnsi="Times New Roman"/>
          <w:i/>
          <w:sz w:val="24"/>
          <w:szCs w:val="24"/>
        </w:rPr>
        <w:t> </w:t>
      </w:r>
      <w:r w:rsidR="006F3BFE" w:rsidRPr="00567072">
        <w:rPr>
          <w:rFonts w:ascii="Times New Roman" w:hAnsi="Times New Roman"/>
          <w:sz w:val="24"/>
          <w:szCs w:val="24"/>
        </w:rPr>
        <w:t>: Alexandre Biaou, Directeur Général,</w:t>
      </w:r>
      <w:r w:rsidR="004C5CB4">
        <w:rPr>
          <w:rFonts w:ascii="Times New Roman" w:hAnsi="Times New Roman"/>
          <w:sz w:val="24"/>
          <w:szCs w:val="24"/>
        </w:rPr>
        <w:t xml:space="preserve"> Mèdé</w:t>
      </w:r>
      <w:r w:rsidR="004C5CB4" w:rsidRPr="00567072">
        <w:rPr>
          <w:rFonts w:ascii="Times New Roman" w:hAnsi="Times New Roman"/>
          <w:sz w:val="24"/>
          <w:szCs w:val="24"/>
        </w:rPr>
        <w:t>dji Damien, Assistant</w:t>
      </w:r>
      <w:r w:rsidR="004C5CB4">
        <w:rPr>
          <w:rFonts w:ascii="Times New Roman" w:hAnsi="Times New Roman"/>
          <w:sz w:val="24"/>
          <w:szCs w:val="24"/>
        </w:rPr>
        <w:t xml:space="preserve"> technique du DG,</w:t>
      </w:r>
      <w:r w:rsidR="006F3BFE" w:rsidRPr="00567072">
        <w:rPr>
          <w:rFonts w:ascii="Times New Roman" w:hAnsi="Times New Roman"/>
          <w:sz w:val="24"/>
          <w:szCs w:val="24"/>
        </w:rPr>
        <w:t xml:space="preserve"> Adéchian</w:t>
      </w:r>
      <w:r w:rsidR="00051595">
        <w:rPr>
          <w:rFonts w:ascii="Times New Roman" w:hAnsi="Times New Roman"/>
          <w:sz w:val="24"/>
          <w:szCs w:val="24"/>
        </w:rPr>
        <w:t xml:space="preserve"> </w:t>
      </w:r>
      <w:r w:rsidR="006F3BFE" w:rsidRPr="00567072">
        <w:rPr>
          <w:rFonts w:ascii="Times New Roman" w:hAnsi="Times New Roman"/>
          <w:sz w:val="24"/>
          <w:szCs w:val="24"/>
        </w:rPr>
        <w:t>Djabar, Directe</w:t>
      </w:r>
      <w:r w:rsidR="003F681B">
        <w:rPr>
          <w:rFonts w:ascii="Times New Roman" w:hAnsi="Times New Roman"/>
          <w:sz w:val="24"/>
          <w:szCs w:val="24"/>
        </w:rPr>
        <w:t xml:space="preserve">ur des Statistiques Sociales, </w:t>
      </w:r>
      <w:r w:rsidR="00187DFC">
        <w:rPr>
          <w:rFonts w:ascii="Times New Roman" w:hAnsi="Times New Roman"/>
          <w:sz w:val="24"/>
          <w:szCs w:val="24"/>
        </w:rPr>
        <w:t>Essessinou</w:t>
      </w:r>
      <w:r w:rsidR="00051595">
        <w:rPr>
          <w:rFonts w:ascii="Times New Roman" w:hAnsi="Times New Roman"/>
          <w:sz w:val="24"/>
          <w:szCs w:val="24"/>
        </w:rPr>
        <w:t xml:space="preserve"> </w:t>
      </w:r>
      <w:r w:rsidR="00187DFC">
        <w:rPr>
          <w:rFonts w:ascii="Times New Roman" w:hAnsi="Times New Roman"/>
          <w:sz w:val="24"/>
          <w:szCs w:val="24"/>
        </w:rPr>
        <w:t>Raï</w:t>
      </w:r>
      <w:r w:rsidR="006F3BFE" w:rsidRPr="00567072">
        <w:rPr>
          <w:rFonts w:ascii="Times New Roman" w:hAnsi="Times New Roman"/>
          <w:sz w:val="24"/>
          <w:szCs w:val="24"/>
        </w:rPr>
        <w:t xml:space="preserve">mi, Chef Service </w:t>
      </w:r>
      <w:r w:rsidR="00383BFB">
        <w:rPr>
          <w:rFonts w:ascii="Times New Roman" w:hAnsi="Times New Roman"/>
        </w:rPr>
        <w:t>Statistiques Sociales</w:t>
      </w:r>
      <w:r w:rsidR="006F3BFE" w:rsidRPr="00567072">
        <w:rPr>
          <w:rFonts w:ascii="Times New Roman" w:hAnsi="Times New Roman"/>
          <w:sz w:val="24"/>
          <w:szCs w:val="24"/>
        </w:rPr>
        <w:t>, Tolleg</w:t>
      </w:r>
      <w:r w:rsidR="003F681B">
        <w:rPr>
          <w:rFonts w:ascii="Times New Roman" w:hAnsi="Times New Roman"/>
          <w:sz w:val="24"/>
          <w:szCs w:val="24"/>
        </w:rPr>
        <w:t>bé</w:t>
      </w:r>
      <w:r w:rsidR="00051595">
        <w:rPr>
          <w:rFonts w:ascii="Times New Roman" w:hAnsi="Times New Roman"/>
          <w:sz w:val="24"/>
          <w:szCs w:val="24"/>
        </w:rPr>
        <w:t xml:space="preserve"> </w:t>
      </w:r>
      <w:r w:rsidR="003F681B">
        <w:rPr>
          <w:rFonts w:ascii="Times New Roman" w:hAnsi="Times New Roman"/>
          <w:sz w:val="24"/>
          <w:szCs w:val="24"/>
        </w:rPr>
        <w:t>Appolin</w:t>
      </w:r>
      <w:r w:rsidR="006F3BFE" w:rsidRPr="00567072">
        <w:rPr>
          <w:rFonts w:ascii="Times New Roman" w:hAnsi="Times New Roman"/>
          <w:sz w:val="24"/>
          <w:szCs w:val="24"/>
        </w:rPr>
        <w:t>a</w:t>
      </w:r>
      <w:r w:rsidR="003F681B">
        <w:rPr>
          <w:rFonts w:ascii="Times New Roman" w:hAnsi="Times New Roman"/>
          <w:sz w:val="24"/>
          <w:szCs w:val="24"/>
        </w:rPr>
        <w:t>i</w:t>
      </w:r>
      <w:r w:rsidR="006F3BFE" w:rsidRPr="00567072">
        <w:rPr>
          <w:rFonts w:ascii="Times New Roman" w:hAnsi="Times New Roman"/>
          <w:sz w:val="24"/>
          <w:szCs w:val="24"/>
        </w:rPr>
        <w:t xml:space="preserve">re, Chef Service </w:t>
      </w:r>
      <w:r w:rsidR="00383BFB">
        <w:rPr>
          <w:rFonts w:ascii="Times New Roman" w:hAnsi="Times New Roman"/>
          <w:sz w:val="24"/>
          <w:szCs w:val="24"/>
        </w:rPr>
        <w:t>Statistiques de l’</w:t>
      </w:r>
      <w:r w:rsidR="006F3BFE" w:rsidRPr="00567072">
        <w:rPr>
          <w:rFonts w:ascii="Times New Roman" w:hAnsi="Times New Roman"/>
          <w:sz w:val="24"/>
          <w:szCs w:val="24"/>
        </w:rPr>
        <w:t>Emploi,</w:t>
      </w:r>
      <w:r w:rsidR="00051595">
        <w:rPr>
          <w:rFonts w:ascii="Times New Roman" w:hAnsi="Times New Roman"/>
          <w:sz w:val="24"/>
          <w:szCs w:val="24"/>
        </w:rPr>
        <w:t xml:space="preserve"> Sessèdé </w:t>
      </w:r>
      <w:r w:rsidR="00383BFB">
        <w:rPr>
          <w:rFonts w:ascii="Times New Roman" w:hAnsi="Times New Roman"/>
          <w:sz w:val="24"/>
          <w:szCs w:val="24"/>
        </w:rPr>
        <w:t>Charles, Chef Service Comptes Nationaux,</w:t>
      </w:r>
      <w:r w:rsidR="00051595">
        <w:rPr>
          <w:rFonts w:ascii="Times New Roman" w:hAnsi="Times New Roman"/>
          <w:sz w:val="24"/>
          <w:szCs w:val="24"/>
        </w:rPr>
        <w:t xml:space="preserve"> </w:t>
      </w:r>
      <w:r w:rsidR="003F681B" w:rsidRPr="00567072">
        <w:rPr>
          <w:rFonts w:ascii="Times New Roman" w:hAnsi="Times New Roman"/>
          <w:sz w:val="24"/>
          <w:szCs w:val="24"/>
        </w:rPr>
        <w:t>Hounkpodoté</w:t>
      </w:r>
      <w:r w:rsidR="00051595">
        <w:rPr>
          <w:rFonts w:ascii="Times New Roman" w:hAnsi="Times New Roman"/>
          <w:sz w:val="24"/>
          <w:szCs w:val="24"/>
        </w:rPr>
        <w:t xml:space="preserve"> </w:t>
      </w:r>
      <w:r w:rsidR="00C74BB7">
        <w:rPr>
          <w:rFonts w:ascii="Times New Roman" w:hAnsi="Times New Roman"/>
          <w:sz w:val="24"/>
          <w:szCs w:val="24"/>
        </w:rPr>
        <w:t xml:space="preserve">Eudes, </w:t>
      </w:r>
      <w:r w:rsidR="006F3BFE" w:rsidRPr="00567072">
        <w:rPr>
          <w:rFonts w:ascii="Times New Roman" w:hAnsi="Times New Roman"/>
          <w:sz w:val="24"/>
          <w:szCs w:val="24"/>
        </w:rPr>
        <w:t xml:space="preserve">Chargé d’études ; </w:t>
      </w:r>
      <w:r w:rsidRPr="00567072">
        <w:rPr>
          <w:rFonts w:ascii="Times New Roman" w:hAnsi="Times New Roman"/>
          <w:sz w:val="24"/>
          <w:szCs w:val="24"/>
        </w:rPr>
        <w:t xml:space="preserve">de la Direction </w:t>
      </w:r>
      <w:r w:rsidR="006F3BFE" w:rsidRPr="00567072">
        <w:rPr>
          <w:rFonts w:ascii="Times New Roman" w:hAnsi="Times New Roman"/>
          <w:sz w:val="24"/>
          <w:szCs w:val="24"/>
        </w:rPr>
        <w:t>Générale des Affaires Econo</w:t>
      </w:r>
      <w:r w:rsidR="00C74BB7">
        <w:rPr>
          <w:rFonts w:ascii="Times New Roman" w:hAnsi="Times New Roman"/>
          <w:sz w:val="24"/>
          <w:szCs w:val="24"/>
        </w:rPr>
        <w:t xml:space="preserve">miques (DGAE): Soubérou Bachir, </w:t>
      </w:r>
      <w:r w:rsidR="006F3BFE" w:rsidRPr="00567072">
        <w:rPr>
          <w:rFonts w:ascii="Times New Roman" w:hAnsi="Times New Roman"/>
          <w:sz w:val="24"/>
          <w:szCs w:val="24"/>
        </w:rPr>
        <w:t>Directeur de la Prévision et de la Con</w:t>
      </w:r>
      <w:r w:rsidR="00567072" w:rsidRPr="00567072">
        <w:rPr>
          <w:rFonts w:ascii="Times New Roman" w:hAnsi="Times New Roman"/>
          <w:sz w:val="24"/>
          <w:szCs w:val="24"/>
        </w:rPr>
        <w:t>j</w:t>
      </w:r>
      <w:r w:rsidR="00383BFB">
        <w:rPr>
          <w:rFonts w:ascii="Times New Roman" w:hAnsi="Times New Roman"/>
          <w:sz w:val="24"/>
          <w:szCs w:val="24"/>
        </w:rPr>
        <w:t>oncture</w:t>
      </w:r>
      <w:r w:rsidR="006F3BFE" w:rsidRPr="00567072">
        <w:rPr>
          <w:rFonts w:ascii="Times New Roman" w:hAnsi="Times New Roman"/>
          <w:sz w:val="24"/>
          <w:szCs w:val="24"/>
        </w:rPr>
        <w:t xml:space="preserve">, Médénou Aristide, </w:t>
      </w:r>
      <w:r w:rsidR="003F681B">
        <w:rPr>
          <w:rFonts w:ascii="Times New Roman" w:hAnsi="Times New Roman"/>
          <w:sz w:val="24"/>
          <w:szCs w:val="24"/>
        </w:rPr>
        <w:t xml:space="preserve">Chef </w:t>
      </w:r>
      <w:r w:rsidR="00567072" w:rsidRPr="00567072">
        <w:rPr>
          <w:rFonts w:ascii="Times New Roman" w:hAnsi="Times New Roman"/>
          <w:sz w:val="24"/>
          <w:szCs w:val="24"/>
        </w:rPr>
        <w:t>du Service de la Programmation Economique et Financière</w:t>
      </w:r>
      <w:r w:rsidR="003F681B">
        <w:rPr>
          <w:rFonts w:ascii="Times New Roman" w:hAnsi="Times New Roman"/>
          <w:sz w:val="24"/>
          <w:szCs w:val="24"/>
        </w:rPr>
        <w:t> ;</w:t>
      </w:r>
      <w:r w:rsidR="00051595">
        <w:rPr>
          <w:rFonts w:ascii="Times New Roman" w:hAnsi="Times New Roman"/>
          <w:sz w:val="24"/>
          <w:szCs w:val="24"/>
        </w:rPr>
        <w:t xml:space="preserve"> </w:t>
      </w:r>
      <w:r w:rsidRPr="00567072">
        <w:rPr>
          <w:rFonts w:ascii="Times New Roman" w:hAnsi="Times New Roman"/>
          <w:sz w:val="24"/>
          <w:szCs w:val="24"/>
        </w:rPr>
        <w:t>de la Cellule de Suivi des Politiques Economiques et Financières (CSPEF)</w:t>
      </w:r>
      <w:r w:rsidR="006F3BFE" w:rsidRPr="00567072">
        <w:rPr>
          <w:rFonts w:ascii="Times New Roman" w:hAnsi="Times New Roman"/>
          <w:sz w:val="24"/>
          <w:szCs w:val="24"/>
        </w:rPr>
        <w:t> :</w:t>
      </w:r>
      <w:r w:rsidR="00051595">
        <w:rPr>
          <w:rFonts w:ascii="Times New Roman" w:hAnsi="Times New Roman"/>
          <w:sz w:val="24"/>
          <w:szCs w:val="24"/>
        </w:rPr>
        <w:t xml:space="preserve"> </w:t>
      </w:r>
      <w:r w:rsidR="00187DFC">
        <w:rPr>
          <w:rFonts w:ascii="Times New Roman" w:hAnsi="Times New Roman"/>
          <w:sz w:val="24"/>
          <w:szCs w:val="24"/>
        </w:rPr>
        <w:t>Balogoun</w:t>
      </w:r>
      <w:r w:rsidR="00051595">
        <w:rPr>
          <w:rFonts w:ascii="Times New Roman" w:hAnsi="Times New Roman"/>
          <w:sz w:val="24"/>
          <w:szCs w:val="24"/>
        </w:rPr>
        <w:t xml:space="preserve"> </w:t>
      </w:r>
      <w:r w:rsidR="00187DFC">
        <w:rPr>
          <w:rFonts w:ascii="Times New Roman" w:hAnsi="Times New Roman"/>
          <w:sz w:val="24"/>
          <w:szCs w:val="24"/>
        </w:rPr>
        <w:t>Moutaï</w:t>
      </w:r>
      <w:r w:rsidR="006F3BFE">
        <w:rPr>
          <w:rFonts w:ascii="Times New Roman" w:hAnsi="Times New Roman"/>
          <w:sz w:val="24"/>
          <w:szCs w:val="24"/>
        </w:rPr>
        <w:t>rou</w:t>
      </w:r>
      <w:r w:rsidR="00E5173C">
        <w:rPr>
          <w:rFonts w:ascii="Times New Roman" w:hAnsi="Times New Roman"/>
          <w:sz w:val="24"/>
          <w:szCs w:val="24"/>
        </w:rPr>
        <w:t xml:space="preserve"> (</w:t>
      </w:r>
      <w:r w:rsidR="00E5173C" w:rsidRPr="00A95C30">
        <w:rPr>
          <w:rFonts w:ascii="Times New Roman" w:hAnsi="Times New Roman"/>
          <w:sz w:val="24"/>
          <w:szCs w:val="24"/>
        </w:rPr>
        <w:t>Assistant du Secrétaire Technique)</w:t>
      </w:r>
      <w:r w:rsidR="006F3BFE" w:rsidRPr="00A95C30">
        <w:rPr>
          <w:rFonts w:ascii="Times New Roman" w:hAnsi="Times New Roman"/>
          <w:sz w:val="24"/>
          <w:szCs w:val="24"/>
        </w:rPr>
        <w:t>, Djossou Aristide</w:t>
      </w:r>
      <w:r w:rsidR="00E5173C" w:rsidRPr="00A95C30">
        <w:rPr>
          <w:rFonts w:ascii="Times New Roman" w:hAnsi="Times New Roman"/>
          <w:sz w:val="24"/>
          <w:szCs w:val="24"/>
        </w:rPr>
        <w:t xml:space="preserve"> (Assistant du Secrétaire Technique)</w:t>
      </w:r>
      <w:r w:rsidR="003F681B">
        <w:rPr>
          <w:rFonts w:ascii="Times New Roman" w:hAnsi="Times New Roman"/>
          <w:sz w:val="24"/>
          <w:szCs w:val="24"/>
        </w:rPr>
        <w:t xml:space="preserve"> ; </w:t>
      </w:r>
      <w:r w:rsidR="006F3BFE" w:rsidRPr="00A95C30">
        <w:rPr>
          <w:rFonts w:ascii="Times New Roman" w:hAnsi="Times New Roman"/>
          <w:sz w:val="24"/>
          <w:szCs w:val="24"/>
        </w:rPr>
        <w:t>du Ministère</w:t>
      </w:r>
      <w:r w:rsidR="00A95C30" w:rsidRPr="00A95C30">
        <w:rPr>
          <w:rFonts w:ascii="Times New Roman" w:hAnsi="Times New Roman"/>
          <w:sz w:val="24"/>
          <w:szCs w:val="24"/>
        </w:rPr>
        <w:t xml:space="preserve"> chargé des Relations avec les Institutions (MCRI)</w:t>
      </w:r>
      <w:r w:rsidR="006F3BFE" w:rsidRPr="00A95C30">
        <w:rPr>
          <w:rFonts w:ascii="Times New Roman" w:hAnsi="Times New Roman"/>
          <w:sz w:val="24"/>
          <w:szCs w:val="24"/>
        </w:rPr>
        <w:t> :</w:t>
      </w:r>
      <w:r w:rsidR="00E5173C" w:rsidRPr="00A95C30">
        <w:rPr>
          <w:rFonts w:ascii="Times New Roman" w:hAnsi="Times New Roman"/>
          <w:sz w:val="24"/>
          <w:szCs w:val="24"/>
        </w:rPr>
        <w:t xml:space="preserve"> Jules </w:t>
      </w:r>
      <w:r w:rsidR="000E4289" w:rsidRPr="00A95C30">
        <w:rPr>
          <w:rFonts w:ascii="Times New Roman" w:hAnsi="Times New Roman"/>
          <w:sz w:val="24"/>
          <w:szCs w:val="24"/>
        </w:rPr>
        <w:t>Yèhou</w:t>
      </w:r>
      <w:r w:rsidR="000E4289">
        <w:rPr>
          <w:rFonts w:ascii="Times New Roman" w:hAnsi="Times New Roman"/>
          <w:sz w:val="24"/>
          <w:szCs w:val="24"/>
        </w:rPr>
        <w:t>é</w:t>
      </w:r>
      <w:r w:rsidR="000E4289" w:rsidRPr="00A95C30">
        <w:rPr>
          <w:rFonts w:ascii="Times New Roman" w:hAnsi="Times New Roman"/>
          <w:sz w:val="24"/>
          <w:szCs w:val="24"/>
        </w:rPr>
        <w:t xml:space="preserve">nou </w:t>
      </w:r>
      <w:r w:rsidR="00E5173C" w:rsidRPr="00A95C30">
        <w:rPr>
          <w:rFonts w:ascii="Times New Roman" w:hAnsi="Times New Roman"/>
          <w:sz w:val="24"/>
          <w:szCs w:val="24"/>
        </w:rPr>
        <w:t>(</w:t>
      </w:r>
      <w:r w:rsidR="006F3BFE" w:rsidRPr="00A95C30">
        <w:rPr>
          <w:rFonts w:ascii="Times New Roman" w:hAnsi="Times New Roman"/>
          <w:sz w:val="24"/>
          <w:szCs w:val="24"/>
        </w:rPr>
        <w:t>Directeur de la Programmation et de la Prospective</w:t>
      </w:r>
      <w:r w:rsidR="00E5173C" w:rsidRPr="00A95C30">
        <w:rPr>
          <w:rFonts w:ascii="Times New Roman" w:hAnsi="Times New Roman"/>
          <w:sz w:val="24"/>
          <w:szCs w:val="24"/>
        </w:rPr>
        <w:t xml:space="preserve">)  et de </w:t>
      </w:r>
      <w:r w:rsidRPr="00A95C30">
        <w:rPr>
          <w:rFonts w:ascii="Times New Roman" w:hAnsi="Times New Roman"/>
          <w:sz w:val="24"/>
          <w:szCs w:val="24"/>
        </w:rPr>
        <w:t>l’Ecole Nationale d’Eco</w:t>
      </w:r>
      <w:r w:rsidR="006F3BFE" w:rsidRPr="00A95C30">
        <w:rPr>
          <w:rFonts w:ascii="Times New Roman" w:hAnsi="Times New Roman"/>
          <w:sz w:val="24"/>
          <w:szCs w:val="24"/>
        </w:rPr>
        <w:t>nomie et de Management (ENEAM) : Attanasso</w:t>
      </w:r>
      <w:r w:rsidR="00FB1117">
        <w:rPr>
          <w:rFonts w:ascii="Times New Roman" w:hAnsi="Times New Roman"/>
          <w:sz w:val="24"/>
          <w:szCs w:val="24"/>
        </w:rPr>
        <w:t xml:space="preserve"> Marie Odile et</w:t>
      </w:r>
      <w:r w:rsidR="006F3BFE">
        <w:rPr>
          <w:rFonts w:ascii="Times New Roman" w:hAnsi="Times New Roman"/>
          <w:sz w:val="24"/>
          <w:szCs w:val="24"/>
        </w:rPr>
        <w:t xml:space="preserve"> Roland Mèdjigbodo</w:t>
      </w:r>
      <w:r w:rsidR="00383BFB">
        <w:rPr>
          <w:rFonts w:ascii="Times New Roman" w:hAnsi="Times New Roman"/>
          <w:sz w:val="24"/>
          <w:szCs w:val="24"/>
        </w:rPr>
        <w:t xml:space="preserve">, de </w:t>
      </w:r>
      <w:r w:rsidR="00D847CF">
        <w:rPr>
          <w:rFonts w:ascii="Times New Roman" w:hAnsi="Times New Roman"/>
          <w:sz w:val="24"/>
          <w:szCs w:val="24"/>
        </w:rPr>
        <w:t>la Faculté des Sciences Economiques et de Gestion (FASEG) de l’Université d’Abomey-Calavi</w:t>
      </w:r>
      <w:r w:rsidR="00383BFB">
        <w:rPr>
          <w:rFonts w:ascii="Times New Roman" w:hAnsi="Times New Roman"/>
          <w:sz w:val="24"/>
          <w:szCs w:val="24"/>
        </w:rPr>
        <w:t> : Edon Cyriaque</w:t>
      </w:r>
      <w:r w:rsidR="006F3BFE">
        <w:rPr>
          <w:rFonts w:ascii="Times New Roman" w:hAnsi="Times New Roman"/>
          <w:sz w:val="24"/>
          <w:szCs w:val="24"/>
        </w:rPr>
        <w:t xml:space="preserve">. </w:t>
      </w:r>
    </w:p>
    <w:p w:rsidR="008E51E3" w:rsidRDefault="008E51E3">
      <w:pPr>
        <w:spacing w:line="276" w:lineRule="auto"/>
        <w:rPr>
          <w:rFonts w:ascii="Times New Roman" w:hAnsi="Times New Roman"/>
          <w:sz w:val="24"/>
          <w:szCs w:val="24"/>
        </w:rPr>
      </w:pPr>
    </w:p>
    <w:p w:rsidR="008E51E3" w:rsidRDefault="008E51E3" w:rsidP="008E51E3">
      <w:pPr>
        <w:spacing w:line="276" w:lineRule="auto"/>
        <w:rPr>
          <w:rFonts w:ascii="Times New Roman" w:hAnsi="Times New Roman"/>
          <w:sz w:val="24"/>
          <w:szCs w:val="24"/>
        </w:rPr>
      </w:pPr>
      <w:r w:rsidRPr="003F681B">
        <w:rPr>
          <w:rFonts w:ascii="Times New Roman" w:hAnsi="Times New Roman"/>
          <w:sz w:val="24"/>
          <w:szCs w:val="24"/>
        </w:rPr>
        <w:t>Miria A. Pigato, Directrice P</w:t>
      </w:r>
      <w:r>
        <w:rPr>
          <w:rFonts w:ascii="Times New Roman" w:hAnsi="Times New Roman"/>
          <w:sz w:val="24"/>
          <w:szCs w:val="24"/>
        </w:rPr>
        <w:t>REM</w:t>
      </w:r>
      <w:r w:rsidRPr="003F681B">
        <w:rPr>
          <w:rFonts w:ascii="Times New Roman" w:hAnsi="Times New Roman"/>
          <w:sz w:val="24"/>
          <w:szCs w:val="24"/>
        </w:rPr>
        <w:t xml:space="preserve"> (AFTP4)</w:t>
      </w:r>
      <w:r>
        <w:rPr>
          <w:rFonts w:ascii="Times New Roman" w:hAnsi="Times New Roman"/>
          <w:sz w:val="24"/>
          <w:szCs w:val="24"/>
        </w:rPr>
        <w:t xml:space="preserve">, </w:t>
      </w:r>
      <w:r w:rsidRPr="003F681B">
        <w:rPr>
          <w:rFonts w:ascii="Times New Roman" w:hAnsi="Times New Roman"/>
          <w:sz w:val="24"/>
          <w:szCs w:val="24"/>
        </w:rPr>
        <w:t xml:space="preserve">Volker Treichel, Lead </w:t>
      </w:r>
      <w:r>
        <w:rPr>
          <w:rFonts w:ascii="Times New Roman" w:hAnsi="Times New Roman"/>
          <w:sz w:val="24"/>
          <w:szCs w:val="24"/>
        </w:rPr>
        <w:t>Economist (</w:t>
      </w:r>
      <w:r w:rsidR="000E4289">
        <w:rPr>
          <w:rFonts w:ascii="Times New Roman" w:hAnsi="Times New Roman"/>
          <w:sz w:val="24"/>
          <w:szCs w:val="24"/>
        </w:rPr>
        <w:t>Bénin</w:t>
      </w:r>
      <w:r>
        <w:rPr>
          <w:rFonts w:ascii="Times New Roman" w:hAnsi="Times New Roman"/>
          <w:sz w:val="24"/>
          <w:szCs w:val="24"/>
        </w:rPr>
        <w:t>, Togo, CI et B</w:t>
      </w:r>
      <w:r w:rsidRPr="003F681B">
        <w:rPr>
          <w:rFonts w:ascii="Times New Roman" w:hAnsi="Times New Roman"/>
          <w:sz w:val="24"/>
          <w:szCs w:val="24"/>
        </w:rPr>
        <w:t>F)</w:t>
      </w:r>
      <w:r>
        <w:rPr>
          <w:rFonts w:ascii="Times New Roman" w:hAnsi="Times New Roman"/>
          <w:sz w:val="24"/>
          <w:szCs w:val="24"/>
        </w:rPr>
        <w:t xml:space="preserve">, </w:t>
      </w:r>
      <w:r w:rsidRPr="003F681B">
        <w:rPr>
          <w:rFonts w:ascii="Times New Roman" w:hAnsi="Times New Roman"/>
          <w:sz w:val="24"/>
          <w:szCs w:val="24"/>
        </w:rPr>
        <w:t>David Cal Macwilliam, Economiste Principal pays</w:t>
      </w:r>
      <w:r>
        <w:rPr>
          <w:rFonts w:ascii="Times New Roman" w:hAnsi="Times New Roman"/>
          <w:sz w:val="24"/>
          <w:szCs w:val="24"/>
        </w:rPr>
        <w:t xml:space="preserve">, </w:t>
      </w:r>
      <w:r w:rsidRPr="003F681B">
        <w:rPr>
          <w:rFonts w:ascii="Times New Roman" w:hAnsi="Times New Roman"/>
          <w:sz w:val="24"/>
          <w:szCs w:val="24"/>
        </w:rPr>
        <w:t>Amadou Ibrahim, Economiste Principal</w:t>
      </w:r>
      <w:r>
        <w:rPr>
          <w:rFonts w:ascii="Times New Roman" w:hAnsi="Times New Roman"/>
          <w:sz w:val="24"/>
          <w:szCs w:val="24"/>
        </w:rPr>
        <w:t xml:space="preserve">, Cotonou, </w:t>
      </w:r>
      <w:r w:rsidR="000E4289" w:rsidRPr="003F681B">
        <w:rPr>
          <w:rFonts w:ascii="Times New Roman" w:hAnsi="Times New Roman"/>
          <w:sz w:val="24"/>
          <w:szCs w:val="24"/>
        </w:rPr>
        <w:t>Félicien</w:t>
      </w:r>
      <w:r w:rsidRPr="003F681B">
        <w:rPr>
          <w:rFonts w:ascii="Times New Roman" w:hAnsi="Times New Roman"/>
          <w:sz w:val="24"/>
          <w:szCs w:val="24"/>
        </w:rPr>
        <w:t xml:space="preserve"> Donat Accrombessy, Economiste Pauvreté</w:t>
      </w:r>
      <w:r w:rsidR="007F465F">
        <w:rPr>
          <w:rFonts w:ascii="Times New Roman" w:hAnsi="Times New Roman"/>
          <w:sz w:val="24"/>
          <w:szCs w:val="24"/>
        </w:rPr>
        <w:t xml:space="preserve"> ont également contribué à cette œuvre à travers </w:t>
      </w:r>
      <w:r>
        <w:rPr>
          <w:rFonts w:ascii="Times New Roman" w:hAnsi="Times New Roman"/>
          <w:sz w:val="24"/>
          <w:szCs w:val="24"/>
        </w:rPr>
        <w:t>leurs</w:t>
      </w:r>
      <w:r w:rsidR="007F465F">
        <w:rPr>
          <w:rFonts w:ascii="Times New Roman" w:hAnsi="Times New Roman"/>
          <w:sz w:val="24"/>
          <w:szCs w:val="24"/>
        </w:rPr>
        <w:t xml:space="preserve"> divers</w:t>
      </w:r>
      <w:r>
        <w:rPr>
          <w:rFonts w:ascii="Times New Roman" w:hAnsi="Times New Roman"/>
          <w:sz w:val="24"/>
          <w:szCs w:val="24"/>
        </w:rPr>
        <w:t xml:space="preserve"> commentaires et suggestions.</w:t>
      </w:r>
    </w:p>
    <w:p w:rsidR="00D847CF" w:rsidRDefault="00D847CF" w:rsidP="00D847CF">
      <w:pPr>
        <w:spacing w:line="240" w:lineRule="auto"/>
        <w:jc w:val="left"/>
        <w:rPr>
          <w:rFonts w:ascii="Times New Roman" w:hAnsi="Times New Roman"/>
          <w:sz w:val="24"/>
          <w:szCs w:val="24"/>
        </w:rPr>
      </w:pPr>
    </w:p>
    <w:p w:rsidR="004F48D0" w:rsidRDefault="004F48D0">
      <w:pPr>
        <w:spacing w:line="276" w:lineRule="auto"/>
        <w:rPr>
          <w:rFonts w:ascii="Times New Roman" w:hAnsi="Times New Roman"/>
          <w:sz w:val="24"/>
          <w:szCs w:val="24"/>
        </w:rPr>
      </w:pPr>
      <w:r>
        <w:rPr>
          <w:rFonts w:ascii="Times New Roman" w:hAnsi="Times New Roman"/>
          <w:color w:val="000000"/>
          <w:sz w:val="24"/>
          <w:szCs w:val="24"/>
          <w:lang w:eastAsia="fr-FR"/>
        </w:rPr>
        <w:t xml:space="preserve">Nos remerciements vont aussi à l’endroit de </w:t>
      </w:r>
      <w:r w:rsidRPr="00D847CF">
        <w:rPr>
          <w:rFonts w:ascii="Times New Roman" w:hAnsi="Times New Roman"/>
          <w:color w:val="000000"/>
          <w:sz w:val="24"/>
          <w:szCs w:val="24"/>
          <w:lang w:eastAsia="fr-FR"/>
        </w:rPr>
        <w:t>Maurice D.</w:t>
      </w:r>
      <w:r>
        <w:rPr>
          <w:rFonts w:ascii="Times New Roman" w:hAnsi="Times New Roman"/>
          <w:color w:val="000000"/>
          <w:sz w:val="24"/>
          <w:szCs w:val="24"/>
          <w:lang w:eastAsia="fr-FR"/>
        </w:rPr>
        <w:t xml:space="preserve"> </w:t>
      </w:r>
      <w:r w:rsidRPr="00D847CF">
        <w:rPr>
          <w:rFonts w:ascii="Times New Roman" w:hAnsi="Times New Roman"/>
          <w:color w:val="000000"/>
          <w:sz w:val="24"/>
          <w:szCs w:val="24"/>
          <w:lang w:eastAsia="fr-FR"/>
        </w:rPr>
        <w:t>Bankole</w:t>
      </w:r>
      <w:r w:rsidR="00D847CF" w:rsidRPr="00D847CF">
        <w:rPr>
          <w:rFonts w:ascii="Times New Roman" w:hAnsi="Times New Roman"/>
          <w:color w:val="000000"/>
          <w:sz w:val="24"/>
          <w:szCs w:val="24"/>
          <w:lang w:eastAsia="fr-FR"/>
        </w:rPr>
        <w:t xml:space="preserve">, </w:t>
      </w:r>
      <w:r w:rsidRPr="00D847CF">
        <w:rPr>
          <w:rFonts w:ascii="Times New Roman" w:hAnsi="Times New Roman"/>
          <w:sz w:val="24"/>
          <w:szCs w:val="24"/>
        </w:rPr>
        <w:t>Dénis</w:t>
      </w:r>
      <w:r>
        <w:rPr>
          <w:rFonts w:ascii="Times New Roman" w:hAnsi="Times New Roman"/>
          <w:sz w:val="24"/>
          <w:szCs w:val="24"/>
        </w:rPr>
        <w:t xml:space="preserve"> A</w:t>
      </w:r>
      <w:r w:rsidRPr="00D847CF">
        <w:rPr>
          <w:rFonts w:ascii="Times New Roman" w:hAnsi="Times New Roman"/>
          <w:sz w:val="24"/>
          <w:szCs w:val="24"/>
        </w:rPr>
        <w:t>vimadjessi</w:t>
      </w:r>
      <w:r>
        <w:rPr>
          <w:rFonts w:ascii="Times New Roman" w:hAnsi="Times New Roman"/>
          <w:sz w:val="24"/>
          <w:szCs w:val="24"/>
        </w:rPr>
        <w:t>,</w:t>
      </w:r>
      <w:r w:rsidRPr="00D847CF">
        <w:rPr>
          <w:rFonts w:ascii="Times New Roman" w:hAnsi="Times New Roman"/>
          <w:sz w:val="24"/>
          <w:szCs w:val="24"/>
        </w:rPr>
        <w:t xml:space="preserve"> </w:t>
      </w:r>
      <w:r w:rsidRPr="00D847CF">
        <w:rPr>
          <w:rFonts w:ascii="Times New Roman" w:hAnsi="Times New Roman"/>
          <w:color w:val="000000"/>
          <w:sz w:val="24"/>
          <w:szCs w:val="24"/>
          <w:lang w:eastAsia="fr-FR"/>
        </w:rPr>
        <w:t>Grégoire O.</w:t>
      </w:r>
      <w:r>
        <w:rPr>
          <w:rFonts w:ascii="Times New Roman" w:hAnsi="Times New Roman"/>
          <w:color w:val="000000"/>
          <w:sz w:val="24"/>
          <w:szCs w:val="24"/>
          <w:lang w:eastAsia="fr-FR"/>
        </w:rPr>
        <w:t xml:space="preserve"> </w:t>
      </w:r>
      <w:r>
        <w:rPr>
          <w:rFonts w:ascii="Times New Roman" w:hAnsi="Times New Roman"/>
          <w:sz w:val="24"/>
          <w:szCs w:val="24"/>
        </w:rPr>
        <w:t>B</w:t>
      </w:r>
      <w:r w:rsidRPr="00D847CF">
        <w:rPr>
          <w:rFonts w:ascii="Times New Roman" w:hAnsi="Times New Roman"/>
          <w:color w:val="000000"/>
          <w:sz w:val="24"/>
          <w:szCs w:val="24"/>
          <w:lang w:eastAsia="fr-FR"/>
        </w:rPr>
        <w:t xml:space="preserve">alaro </w:t>
      </w:r>
      <w:r>
        <w:rPr>
          <w:rFonts w:ascii="Times New Roman" w:hAnsi="Times New Roman"/>
          <w:color w:val="000000"/>
          <w:sz w:val="24"/>
          <w:szCs w:val="24"/>
          <w:lang w:eastAsia="fr-FR"/>
        </w:rPr>
        <w:t xml:space="preserve">pour avoir bien voulu faire partir du comité de lecture et </w:t>
      </w:r>
      <w:r w:rsidR="00483849">
        <w:rPr>
          <w:rFonts w:ascii="Times New Roman" w:hAnsi="Times New Roman"/>
          <w:color w:val="000000"/>
          <w:sz w:val="24"/>
          <w:szCs w:val="24"/>
          <w:lang w:eastAsia="fr-FR"/>
        </w:rPr>
        <w:t xml:space="preserve">Cosme Vodonou, </w:t>
      </w:r>
      <w:r>
        <w:rPr>
          <w:rFonts w:ascii="Times New Roman" w:hAnsi="Times New Roman"/>
          <w:sz w:val="24"/>
          <w:szCs w:val="24"/>
        </w:rPr>
        <w:t>Jean</w:t>
      </w:r>
      <w:r w:rsidR="00483849">
        <w:rPr>
          <w:rFonts w:ascii="Times New Roman" w:hAnsi="Times New Roman"/>
          <w:sz w:val="24"/>
          <w:szCs w:val="24"/>
        </w:rPr>
        <w:t xml:space="preserve">-Claude Kèkè, Innocent Lokossou, </w:t>
      </w:r>
      <w:r>
        <w:rPr>
          <w:rFonts w:ascii="Times New Roman" w:hAnsi="Times New Roman"/>
          <w:sz w:val="24"/>
          <w:szCs w:val="24"/>
        </w:rPr>
        <w:t>pour leur contribution à la préparation de la note conceptuelle de l’évaluation.</w:t>
      </w:r>
    </w:p>
    <w:p w:rsidR="004F48D0" w:rsidRDefault="004F48D0">
      <w:pPr>
        <w:spacing w:line="276" w:lineRule="auto"/>
        <w:rPr>
          <w:rFonts w:ascii="Times New Roman" w:hAnsi="Times New Roman"/>
          <w:sz w:val="24"/>
          <w:szCs w:val="24"/>
        </w:rPr>
      </w:pPr>
    </w:p>
    <w:p w:rsidR="00D7713A" w:rsidRDefault="00FB1117">
      <w:pPr>
        <w:spacing w:line="276" w:lineRule="auto"/>
        <w:rPr>
          <w:rFonts w:ascii="Times New Roman" w:hAnsi="Times New Roman"/>
          <w:sz w:val="24"/>
          <w:szCs w:val="24"/>
        </w:rPr>
      </w:pPr>
      <w:r w:rsidRPr="00FB1117">
        <w:rPr>
          <w:rFonts w:ascii="Times New Roman" w:hAnsi="Times New Roman"/>
          <w:sz w:val="24"/>
          <w:szCs w:val="24"/>
        </w:rPr>
        <w:t>Damien Médédji a assuré</w:t>
      </w:r>
      <w:r w:rsidR="00021CB5">
        <w:rPr>
          <w:rFonts w:ascii="Times New Roman" w:hAnsi="Times New Roman"/>
          <w:sz w:val="24"/>
          <w:szCs w:val="24"/>
        </w:rPr>
        <w:t xml:space="preserve"> </w:t>
      </w:r>
      <w:r w:rsidRPr="00FB1117">
        <w:rPr>
          <w:rFonts w:ascii="Times New Roman" w:hAnsi="Times New Roman"/>
          <w:sz w:val="24"/>
          <w:szCs w:val="24"/>
        </w:rPr>
        <w:t>la</w:t>
      </w:r>
      <w:r w:rsidR="00D7713A" w:rsidRPr="00FB1117">
        <w:rPr>
          <w:rFonts w:ascii="Times New Roman" w:hAnsi="Times New Roman"/>
          <w:sz w:val="24"/>
          <w:szCs w:val="24"/>
        </w:rPr>
        <w:t xml:space="preserve"> coordination technique de cette évaluation</w:t>
      </w:r>
      <w:r w:rsidR="004C5CB4">
        <w:rPr>
          <w:rFonts w:ascii="Times New Roman" w:hAnsi="Times New Roman"/>
          <w:sz w:val="24"/>
          <w:szCs w:val="24"/>
        </w:rPr>
        <w:t xml:space="preserve">, en collaboration avec Djabar Adéchian, </w:t>
      </w:r>
      <w:r w:rsidR="004F48D0">
        <w:rPr>
          <w:rFonts w:ascii="Times New Roman" w:hAnsi="Times New Roman"/>
          <w:sz w:val="24"/>
          <w:szCs w:val="24"/>
        </w:rPr>
        <w:t>Raïmi</w:t>
      </w:r>
      <w:r w:rsidR="004C5CB4">
        <w:rPr>
          <w:rFonts w:ascii="Times New Roman" w:hAnsi="Times New Roman"/>
          <w:sz w:val="24"/>
          <w:szCs w:val="24"/>
        </w:rPr>
        <w:t xml:space="preserve"> Essessinou et Eudes Hounkpodoté</w:t>
      </w:r>
      <w:r>
        <w:rPr>
          <w:rFonts w:ascii="Times New Roman" w:hAnsi="Times New Roman"/>
          <w:sz w:val="24"/>
          <w:szCs w:val="24"/>
        </w:rPr>
        <w:t xml:space="preserve">. </w:t>
      </w:r>
      <w:r w:rsidR="00385B9A">
        <w:rPr>
          <w:rFonts w:ascii="Times New Roman" w:hAnsi="Times New Roman"/>
          <w:sz w:val="24"/>
          <w:szCs w:val="24"/>
        </w:rPr>
        <w:t xml:space="preserve">Alexandre Biaou, </w:t>
      </w:r>
      <w:r>
        <w:rPr>
          <w:rFonts w:ascii="Times New Roman" w:hAnsi="Times New Roman"/>
          <w:sz w:val="24"/>
          <w:szCs w:val="24"/>
        </w:rPr>
        <w:t>Djabar</w:t>
      </w:r>
      <w:r w:rsidR="00021CB5">
        <w:rPr>
          <w:rFonts w:ascii="Times New Roman" w:hAnsi="Times New Roman"/>
          <w:sz w:val="24"/>
          <w:szCs w:val="24"/>
        </w:rPr>
        <w:t xml:space="preserve"> </w:t>
      </w:r>
      <w:r>
        <w:rPr>
          <w:rFonts w:ascii="Times New Roman" w:hAnsi="Times New Roman"/>
          <w:sz w:val="24"/>
          <w:szCs w:val="24"/>
        </w:rPr>
        <w:t xml:space="preserve">Adéchian et </w:t>
      </w:r>
      <w:r w:rsidR="00385B9A">
        <w:rPr>
          <w:rFonts w:ascii="Times New Roman" w:hAnsi="Times New Roman"/>
          <w:sz w:val="24"/>
          <w:szCs w:val="24"/>
        </w:rPr>
        <w:t>Awaou</w:t>
      </w:r>
      <w:r w:rsidR="00021CB5">
        <w:rPr>
          <w:rFonts w:ascii="Times New Roman" w:hAnsi="Times New Roman"/>
          <w:sz w:val="24"/>
          <w:szCs w:val="24"/>
        </w:rPr>
        <w:t xml:space="preserve"> </w:t>
      </w:r>
      <w:r w:rsidR="00385B9A">
        <w:rPr>
          <w:rFonts w:ascii="Times New Roman" w:hAnsi="Times New Roman"/>
          <w:sz w:val="24"/>
          <w:szCs w:val="24"/>
        </w:rPr>
        <w:t xml:space="preserve">Baco  ont assuré la coordination administrative. </w:t>
      </w:r>
    </w:p>
    <w:p w:rsidR="00BB444D" w:rsidRDefault="00BB444D" w:rsidP="00BB444D">
      <w:pPr>
        <w:spacing w:line="276" w:lineRule="auto"/>
        <w:jc w:val="right"/>
        <w:rPr>
          <w:rFonts w:ascii="Times New Roman" w:hAnsi="Times New Roman"/>
          <w:sz w:val="24"/>
          <w:szCs w:val="24"/>
        </w:rPr>
      </w:pPr>
    </w:p>
    <w:p w:rsidR="00BB444D" w:rsidRDefault="00BB444D" w:rsidP="00BB444D">
      <w:pPr>
        <w:spacing w:line="276" w:lineRule="auto"/>
        <w:jc w:val="right"/>
        <w:rPr>
          <w:rFonts w:ascii="Times New Roman" w:hAnsi="Times New Roman"/>
          <w:sz w:val="24"/>
          <w:szCs w:val="24"/>
        </w:rPr>
      </w:pPr>
    </w:p>
    <w:p w:rsidR="00BB444D" w:rsidRDefault="00BB444D" w:rsidP="00BB444D">
      <w:pPr>
        <w:spacing w:line="276" w:lineRule="auto"/>
        <w:jc w:val="right"/>
        <w:rPr>
          <w:rFonts w:ascii="Times New Roman" w:hAnsi="Times New Roman"/>
          <w:sz w:val="24"/>
          <w:szCs w:val="24"/>
        </w:rPr>
      </w:pPr>
      <w:r>
        <w:rPr>
          <w:rFonts w:ascii="Times New Roman" w:hAnsi="Times New Roman"/>
          <w:sz w:val="24"/>
          <w:szCs w:val="24"/>
        </w:rPr>
        <w:t xml:space="preserve">  </w:t>
      </w:r>
      <w:r w:rsidRPr="00BB444D">
        <w:rPr>
          <w:rFonts w:ascii="Times New Roman" w:hAnsi="Times New Roman"/>
          <w:sz w:val="24"/>
          <w:szCs w:val="24"/>
        </w:rPr>
        <w:t xml:space="preserve">Le Directeur Général de l’Institut National de </w:t>
      </w:r>
    </w:p>
    <w:p w:rsidR="00C02EF2" w:rsidRPr="00BB444D" w:rsidRDefault="00BB444D" w:rsidP="00BB444D">
      <w:pPr>
        <w:spacing w:line="276" w:lineRule="auto"/>
        <w:jc w:val="center"/>
        <w:rPr>
          <w:rFonts w:ascii="Times New Roman" w:hAnsi="Times New Roman"/>
          <w:sz w:val="24"/>
          <w:szCs w:val="24"/>
        </w:rPr>
      </w:pPr>
      <w:r>
        <w:rPr>
          <w:rFonts w:ascii="Times New Roman" w:hAnsi="Times New Roman"/>
          <w:sz w:val="24"/>
          <w:szCs w:val="24"/>
        </w:rPr>
        <w:t xml:space="preserve">                                                                         </w:t>
      </w:r>
      <w:r w:rsidRPr="00BB444D">
        <w:rPr>
          <w:rFonts w:ascii="Times New Roman" w:hAnsi="Times New Roman"/>
          <w:sz w:val="24"/>
          <w:szCs w:val="24"/>
        </w:rPr>
        <w:t>la Statistique et de l’Analyse Economique.</w:t>
      </w:r>
    </w:p>
    <w:p w:rsidR="00BB444D" w:rsidRPr="00BB444D" w:rsidRDefault="00BB444D" w:rsidP="00BB444D">
      <w:pPr>
        <w:spacing w:line="276" w:lineRule="auto"/>
        <w:jc w:val="right"/>
        <w:rPr>
          <w:rFonts w:ascii="Times New Roman" w:hAnsi="Times New Roman"/>
          <w:sz w:val="24"/>
          <w:szCs w:val="24"/>
        </w:rPr>
      </w:pPr>
    </w:p>
    <w:p w:rsidR="00BB444D" w:rsidRPr="00BB444D" w:rsidRDefault="00BB444D" w:rsidP="00BB444D">
      <w:pPr>
        <w:spacing w:line="276" w:lineRule="auto"/>
        <w:jc w:val="right"/>
        <w:rPr>
          <w:rFonts w:ascii="Times New Roman" w:hAnsi="Times New Roman"/>
          <w:sz w:val="24"/>
          <w:szCs w:val="24"/>
        </w:rPr>
      </w:pPr>
    </w:p>
    <w:p w:rsidR="00BB444D" w:rsidRPr="00BB444D" w:rsidRDefault="00BB444D" w:rsidP="00BB444D">
      <w:pPr>
        <w:spacing w:line="276" w:lineRule="auto"/>
        <w:jc w:val="right"/>
        <w:rPr>
          <w:rFonts w:ascii="Times New Roman" w:hAnsi="Times New Roman"/>
          <w:sz w:val="24"/>
          <w:szCs w:val="24"/>
        </w:rPr>
      </w:pPr>
      <w:r w:rsidRPr="00BB444D">
        <w:rPr>
          <w:rFonts w:ascii="Times New Roman" w:hAnsi="Times New Roman"/>
          <w:sz w:val="24"/>
          <w:szCs w:val="24"/>
        </w:rPr>
        <w:t>Alexandre S. BIAOU</w:t>
      </w:r>
    </w:p>
    <w:p w:rsidR="00BB444D" w:rsidRDefault="00BB444D" w:rsidP="00BB444D">
      <w:pPr>
        <w:spacing w:line="276" w:lineRule="auto"/>
        <w:jc w:val="right"/>
        <w:rPr>
          <w:rFonts w:ascii="Times New Roman" w:hAnsi="Times New Roman"/>
          <w:sz w:val="24"/>
          <w:szCs w:val="24"/>
          <w:highlight w:val="yellow"/>
        </w:rPr>
        <w:sectPr w:rsidR="00BB444D" w:rsidSect="001B4547">
          <w:pgSz w:w="11906" w:h="16838"/>
          <w:pgMar w:top="1417"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6D439C" w:rsidTr="009D164E">
        <w:trPr>
          <w:trHeight w:val="770"/>
        </w:trPr>
        <w:tc>
          <w:tcPr>
            <w:tcW w:w="1418" w:type="dxa"/>
            <w:tcBorders>
              <w:right w:val="thinThickSmallGap" w:sz="24" w:space="0" w:color="FFFFFF" w:themeColor="background1"/>
            </w:tcBorders>
            <w:shd w:val="clear" w:color="auto" w:fill="92CDDC" w:themeFill="accent5" w:themeFillTint="99"/>
          </w:tcPr>
          <w:p w:rsidR="006D439C" w:rsidRPr="00494CC8" w:rsidRDefault="006D439C" w:rsidP="009D164E">
            <w:pPr>
              <w:pStyle w:val="Titre1"/>
              <w:spacing w:before="0"/>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6D439C" w:rsidRPr="006D439C" w:rsidRDefault="006D439C" w:rsidP="004557F6">
            <w:pPr>
              <w:pStyle w:val="Titre1"/>
              <w:spacing w:before="0"/>
              <w:outlineLvl w:val="0"/>
              <w:rPr>
                <w:rFonts w:ascii="Times New Roman" w:hAnsi="Times New Roman" w:cs="Times New Roman"/>
                <w:sz w:val="52"/>
                <w:szCs w:val="52"/>
              </w:rPr>
            </w:pPr>
            <w:bookmarkStart w:id="3" w:name="_Toc382322895"/>
            <w:r w:rsidRPr="006D439C">
              <w:rPr>
                <w:rFonts w:ascii="Times New Roman" w:hAnsi="Times New Roman" w:cs="Times New Roman"/>
                <w:sz w:val="52"/>
                <w:szCs w:val="52"/>
              </w:rPr>
              <w:t>S</w:t>
            </w:r>
            <w:r w:rsidR="008F0A31" w:rsidRPr="006D439C">
              <w:rPr>
                <w:rFonts w:ascii="Times New Roman" w:hAnsi="Times New Roman" w:cs="Times New Roman"/>
                <w:sz w:val="52"/>
                <w:szCs w:val="52"/>
              </w:rPr>
              <w:t>igle</w:t>
            </w:r>
            <w:r w:rsidR="000E4289">
              <w:rPr>
                <w:rFonts w:ascii="Times New Roman" w:hAnsi="Times New Roman" w:cs="Times New Roman"/>
                <w:sz w:val="52"/>
                <w:szCs w:val="52"/>
              </w:rPr>
              <w:t>s</w:t>
            </w:r>
            <w:r w:rsidR="008F0A31" w:rsidRPr="006D439C">
              <w:rPr>
                <w:rFonts w:ascii="Times New Roman" w:hAnsi="Times New Roman" w:cs="Times New Roman"/>
                <w:sz w:val="52"/>
                <w:szCs w:val="52"/>
              </w:rPr>
              <w:t xml:space="preserve"> et abréviations</w:t>
            </w:r>
            <w:bookmarkEnd w:id="3"/>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6D439C" w:rsidRPr="00E04E53" w:rsidRDefault="006D439C" w:rsidP="009D164E">
            <w:pPr>
              <w:pStyle w:val="Titre1"/>
              <w:spacing w:before="0" w:line="240" w:lineRule="auto"/>
              <w:jc w:val="center"/>
              <w:outlineLvl w:val="0"/>
              <w:rPr>
                <w:rFonts w:ascii="Times New Roman" w:hAnsi="Times New Roman" w:cs="Times New Roman"/>
                <w:sz w:val="52"/>
                <w:szCs w:val="52"/>
              </w:rPr>
            </w:pPr>
          </w:p>
        </w:tc>
      </w:tr>
    </w:tbl>
    <w:p w:rsidR="006D439C" w:rsidRPr="006D439C" w:rsidRDefault="006D439C" w:rsidP="009D164E">
      <w:pPr>
        <w:pStyle w:val="Titre1"/>
        <w:spacing w:before="0" w:line="240" w:lineRule="auto"/>
        <w:rPr>
          <w:rFonts w:ascii="Times New Roman" w:hAnsi="Times New Roman" w:cs="Times New Roman"/>
          <w:sz w:val="20"/>
          <w:szCs w:val="20"/>
        </w:rPr>
      </w:pPr>
    </w:p>
    <w:tbl>
      <w:tblPr>
        <w:tblW w:w="9701" w:type="dxa"/>
        <w:tblInd w:w="56" w:type="dxa"/>
        <w:tblCellMar>
          <w:left w:w="70" w:type="dxa"/>
          <w:right w:w="70" w:type="dxa"/>
        </w:tblCellMar>
        <w:tblLook w:val="04A0" w:firstRow="1" w:lastRow="0" w:firstColumn="1" w:lastColumn="0" w:noHBand="0" w:noVBand="1"/>
      </w:tblPr>
      <w:tblGrid>
        <w:gridCol w:w="1181"/>
        <w:gridCol w:w="8520"/>
      </w:tblGrid>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AGVSAN</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Analyse Globale de la Vulnérabilité, de la Sécurité Alimentaire et de la Nutrition</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AIPS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Analyse d’Impact sur la Pauvreté et le Social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ANPE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Agence Nationale Pour l’Emploi</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BEPP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Bureau d'Evaluation des Politiques Publiques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BIT</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Bureau International du Travail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BM</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Banque Mondiale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BTP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Bâtiments et Travaux Publics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CAME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Centrale d’Achats des Médicaments Essentiels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CAPI</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Computer Assisted</w:t>
            </w:r>
            <w:r w:rsidR="00515BA7">
              <w:rPr>
                <w:rFonts w:ascii="Times New Roman" w:eastAsia="Times New Roman" w:hAnsi="Times New Roman"/>
                <w:color w:val="000000"/>
                <w:sz w:val="24"/>
                <w:szCs w:val="24"/>
                <w:lang w:eastAsia="fr-FR"/>
              </w:rPr>
              <w:t xml:space="preserve"> </w:t>
            </w:r>
            <w:r w:rsidRPr="006A1822">
              <w:rPr>
                <w:rFonts w:ascii="Times New Roman" w:eastAsia="Times New Roman" w:hAnsi="Times New Roman"/>
                <w:color w:val="000000"/>
                <w:sz w:val="24"/>
                <w:szCs w:val="24"/>
                <w:lang w:eastAsia="fr-FR"/>
              </w:rPr>
              <w:t>Personal Interview</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CCP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Courbe de Croissance de la Pauvreté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CCS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Comités Communaux de Suivi</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CDMT</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Cadre de dépenses à Moyen Terme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CDS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Comités Départementaux de Suivi</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0E4289">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CB</w:t>
            </w:r>
            <w:r w:rsidR="000E4289">
              <w:rPr>
                <w:rFonts w:ascii="Times New Roman" w:eastAsia="Times New Roman" w:hAnsi="Times New Roman"/>
                <w:color w:val="000000"/>
                <w:sz w:val="24"/>
                <w:szCs w:val="24"/>
                <w:lang w:eastAsia="fr-FR"/>
              </w:rPr>
              <w:t>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Coût des Besoins Essentiels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CePEPE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Centre de Promotion et d’Encadrement des Petites et Moyennes Entreprises</w:t>
            </w:r>
          </w:p>
        </w:tc>
      </w:tr>
      <w:tr w:rsidR="006A1822" w:rsidRPr="006A1822" w:rsidTr="00CE79B0">
        <w:trPr>
          <w:trHeight w:val="315"/>
        </w:trPr>
        <w:tc>
          <w:tcPr>
            <w:tcW w:w="1181" w:type="dxa"/>
            <w:tcBorders>
              <w:top w:val="nil"/>
              <w:left w:val="nil"/>
              <w:bottom w:val="nil"/>
              <w:right w:val="nil"/>
            </w:tcBorders>
            <w:shd w:val="clear" w:color="auto" w:fill="auto"/>
            <w:noWrap/>
            <w:vAlign w:val="bottom"/>
            <w:hideMark/>
          </w:tcPr>
          <w:p w:rsidR="006A1822" w:rsidRPr="00CE79B0" w:rsidRDefault="006A1822" w:rsidP="007B1B18">
            <w:pPr>
              <w:spacing w:line="240" w:lineRule="auto"/>
              <w:jc w:val="left"/>
              <w:rPr>
                <w:rFonts w:ascii="Times New Roman" w:eastAsia="Times New Roman" w:hAnsi="Times New Roman"/>
                <w:color w:val="000000"/>
                <w:sz w:val="24"/>
                <w:szCs w:val="24"/>
                <w:lang w:eastAsia="fr-FR"/>
              </w:rPr>
            </w:pPr>
            <w:r w:rsidRPr="00CE79B0">
              <w:rPr>
                <w:rFonts w:ascii="Times New Roman" w:eastAsia="Times New Roman" w:hAnsi="Times New Roman"/>
                <w:color w:val="000000"/>
                <w:sz w:val="24"/>
                <w:szCs w:val="24"/>
                <w:lang w:eastAsia="fr-FR"/>
              </w:rPr>
              <w:t>CITI</w:t>
            </w:r>
          </w:p>
        </w:tc>
        <w:tc>
          <w:tcPr>
            <w:tcW w:w="8520" w:type="dxa"/>
            <w:tcBorders>
              <w:top w:val="nil"/>
              <w:left w:val="nil"/>
              <w:bottom w:val="nil"/>
              <w:right w:val="nil"/>
            </w:tcBorders>
            <w:shd w:val="clear" w:color="auto" w:fill="auto"/>
            <w:noWrap/>
            <w:vAlign w:val="bottom"/>
            <w:hideMark/>
          </w:tcPr>
          <w:p w:rsidR="006A1822" w:rsidRPr="00CE79B0" w:rsidRDefault="006A1822" w:rsidP="00CE79B0">
            <w:pPr>
              <w:spacing w:line="240" w:lineRule="auto"/>
              <w:jc w:val="left"/>
              <w:rPr>
                <w:rFonts w:ascii="Times New Roman" w:eastAsia="Times New Roman" w:hAnsi="Times New Roman"/>
                <w:color w:val="000000"/>
                <w:sz w:val="24"/>
                <w:szCs w:val="24"/>
                <w:lang w:eastAsia="fr-FR"/>
              </w:rPr>
            </w:pPr>
            <w:r w:rsidRPr="00CE79B0">
              <w:rPr>
                <w:rFonts w:ascii="Times New Roman" w:eastAsia="Times New Roman" w:hAnsi="Times New Roman"/>
                <w:color w:val="000000"/>
                <w:sz w:val="24"/>
                <w:szCs w:val="24"/>
                <w:lang w:eastAsia="fr-FR"/>
              </w:rPr>
              <w:t xml:space="preserve">Classification </w:t>
            </w:r>
            <w:r w:rsidR="00874EA9" w:rsidRPr="00CE79B0">
              <w:rPr>
                <w:rFonts w:ascii="Times New Roman" w:eastAsia="Times New Roman" w:hAnsi="Times New Roman"/>
                <w:color w:val="000000"/>
                <w:sz w:val="24"/>
                <w:szCs w:val="24"/>
                <w:lang w:eastAsia="fr-FR"/>
              </w:rPr>
              <w:t xml:space="preserve">Internationale </w:t>
            </w:r>
            <w:r w:rsidR="00CE79B0" w:rsidRPr="00CE79B0">
              <w:rPr>
                <w:rFonts w:ascii="Times New Roman" w:eastAsia="Times New Roman" w:hAnsi="Times New Roman"/>
                <w:color w:val="000000"/>
                <w:sz w:val="24"/>
                <w:szCs w:val="24"/>
                <w:lang w:eastAsia="fr-FR"/>
              </w:rPr>
              <w:t xml:space="preserve">par </w:t>
            </w:r>
            <w:r w:rsidRPr="00CE79B0">
              <w:rPr>
                <w:rFonts w:ascii="Times New Roman" w:eastAsia="Times New Roman" w:hAnsi="Times New Roman"/>
                <w:color w:val="000000"/>
                <w:sz w:val="24"/>
                <w:szCs w:val="24"/>
                <w:lang w:eastAsia="fr-FR"/>
              </w:rPr>
              <w:t>Type d</w:t>
            </w:r>
            <w:r w:rsidR="00CE79B0" w:rsidRPr="00CE79B0">
              <w:rPr>
                <w:rFonts w:ascii="Times New Roman" w:eastAsia="Times New Roman" w:hAnsi="Times New Roman"/>
                <w:color w:val="000000"/>
                <w:sz w:val="24"/>
                <w:szCs w:val="24"/>
                <w:lang w:eastAsia="fr-FR"/>
              </w:rPr>
              <w:t>’</w:t>
            </w:r>
            <w:r w:rsidRPr="00CE79B0">
              <w:rPr>
                <w:rFonts w:ascii="Times New Roman" w:eastAsia="Times New Roman" w:hAnsi="Times New Roman"/>
                <w:color w:val="000000"/>
                <w:sz w:val="24"/>
                <w:szCs w:val="24"/>
                <w:lang w:eastAsia="fr-FR"/>
              </w:rPr>
              <w:t>Industries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CONAFIL</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Commission Nationale des Finances Locales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CSPEF</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Cellule de Suivi des Programmes Economiques et Financiers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DAT</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Délégation à l’Aménagement du Territoire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DGAE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Direction Générale des Affaires Economiques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DGB</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Direction Générale du Budget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DGDGL</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Direction Générale de la décentralisation et de la gouvernance locale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DGPD</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Direction Générale des Politiques de Développement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DGSPP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Direction Générale de Suivi des Projets et Programmes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DSRP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Documents de Stratégie de Réduction de la Pauvreté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EBC</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Enquête Budget Consommation</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ECVR</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Enquête sur les Conditions de Vie en milieu Rural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EDS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Enquête Démographique et de Santé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ELAM</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 xml:space="preserve">Enquête </w:t>
            </w:r>
            <w:r w:rsidR="00CE79B0" w:rsidRPr="006A1822">
              <w:rPr>
                <w:rFonts w:ascii="Times New Roman" w:eastAsia="Times New Roman" w:hAnsi="Times New Roman"/>
                <w:color w:val="000000"/>
                <w:sz w:val="24"/>
                <w:szCs w:val="24"/>
                <w:lang w:eastAsia="fr-FR"/>
              </w:rPr>
              <w:t>Légère</w:t>
            </w:r>
            <w:r w:rsidRPr="006A1822">
              <w:rPr>
                <w:rFonts w:ascii="Times New Roman" w:eastAsia="Times New Roman" w:hAnsi="Times New Roman"/>
                <w:color w:val="000000"/>
                <w:sz w:val="24"/>
                <w:szCs w:val="24"/>
                <w:lang w:eastAsia="fr-FR"/>
              </w:rPr>
              <w:t xml:space="preserve"> Auprès des Ménages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EMICoV</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Enquête Modulaire Intégrée sur les Conditions de Vie des ménages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FADeC</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Fonds d’Appui au Développement des Communes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FMI</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Fonds Monétaire International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FNPEEJ</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Fonds National de Promotion de l’Entreprise et de l’Emploi</w:t>
            </w:r>
            <w:r w:rsidR="00C02EF2">
              <w:rPr>
                <w:rFonts w:ascii="Times New Roman" w:eastAsia="Times New Roman" w:hAnsi="Times New Roman"/>
                <w:color w:val="000000"/>
                <w:sz w:val="24"/>
                <w:szCs w:val="24"/>
                <w:lang w:eastAsia="fr-FR"/>
              </w:rPr>
              <w:t xml:space="preserve"> </w:t>
            </w:r>
            <w:r w:rsidRPr="006A1822">
              <w:rPr>
                <w:rFonts w:ascii="Times New Roman" w:eastAsia="Times New Roman" w:hAnsi="Times New Roman"/>
                <w:color w:val="000000"/>
                <w:sz w:val="24"/>
                <w:szCs w:val="24"/>
                <w:lang w:eastAsia="fr-FR"/>
              </w:rPr>
              <w:t>des Jeunes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FONAGA</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Fonds National de Garantie et d’Assistance aux Petites et</w:t>
            </w:r>
            <w:r w:rsidR="00C02EF2">
              <w:rPr>
                <w:rFonts w:ascii="Times New Roman" w:eastAsia="Times New Roman" w:hAnsi="Times New Roman"/>
                <w:color w:val="000000"/>
                <w:sz w:val="24"/>
                <w:szCs w:val="24"/>
                <w:lang w:eastAsia="fr-FR"/>
              </w:rPr>
              <w:t xml:space="preserve"> </w:t>
            </w:r>
            <w:r w:rsidRPr="006A1822">
              <w:rPr>
                <w:rFonts w:ascii="Times New Roman" w:eastAsia="Times New Roman" w:hAnsi="Times New Roman"/>
                <w:color w:val="000000"/>
                <w:sz w:val="24"/>
                <w:szCs w:val="24"/>
                <w:lang w:eastAsia="fr-FR"/>
              </w:rPr>
              <w:t>Moyennes Entreprises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FSNE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Fonds de Solidarité Nationale pour l’Emploi</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GRFD</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Groupe de Réflexion sur la Fiscalité de Développement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HIMO</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Hautes Intensités de Main d'œuvre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1145E3" w:rsidRDefault="001064B7" w:rsidP="007B1B18">
            <w:pPr>
              <w:spacing w:line="240" w:lineRule="auto"/>
              <w:jc w:val="left"/>
              <w:rPr>
                <w:rFonts w:ascii="Times New Roman" w:eastAsia="Times New Roman" w:hAnsi="Times New Roman"/>
                <w:color w:val="000000"/>
                <w:sz w:val="24"/>
                <w:szCs w:val="24"/>
                <w:lang w:eastAsia="fr-FR"/>
              </w:rPr>
            </w:pPr>
            <w:r w:rsidRPr="001145E3">
              <w:rPr>
                <w:rFonts w:ascii="Times New Roman" w:eastAsia="Times New Roman" w:hAnsi="Times New Roman"/>
                <w:color w:val="000000"/>
                <w:sz w:val="24"/>
                <w:szCs w:val="24"/>
                <w:lang w:eastAsia="fr-FR"/>
              </w:rPr>
              <w:t>ICC</w:t>
            </w:r>
          </w:p>
        </w:tc>
        <w:tc>
          <w:tcPr>
            <w:tcW w:w="8520" w:type="dxa"/>
            <w:tcBorders>
              <w:top w:val="nil"/>
              <w:left w:val="nil"/>
              <w:bottom w:val="nil"/>
              <w:right w:val="nil"/>
            </w:tcBorders>
            <w:shd w:val="clear" w:color="auto" w:fill="auto"/>
            <w:noWrap/>
            <w:vAlign w:val="bottom"/>
            <w:hideMark/>
          </w:tcPr>
          <w:p w:rsidR="006A1822" w:rsidRPr="006A1822" w:rsidRDefault="00865433" w:rsidP="007B1B18">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Invest</w:t>
            </w:r>
            <w:r w:rsidR="001145E3" w:rsidRPr="001145E3">
              <w:rPr>
                <w:rFonts w:ascii="Times New Roman" w:eastAsia="Times New Roman" w:hAnsi="Times New Roman"/>
                <w:color w:val="000000"/>
                <w:sz w:val="24"/>
                <w:szCs w:val="24"/>
                <w:lang w:eastAsia="fr-FR"/>
              </w:rPr>
              <w:t>ment Consultations and Computering</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IMF</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Institutions de Micro Finance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INSAE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Institut National de la Statistique et de l'Analyse Economique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MAEP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Ministère de l'Agriculture, de l'Elevage et de la Pêche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MCA</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Millénium Challenge Account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MCMEJF</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Ministère Chargé de la Microfinance, de l'Emploi des Jeunes et des Femmes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MCPP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Micro Crédits aux Plus Pauvres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MCS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Matrice de Comptabilité Sociale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MDAEP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Ministère du Développement, de l'Analyse Economique et de la Prospective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MEF</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Ministère de l'Economie et des Finances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MEGC</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Modèle d’Equilibre Général Calculable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OCDE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Organisation de coopération et de développement économiques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OCS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Observatoire du Changement Social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OIT</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Organisation internationale du travail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OMC</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Organisation Mondiale du Commerce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OMD</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Objectifs du Millénaire pour le Développement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OSD</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Orientations Stratégiques de Développement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P0</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Incidence de la pauvreté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P1</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Profondeur de la pauvreté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P2</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Sévérité de la pauvreté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PAP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Programme d’actions prioritaires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PDC</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Plan de Développement Communal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PIB</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Produit Intérieur Brut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PIP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Programme d’Investissement</w:t>
            </w:r>
            <w:r w:rsidR="000E4289">
              <w:rPr>
                <w:rFonts w:ascii="Times New Roman" w:eastAsia="Times New Roman" w:hAnsi="Times New Roman"/>
                <w:color w:val="000000"/>
                <w:sz w:val="24"/>
                <w:szCs w:val="24"/>
                <w:lang w:eastAsia="fr-FR"/>
              </w:rPr>
              <w:t>s</w:t>
            </w:r>
            <w:r w:rsidRPr="006A1822">
              <w:rPr>
                <w:rFonts w:ascii="Times New Roman" w:eastAsia="Times New Roman" w:hAnsi="Times New Roman"/>
                <w:color w:val="000000"/>
                <w:sz w:val="24"/>
                <w:szCs w:val="24"/>
                <w:lang w:eastAsia="fr-FR"/>
              </w:rPr>
              <w:t xml:space="preserve"> Publics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PNE</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Politique Nationale d’Emploi</w:t>
            </w:r>
            <w:r w:rsidR="0049107A">
              <w:rPr>
                <w:rFonts w:ascii="Times New Roman" w:eastAsia="Times New Roman" w:hAnsi="Times New Roman"/>
                <w:color w:val="000000"/>
                <w:sz w:val="24"/>
                <w:szCs w:val="24"/>
                <w:lang w:eastAsia="fr-FR"/>
              </w:rPr>
              <w:t>/</w:t>
            </w:r>
            <w:r w:rsidR="0049107A" w:rsidRPr="006A1822">
              <w:rPr>
                <w:rFonts w:ascii="Times New Roman" w:eastAsia="Times New Roman" w:hAnsi="Times New Roman"/>
                <w:color w:val="000000"/>
                <w:sz w:val="24"/>
                <w:szCs w:val="24"/>
                <w:lang w:eastAsia="fr-FR"/>
              </w:rPr>
              <w:t xml:space="preserve"> Politique Nationale d’Evaluation</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PNUD</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Programme des Nations Unies pour le Développement</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PPBS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Planification – Programmation – Budgétisation et Suivi évaluation</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PSDCC</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Projet de Services Décentralisés Conduits par les Communautés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PTF</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Partenaire Technique et Financier</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QUIBB</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Questionnaire Unifié des Indicateurs de Base du Bien-être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RAMU</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Régime d’Assurance Maladie Universelle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RGPH</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Recensement Général de la Population et de l'habitation</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SCN</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Systèmes de Comptabilité Nationaux</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SCRP</w:t>
            </w:r>
          </w:p>
        </w:tc>
        <w:tc>
          <w:tcPr>
            <w:tcW w:w="8520" w:type="dxa"/>
            <w:tcBorders>
              <w:top w:val="nil"/>
              <w:left w:val="nil"/>
              <w:bottom w:val="nil"/>
              <w:right w:val="nil"/>
            </w:tcBorders>
            <w:shd w:val="clear" w:color="auto" w:fill="auto"/>
            <w:noWrap/>
            <w:vAlign w:val="bottom"/>
            <w:hideMark/>
          </w:tcPr>
          <w:p w:rsidR="006A1822" w:rsidRPr="006A1822" w:rsidRDefault="006A1822" w:rsidP="000E4289">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 xml:space="preserve">Stratégie de Croissance pour </w:t>
            </w:r>
            <w:r w:rsidR="000E4289" w:rsidRPr="006A1822">
              <w:rPr>
                <w:rFonts w:ascii="Times New Roman" w:eastAsia="Times New Roman" w:hAnsi="Times New Roman"/>
                <w:color w:val="000000"/>
                <w:sz w:val="24"/>
                <w:szCs w:val="24"/>
                <w:lang w:eastAsia="fr-FR"/>
              </w:rPr>
              <w:t>l</w:t>
            </w:r>
            <w:r w:rsidR="000E4289">
              <w:rPr>
                <w:rFonts w:ascii="Times New Roman" w:eastAsia="Times New Roman" w:hAnsi="Times New Roman"/>
                <w:color w:val="000000"/>
                <w:sz w:val="24"/>
                <w:szCs w:val="24"/>
                <w:lang w:eastAsia="fr-FR"/>
              </w:rPr>
              <w:t>a</w:t>
            </w:r>
            <w:r w:rsidR="000E4289" w:rsidRPr="006A1822">
              <w:rPr>
                <w:rFonts w:ascii="Times New Roman" w:eastAsia="Times New Roman" w:hAnsi="Times New Roman"/>
                <w:color w:val="000000"/>
                <w:sz w:val="24"/>
                <w:szCs w:val="24"/>
                <w:lang w:eastAsia="fr-FR"/>
              </w:rPr>
              <w:t xml:space="preserve"> </w:t>
            </w:r>
            <w:r w:rsidRPr="006A1822">
              <w:rPr>
                <w:rFonts w:ascii="Times New Roman" w:eastAsia="Times New Roman" w:hAnsi="Times New Roman"/>
                <w:color w:val="000000"/>
                <w:sz w:val="24"/>
                <w:szCs w:val="24"/>
                <w:lang w:eastAsia="fr-FR"/>
              </w:rPr>
              <w:t>Réduction de la Pauvreté</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SIGFiP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Système Informatisé de Gestion des Finances Publiques</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SILP</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Suivi d’Impact Local et Participatif</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SPA</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Seuil de Pauvreté Alimentaire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SPG</w:t>
            </w:r>
          </w:p>
        </w:tc>
        <w:tc>
          <w:tcPr>
            <w:tcW w:w="8520" w:type="dxa"/>
            <w:tcBorders>
              <w:top w:val="nil"/>
              <w:left w:val="nil"/>
              <w:bottom w:val="nil"/>
              <w:right w:val="nil"/>
            </w:tcBorders>
            <w:shd w:val="clear" w:color="auto" w:fill="auto"/>
            <w:noWrap/>
            <w:vAlign w:val="bottom"/>
            <w:hideMark/>
          </w:tcPr>
          <w:p w:rsidR="006A1822" w:rsidRPr="006A1822" w:rsidRDefault="0065531C" w:rsidP="007B1B18">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S</w:t>
            </w:r>
            <w:r w:rsidRPr="006A1822">
              <w:rPr>
                <w:rFonts w:ascii="Times New Roman" w:eastAsia="Times New Roman" w:hAnsi="Times New Roman"/>
                <w:color w:val="000000"/>
                <w:sz w:val="24"/>
                <w:szCs w:val="24"/>
                <w:lang w:eastAsia="fr-FR"/>
              </w:rPr>
              <w:t xml:space="preserve">euil </w:t>
            </w:r>
            <w:r w:rsidR="006A1822" w:rsidRPr="006A1822">
              <w:rPr>
                <w:rFonts w:ascii="Times New Roman" w:eastAsia="Times New Roman" w:hAnsi="Times New Roman"/>
                <w:color w:val="000000"/>
                <w:sz w:val="24"/>
                <w:szCs w:val="24"/>
                <w:lang w:eastAsia="fr-FR"/>
              </w:rPr>
              <w:t>de Pauvreté Globale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SRPI</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Stratégie de Réduction de la Pauvreté Intérimaire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TABEN</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Tableau de Bord de l’Economie Nationale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TBS</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Tableau de Bord Social</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TVA</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Taxe sur la Valeur Ajoutée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UEMOA</w:t>
            </w:r>
          </w:p>
        </w:tc>
        <w:tc>
          <w:tcPr>
            <w:tcW w:w="8520"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Union Economique et Monétaire Ouest Africain</w:t>
            </w:r>
            <w:r w:rsidR="0065531C">
              <w:rPr>
                <w:rFonts w:ascii="Times New Roman" w:eastAsia="Times New Roman" w:hAnsi="Times New Roman"/>
                <w:color w:val="000000"/>
                <w:sz w:val="24"/>
                <w:szCs w:val="24"/>
                <w:lang w:eastAsia="fr-FR"/>
              </w:rPr>
              <w:t>e</w:t>
            </w:r>
          </w:p>
        </w:tc>
      </w:tr>
      <w:tr w:rsidR="006A1822" w:rsidRPr="006A1822" w:rsidTr="006D439C">
        <w:trPr>
          <w:trHeight w:val="315"/>
        </w:trPr>
        <w:tc>
          <w:tcPr>
            <w:tcW w:w="1181" w:type="dxa"/>
            <w:tcBorders>
              <w:top w:val="nil"/>
              <w:left w:val="nil"/>
              <w:bottom w:val="nil"/>
              <w:right w:val="nil"/>
            </w:tcBorders>
            <w:shd w:val="clear" w:color="auto" w:fill="auto"/>
            <w:noWrap/>
            <w:vAlign w:val="bottom"/>
            <w:hideMark/>
          </w:tcPr>
          <w:p w:rsidR="006A1822" w:rsidRPr="006A1822" w:rsidRDefault="006A1822" w:rsidP="007B1B18">
            <w:pPr>
              <w:spacing w:line="240" w:lineRule="auto"/>
              <w:jc w:val="left"/>
              <w:rPr>
                <w:rFonts w:ascii="Times New Roman" w:eastAsia="Times New Roman" w:hAnsi="Times New Roman"/>
                <w:color w:val="000000"/>
                <w:sz w:val="24"/>
                <w:szCs w:val="24"/>
                <w:lang w:eastAsia="fr-FR"/>
              </w:rPr>
            </w:pPr>
            <w:r w:rsidRPr="006A1822">
              <w:rPr>
                <w:rFonts w:ascii="Times New Roman" w:eastAsia="Times New Roman" w:hAnsi="Times New Roman"/>
                <w:color w:val="000000"/>
                <w:sz w:val="24"/>
                <w:szCs w:val="24"/>
                <w:lang w:eastAsia="fr-FR"/>
              </w:rPr>
              <w:t>ZD</w:t>
            </w:r>
          </w:p>
        </w:tc>
        <w:tc>
          <w:tcPr>
            <w:tcW w:w="8520" w:type="dxa"/>
            <w:tcBorders>
              <w:top w:val="nil"/>
              <w:left w:val="nil"/>
              <w:bottom w:val="nil"/>
              <w:right w:val="nil"/>
            </w:tcBorders>
            <w:shd w:val="clear" w:color="auto" w:fill="auto"/>
            <w:noWrap/>
            <w:vAlign w:val="bottom"/>
            <w:hideMark/>
          </w:tcPr>
          <w:p w:rsidR="006A1822" w:rsidRPr="006A1822" w:rsidRDefault="007B1B18" w:rsidP="007B1B18">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Zone de Dén</w:t>
            </w:r>
            <w:r w:rsidR="00961895">
              <w:rPr>
                <w:rFonts w:ascii="Times New Roman" w:eastAsia="Times New Roman" w:hAnsi="Times New Roman"/>
                <w:color w:val="000000"/>
                <w:sz w:val="24"/>
                <w:szCs w:val="24"/>
                <w:lang w:eastAsia="fr-FR"/>
              </w:rPr>
              <w:t>o</w:t>
            </w:r>
            <w:r w:rsidR="006A1822" w:rsidRPr="006A1822">
              <w:rPr>
                <w:rFonts w:ascii="Times New Roman" w:eastAsia="Times New Roman" w:hAnsi="Times New Roman"/>
                <w:color w:val="000000"/>
                <w:sz w:val="24"/>
                <w:szCs w:val="24"/>
                <w:lang w:eastAsia="fr-FR"/>
              </w:rPr>
              <w:t>mbrement</w:t>
            </w:r>
          </w:p>
        </w:tc>
      </w:tr>
    </w:tbl>
    <w:p w:rsidR="00206595" w:rsidRDefault="00206595" w:rsidP="00206595"/>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7B1B18" w:rsidTr="009D164E">
        <w:trPr>
          <w:trHeight w:val="756"/>
        </w:trPr>
        <w:tc>
          <w:tcPr>
            <w:tcW w:w="1418" w:type="dxa"/>
            <w:tcBorders>
              <w:right w:val="thinThickSmallGap" w:sz="24" w:space="0" w:color="FFFFFF" w:themeColor="background1"/>
            </w:tcBorders>
            <w:shd w:val="clear" w:color="auto" w:fill="92CDDC" w:themeFill="accent5" w:themeFillTint="99"/>
          </w:tcPr>
          <w:p w:rsidR="007B1B18" w:rsidRPr="00494CC8" w:rsidRDefault="007B1B18" w:rsidP="009D164E">
            <w:pPr>
              <w:pStyle w:val="Titre1"/>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7B1B18" w:rsidRPr="007B1B18" w:rsidRDefault="007B1B18" w:rsidP="007B1B18">
            <w:pPr>
              <w:pStyle w:val="Titre1"/>
              <w:spacing w:before="0" w:line="276" w:lineRule="auto"/>
              <w:outlineLvl w:val="0"/>
              <w:rPr>
                <w:rFonts w:ascii="Times New Roman" w:hAnsi="Times New Roman" w:cs="Times New Roman"/>
                <w:sz w:val="52"/>
                <w:szCs w:val="52"/>
              </w:rPr>
            </w:pPr>
            <w:bookmarkStart w:id="4" w:name="_Toc382322896"/>
            <w:r w:rsidRPr="007B1B18">
              <w:rPr>
                <w:rFonts w:ascii="Times New Roman" w:hAnsi="Times New Roman" w:cs="Times New Roman"/>
                <w:sz w:val="52"/>
                <w:szCs w:val="52"/>
              </w:rPr>
              <w:t>L</w:t>
            </w:r>
            <w:r w:rsidR="008F0A31" w:rsidRPr="007B1B18">
              <w:rPr>
                <w:rFonts w:ascii="Times New Roman" w:hAnsi="Times New Roman" w:cs="Times New Roman"/>
                <w:sz w:val="52"/>
                <w:szCs w:val="52"/>
              </w:rPr>
              <w:t>iste des tableaux</w:t>
            </w:r>
            <w:bookmarkEnd w:id="4"/>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7B1B18" w:rsidRPr="00E04E53" w:rsidRDefault="007B1B18" w:rsidP="009D164E">
            <w:pPr>
              <w:pStyle w:val="Titre1"/>
              <w:spacing w:line="240" w:lineRule="auto"/>
              <w:jc w:val="center"/>
              <w:outlineLvl w:val="0"/>
              <w:rPr>
                <w:rFonts w:ascii="Times New Roman" w:hAnsi="Times New Roman" w:cs="Times New Roman"/>
                <w:sz w:val="52"/>
                <w:szCs w:val="52"/>
              </w:rPr>
            </w:pPr>
          </w:p>
        </w:tc>
      </w:tr>
    </w:tbl>
    <w:p w:rsidR="007B1B18" w:rsidRPr="003D42C3" w:rsidRDefault="007B1B18" w:rsidP="00E06F73">
      <w:pPr>
        <w:pStyle w:val="Titre1"/>
        <w:spacing w:before="0" w:line="276" w:lineRule="auto"/>
        <w:rPr>
          <w:rFonts w:ascii="Times New Roman" w:hAnsi="Times New Roman" w:cs="Times New Roman"/>
          <w:sz w:val="24"/>
          <w:szCs w:val="24"/>
          <w:highlight w:val="yellow"/>
        </w:rPr>
      </w:pPr>
    </w:p>
    <w:p w:rsidR="001A4DC5" w:rsidRPr="009050A1" w:rsidRDefault="004F064D" w:rsidP="001A4DC5">
      <w:pPr>
        <w:rPr>
          <w:rFonts w:ascii="Times New Roman" w:eastAsia="Times New Roman" w:hAnsi="Times New Roman"/>
          <w:b/>
          <w:bCs/>
          <w:i/>
          <w:iCs/>
          <w:noProof/>
          <w:highlight w:val="cyan"/>
          <w:u w:val="single"/>
          <w:lang w:eastAsia="fr-FR"/>
        </w:rPr>
      </w:pPr>
      <w:hyperlink w:anchor="_Toc344672684" w:history="1">
        <w:r w:rsidR="001064B7" w:rsidRPr="009050A1">
          <w:rPr>
            <w:rStyle w:val="Lienhypertexte"/>
            <w:rFonts w:ascii="Times New Roman" w:hAnsi="Times New Roman"/>
            <w:b/>
            <w:noProof/>
            <w:color w:val="auto"/>
          </w:rPr>
          <w:t xml:space="preserve">CHAPITRE </w:t>
        </w:r>
        <w:r w:rsidR="00443E6D" w:rsidRPr="009050A1">
          <w:rPr>
            <w:rStyle w:val="Lienhypertexte"/>
            <w:rFonts w:ascii="Times New Roman" w:hAnsi="Times New Roman"/>
            <w:b/>
            <w:noProof/>
            <w:color w:val="auto"/>
          </w:rPr>
          <w:t>1</w:t>
        </w:r>
        <w:r w:rsidR="001064B7" w:rsidRPr="009050A1">
          <w:rPr>
            <w:rStyle w:val="Lienhypertexte"/>
            <w:rFonts w:ascii="Times New Roman" w:hAnsi="Times New Roman"/>
            <w:b/>
            <w:noProof/>
            <w:color w:val="auto"/>
          </w:rPr>
          <w:t xml:space="preserve">: </w:t>
        </w:r>
      </w:hyperlink>
      <w:hyperlink w:anchor="_Toc344672685" w:history="1">
        <w:r w:rsidR="001064B7" w:rsidRPr="009050A1">
          <w:rPr>
            <w:rStyle w:val="Lienhypertexte"/>
            <w:rFonts w:ascii="Times New Roman" w:hAnsi="Times New Roman"/>
            <w:b/>
            <w:noProof/>
            <w:color w:val="auto"/>
          </w:rPr>
          <w:t>Profil et dynamique de la pauvreté au Bénin</w:t>
        </w:r>
      </w:hyperlink>
    </w:p>
    <w:p w:rsidR="00670743" w:rsidRPr="006A1258" w:rsidRDefault="00182C97" w:rsidP="006A1258">
      <w:pPr>
        <w:pStyle w:val="Tabledesillustrations"/>
        <w:tabs>
          <w:tab w:val="right" w:leader="dot" w:pos="9062"/>
        </w:tabs>
        <w:spacing w:line="276" w:lineRule="auto"/>
        <w:ind w:left="1134" w:hanging="1134"/>
        <w:rPr>
          <w:rStyle w:val="Lienhypertexte"/>
          <w:rFonts w:ascii="Times New Roman" w:hAnsi="Times New Roman" w:cs="Times New Roman"/>
          <w:i w:val="0"/>
          <w:noProof/>
          <w:color w:val="auto"/>
          <w:u w:val="none"/>
        </w:rPr>
      </w:pPr>
      <w:r w:rsidRPr="006A1258">
        <w:rPr>
          <w:rStyle w:val="Lienhypertexte"/>
          <w:rFonts w:ascii="Times New Roman" w:hAnsi="Times New Roman" w:cs="Times New Roman"/>
          <w:i w:val="0"/>
          <w:noProof/>
          <w:color w:val="auto"/>
          <w:u w:val="none"/>
        </w:rPr>
        <w:fldChar w:fldCharType="begin"/>
      </w:r>
      <w:r w:rsidR="00670743" w:rsidRPr="006A1258">
        <w:rPr>
          <w:rStyle w:val="Lienhypertexte"/>
          <w:rFonts w:ascii="Times New Roman" w:hAnsi="Times New Roman" w:cs="Times New Roman"/>
          <w:i w:val="0"/>
          <w:noProof/>
          <w:color w:val="auto"/>
          <w:u w:val="none"/>
        </w:rPr>
        <w:instrText xml:space="preserve"> TOC \h \z \c "Tableau 1." </w:instrText>
      </w:r>
      <w:r w:rsidRPr="006A1258">
        <w:rPr>
          <w:rStyle w:val="Lienhypertexte"/>
          <w:rFonts w:ascii="Times New Roman" w:hAnsi="Times New Roman" w:cs="Times New Roman"/>
          <w:i w:val="0"/>
          <w:noProof/>
          <w:color w:val="auto"/>
          <w:u w:val="none"/>
        </w:rPr>
        <w:fldChar w:fldCharType="separate"/>
      </w:r>
      <w:hyperlink w:anchor="_Toc369719855" w:history="1">
        <w:r w:rsidR="00F20B1C">
          <w:rPr>
            <w:rStyle w:val="Lienhypertexte"/>
            <w:rFonts w:ascii="Times New Roman" w:hAnsi="Times New Roman" w:cs="Times New Roman"/>
            <w:i w:val="0"/>
            <w:noProof/>
            <w:color w:val="auto"/>
            <w:u w:val="none"/>
          </w:rPr>
          <w:t>Tableau 1.</w:t>
        </w:r>
        <w:r w:rsidR="00670743" w:rsidRPr="006A1258">
          <w:rPr>
            <w:rStyle w:val="Lienhypertexte"/>
            <w:rFonts w:ascii="Times New Roman" w:hAnsi="Times New Roman" w:cs="Times New Roman"/>
            <w:i w:val="0"/>
            <w:noProof/>
            <w:color w:val="auto"/>
            <w:u w:val="none"/>
          </w:rPr>
          <w:t>2: Répartition des ménages en pourcentage suivant la pauvreté monétaire selon le sexe et la situation matrimoniale</w:t>
        </w:r>
        <w:r w:rsidR="00670743" w:rsidRPr="006A1258">
          <w:rPr>
            <w:rStyle w:val="Lienhypertexte"/>
            <w:rFonts w:ascii="Times New Roman" w:hAnsi="Times New Roman" w:cs="Times New Roman"/>
            <w:i w:val="0"/>
            <w:noProof/>
            <w:webHidden/>
            <w:color w:val="auto"/>
            <w:u w:val="none"/>
          </w:rPr>
          <w:tab/>
        </w:r>
        <w:r w:rsidRPr="006A1258">
          <w:rPr>
            <w:rStyle w:val="Lienhypertexte"/>
            <w:rFonts w:ascii="Times New Roman" w:hAnsi="Times New Roman" w:cs="Times New Roman"/>
            <w:i w:val="0"/>
            <w:noProof/>
            <w:webHidden/>
            <w:color w:val="auto"/>
            <w:u w:val="none"/>
          </w:rPr>
          <w:fldChar w:fldCharType="begin"/>
        </w:r>
        <w:r w:rsidR="00670743" w:rsidRPr="006A1258">
          <w:rPr>
            <w:rStyle w:val="Lienhypertexte"/>
            <w:rFonts w:ascii="Times New Roman" w:hAnsi="Times New Roman" w:cs="Times New Roman"/>
            <w:i w:val="0"/>
            <w:noProof/>
            <w:webHidden/>
            <w:color w:val="auto"/>
            <w:u w:val="none"/>
          </w:rPr>
          <w:instrText xml:space="preserve"> PAGEREF _Toc369719855 \h </w:instrText>
        </w:r>
        <w:r w:rsidRPr="006A1258">
          <w:rPr>
            <w:rStyle w:val="Lienhypertexte"/>
            <w:rFonts w:ascii="Times New Roman" w:hAnsi="Times New Roman" w:cs="Times New Roman"/>
            <w:i w:val="0"/>
            <w:noProof/>
            <w:webHidden/>
            <w:color w:val="auto"/>
            <w:u w:val="none"/>
          </w:rPr>
        </w:r>
        <w:r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45</w:t>
        </w:r>
        <w:r w:rsidRPr="006A1258">
          <w:rPr>
            <w:rStyle w:val="Lienhypertexte"/>
            <w:rFonts w:ascii="Times New Roman" w:hAnsi="Times New Roman" w:cs="Times New Roman"/>
            <w:i w:val="0"/>
            <w:noProof/>
            <w:webHidden/>
            <w:color w:val="auto"/>
            <w:u w:val="none"/>
          </w:rPr>
          <w:fldChar w:fldCharType="end"/>
        </w:r>
      </w:hyperlink>
    </w:p>
    <w:p w:rsidR="00670743"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i w:val="0"/>
          <w:noProof/>
          <w:color w:val="auto"/>
          <w:u w:val="none"/>
        </w:rPr>
      </w:pPr>
      <w:hyperlink w:anchor="_Toc369719856" w:history="1">
        <w:r w:rsidR="00670743" w:rsidRPr="006A1258">
          <w:rPr>
            <w:rStyle w:val="Lienhypertexte"/>
            <w:rFonts w:ascii="Times New Roman" w:hAnsi="Times New Roman" w:cs="Times New Roman"/>
            <w:i w:val="0"/>
            <w:noProof/>
            <w:color w:val="auto"/>
            <w:u w:val="none"/>
          </w:rPr>
          <w:t>Tableau 1.3: Répartition des ménages en pourcentage suivant la pauvreté monétaire selon le sexe et la taille du ménage.</w:t>
        </w:r>
        <w:r w:rsidR="00670743"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70743" w:rsidRPr="006A1258">
          <w:rPr>
            <w:rStyle w:val="Lienhypertexte"/>
            <w:rFonts w:ascii="Times New Roman" w:hAnsi="Times New Roman" w:cs="Times New Roman"/>
            <w:i w:val="0"/>
            <w:noProof/>
            <w:webHidden/>
            <w:color w:val="auto"/>
            <w:u w:val="none"/>
          </w:rPr>
          <w:instrText xml:space="preserve"> PAGEREF _Toc369719856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46</w:t>
        </w:r>
        <w:r w:rsidR="00182C97" w:rsidRPr="006A1258">
          <w:rPr>
            <w:rStyle w:val="Lienhypertexte"/>
            <w:rFonts w:ascii="Times New Roman" w:hAnsi="Times New Roman" w:cs="Times New Roman"/>
            <w:i w:val="0"/>
            <w:noProof/>
            <w:webHidden/>
            <w:color w:val="auto"/>
            <w:u w:val="none"/>
          </w:rPr>
          <w:fldChar w:fldCharType="end"/>
        </w:r>
      </w:hyperlink>
    </w:p>
    <w:p w:rsidR="00670743"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i w:val="0"/>
          <w:noProof/>
          <w:color w:val="auto"/>
          <w:u w:val="none"/>
        </w:rPr>
      </w:pPr>
      <w:hyperlink w:anchor="_Toc369719857" w:history="1">
        <w:r w:rsidR="00F20B1C">
          <w:rPr>
            <w:rStyle w:val="Lienhypertexte"/>
            <w:rFonts w:ascii="Times New Roman" w:hAnsi="Times New Roman" w:cs="Times New Roman"/>
            <w:i w:val="0"/>
            <w:noProof/>
            <w:color w:val="auto"/>
            <w:u w:val="none"/>
          </w:rPr>
          <w:t>Tableau 1.</w:t>
        </w:r>
        <w:r w:rsidR="00670743" w:rsidRPr="006A1258">
          <w:rPr>
            <w:rStyle w:val="Lienhypertexte"/>
            <w:rFonts w:ascii="Times New Roman" w:hAnsi="Times New Roman" w:cs="Times New Roman"/>
            <w:i w:val="0"/>
            <w:noProof/>
            <w:color w:val="auto"/>
            <w:u w:val="none"/>
          </w:rPr>
          <w:t>4: Répartition des ménages selon le secteur d’activités et le sexe du chef du  ménage</w:t>
        </w:r>
        <w:r w:rsidR="00670743"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70743" w:rsidRPr="006A1258">
          <w:rPr>
            <w:rStyle w:val="Lienhypertexte"/>
            <w:rFonts w:ascii="Times New Roman" w:hAnsi="Times New Roman" w:cs="Times New Roman"/>
            <w:i w:val="0"/>
            <w:noProof/>
            <w:webHidden/>
            <w:color w:val="auto"/>
            <w:u w:val="none"/>
          </w:rPr>
          <w:instrText xml:space="preserve"> PAGEREF _Toc369719857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46</w:t>
        </w:r>
        <w:r w:rsidR="00182C97" w:rsidRPr="006A1258">
          <w:rPr>
            <w:rStyle w:val="Lienhypertexte"/>
            <w:rFonts w:ascii="Times New Roman" w:hAnsi="Times New Roman" w:cs="Times New Roman"/>
            <w:i w:val="0"/>
            <w:noProof/>
            <w:webHidden/>
            <w:color w:val="auto"/>
            <w:u w:val="none"/>
          </w:rPr>
          <w:fldChar w:fldCharType="end"/>
        </w:r>
      </w:hyperlink>
    </w:p>
    <w:p w:rsidR="00670743"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i w:val="0"/>
          <w:noProof/>
          <w:color w:val="auto"/>
          <w:u w:val="none"/>
        </w:rPr>
      </w:pPr>
      <w:hyperlink w:anchor="_Toc369719858" w:history="1">
        <w:r w:rsidR="00F20B1C">
          <w:rPr>
            <w:rStyle w:val="Lienhypertexte"/>
            <w:rFonts w:ascii="Times New Roman" w:hAnsi="Times New Roman" w:cs="Times New Roman"/>
            <w:i w:val="0"/>
            <w:noProof/>
            <w:color w:val="auto"/>
            <w:u w:val="none"/>
          </w:rPr>
          <w:t>Tableau 1.</w:t>
        </w:r>
        <w:r w:rsidR="00670743" w:rsidRPr="006A1258">
          <w:rPr>
            <w:rStyle w:val="Lienhypertexte"/>
            <w:rFonts w:ascii="Times New Roman" w:hAnsi="Times New Roman" w:cs="Times New Roman"/>
            <w:i w:val="0"/>
            <w:noProof/>
            <w:color w:val="auto"/>
            <w:u w:val="none"/>
          </w:rPr>
          <w:t>5 : Caractérisation des ménages selon le rang dans la structure des dépenses de consommation suivant le sexe du chef de ménage (CM)</w:t>
        </w:r>
        <w:r w:rsidR="00670743"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70743" w:rsidRPr="006A1258">
          <w:rPr>
            <w:rStyle w:val="Lienhypertexte"/>
            <w:rFonts w:ascii="Times New Roman" w:hAnsi="Times New Roman" w:cs="Times New Roman"/>
            <w:i w:val="0"/>
            <w:noProof/>
            <w:webHidden/>
            <w:color w:val="auto"/>
            <w:u w:val="none"/>
          </w:rPr>
          <w:instrText xml:space="preserve"> PAGEREF _Toc369719858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48</w:t>
        </w:r>
        <w:r w:rsidR="00182C97" w:rsidRPr="006A1258">
          <w:rPr>
            <w:rStyle w:val="Lienhypertexte"/>
            <w:rFonts w:ascii="Times New Roman" w:hAnsi="Times New Roman" w:cs="Times New Roman"/>
            <w:i w:val="0"/>
            <w:noProof/>
            <w:webHidden/>
            <w:color w:val="auto"/>
            <w:u w:val="none"/>
          </w:rPr>
          <w:fldChar w:fldCharType="end"/>
        </w:r>
      </w:hyperlink>
    </w:p>
    <w:p w:rsidR="00670743"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i w:val="0"/>
          <w:noProof/>
          <w:color w:val="auto"/>
          <w:u w:val="none"/>
        </w:rPr>
      </w:pPr>
      <w:hyperlink w:anchor="_Toc369719859" w:history="1">
        <w:r w:rsidR="00670743" w:rsidRPr="006A1258">
          <w:rPr>
            <w:rStyle w:val="Lienhypertexte"/>
            <w:rFonts w:ascii="Times New Roman" w:hAnsi="Times New Roman" w:cs="Times New Roman"/>
            <w:i w:val="0"/>
            <w:noProof/>
            <w:color w:val="auto"/>
            <w:u w:val="none"/>
          </w:rPr>
          <w:t>Tableau 1.6: Evolution du revenu des producteurs de coton graine entre 2006 et 2009</w:t>
        </w:r>
        <w:r w:rsidR="00670743"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70743" w:rsidRPr="006A1258">
          <w:rPr>
            <w:rStyle w:val="Lienhypertexte"/>
            <w:rFonts w:ascii="Times New Roman" w:hAnsi="Times New Roman" w:cs="Times New Roman"/>
            <w:i w:val="0"/>
            <w:noProof/>
            <w:webHidden/>
            <w:color w:val="auto"/>
            <w:u w:val="none"/>
          </w:rPr>
          <w:instrText xml:space="preserve"> PAGEREF _Toc369719859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51</w:t>
        </w:r>
        <w:r w:rsidR="00182C97" w:rsidRPr="006A1258">
          <w:rPr>
            <w:rStyle w:val="Lienhypertexte"/>
            <w:rFonts w:ascii="Times New Roman" w:hAnsi="Times New Roman" w:cs="Times New Roman"/>
            <w:i w:val="0"/>
            <w:noProof/>
            <w:webHidden/>
            <w:color w:val="auto"/>
            <w:u w:val="none"/>
          </w:rPr>
          <w:fldChar w:fldCharType="end"/>
        </w:r>
      </w:hyperlink>
    </w:p>
    <w:p w:rsidR="00DA5BAE" w:rsidRPr="00DA5BAE"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i w:val="0"/>
          <w:noProof/>
          <w:color w:val="auto"/>
          <w:u w:val="none"/>
        </w:rPr>
      </w:pPr>
      <w:hyperlink w:anchor="_Toc369719860" w:history="1">
        <w:r w:rsidR="00670743" w:rsidRPr="006A1258">
          <w:rPr>
            <w:rStyle w:val="Lienhypertexte"/>
            <w:rFonts w:ascii="Times New Roman" w:hAnsi="Times New Roman" w:cs="Times New Roman"/>
            <w:i w:val="0"/>
            <w:noProof/>
            <w:color w:val="auto"/>
            <w:u w:val="none"/>
          </w:rPr>
          <w:t>Tableau 1.7: Mouvement des ménages dans le statut de pauvreté entre 2006 et 2009</w:t>
        </w:r>
        <w:r w:rsidR="00670743"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70743" w:rsidRPr="006A1258">
          <w:rPr>
            <w:rStyle w:val="Lienhypertexte"/>
            <w:rFonts w:ascii="Times New Roman" w:hAnsi="Times New Roman" w:cs="Times New Roman"/>
            <w:i w:val="0"/>
            <w:noProof/>
            <w:webHidden/>
            <w:color w:val="auto"/>
            <w:u w:val="none"/>
          </w:rPr>
          <w:instrText xml:space="preserve"> PAGEREF _Toc369719860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57</w:t>
        </w:r>
        <w:r w:rsidR="00182C97" w:rsidRPr="006A1258">
          <w:rPr>
            <w:rStyle w:val="Lienhypertexte"/>
            <w:rFonts w:ascii="Times New Roman" w:hAnsi="Times New Roman" w:cs="Times New Roman"/>
            <w:i w:val="0"/>
            <w:noProof/>
            <w:webHidden/>
            <w:color w:val="auto"/>
            <w:u w:val="none"/>
          </w:rPr>
          <w:fldChar w:fldCharType="end"/>
        </w:r>
      </w:hyperlink>
      <w:r w:rsidR="00182C97" w:rsidRPr="006A1258">
        <w:rPr>
          <w:rStyle w:val="Lienhypertexte"/>
          <w:rFonts w:ascii="Times New Roman" w:hAnsi="Times New Roman" w:cs="Times New Roman"/>
          <w:i w:val="0"/>
          <w:noProof/>
          <w:color w:val="auto"/>
          <w:u w:val="none"/>
        </w:rPr>
        <w:fldChar w:fldCharType="end"/>
      </w:r>
      <w:r w:rsidR="00182C97" w:rsidRPr="006A1258">
        <w:rPr>
          <w:rStyle w:val="Lienhypertexte"/>
          <w:rFonts w:ascii="Times New Roman" w:hAnsi="Times New Roman" w:cs="Times New Roman"/>
          <w:i w:val="0"/>
          <w:noProof/>
          <w:color w:val="auto"/>
          <w:u w:val="none"/>
        </w:rPr>
        <w:fldChar w:fldCharType="begin"/>
      </w:r>
      <w:r w:rsidR="006A1258" w:rsidRPr="006A1258">
        <w:rPr>
          <w:rStyle w:val="Lienhypertexte"/>
          <w:rFonts w:ascii="Times New Roman" w:hAnsi="Times New Roman" w:cs="Times New Roman"/>
          <w:i w:val="0"/>
          <w:noProof/>
          <w:color w:val="auto"/>
          <w:u w:val="none"/>
        </w:rPr>
        <w:instrText xml:space="preserve"> TOC \h \z \c "Tableau A2." </w:instrText>
      </w:r>
      <w:r w:rsidR="00182C97" w:rsidRPr="006A1258">
        <w:rPr>
          <w:rStyle w:val="Lienhypertexte"/>
          <w:rFonts w:ascii="Times New Roman" w:hAnsi="Times New Roman" w:cs="Times New Roman"/>
          <w:i w:val="0"/>
          <w:noProof/>
          <w:color w:val="auto"/>
          <w:u w:val="none"/>
        </w:rPr>
        <w:fldChar w:fldCharType="separate"/>
      </w:r>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19" w:history="1">
        <w:r w:rsidR="00DA5BAE" w:rsidRPr="00DA5BAE">
          <w:rPr>
            <w:rStyle w:val="Lienhypertexte"/>
            <w:rFonts w:ascii="Times New Roman" w:hAnsi="Times New Roman" w:cs="Times New Roman"/>
            <w:i w:val="0"/>
            <w:noProof/>
            <w:color w:val="auto"/>
            <w:u w:val="none"/>
          </w:rPr>
          <w:t>Tableau A2. 1: Répartition des ménages en pourcentage suivant la pauvreté monétaire, la pauvreté non monétaire  suivant le département et le milieu de résidence des  ménages sur la période 2006-2011</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_Toc373430319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202</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20" w:history="1">
        <w:r w:rsidR="00DA5BAE" w:rsidRPr="00DA5BAE">
          <w:rPr>
            <w:rStyle w:val="Lienhypertexte"/>
            <w:rFonts w:ascii="Times New Roman" w:hAnsi="Times New Roman" w:cs="Times New Roman"/>
            <w:i w:val="0"/>
            <w:noProof/>
            <w:color w:val="auto"/>
            <w:u w:val="none"/>
          </w:rPr>
          <w:t>Tableau A2. 2: Répartition des ménages en pourcentage suivant la pauvreté monétaire, la pauvreté non monétaire  suivant les caractéristiques socio-démographiques des chefs de ménages  sur la période 2006-2011</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_Toc373430320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205</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21" w:history="1">
        <w:r w:rsidR="00DA5BAE" w:rsidRPr="00DA5BAE">
          <w:rPr>
            <w:rStyle w:val="Lienhypertexte"/>
            <w:rFonts w:ascii="Times New Roman" w:hAnsi="Times New Roman" w:cs="Times New Roman"/>
            <w:i w:val="0"/>
            <w:noProof/>
            <w:color w:val="auto"/>
            <w:u w:val="none"/>
          </w:rPr>
          <w:t>Tableau A2. 3: Répartition des ménages en pourcentage suivant la pauvreté monétaire, la pauvreté non monétaire  suivant les branches d’activité des chefs de ménages  sur la période 2006-2011</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_Toc373430321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206</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22" w:history="1">
        <w:r w:rsidR="00DA5BAE" w:rsidRPr="00DA5BAE">
          <w:rPr>
            <w:rStyle w:val="Lienhypertexte"/>
            <w:rFonts w:ascii="Times New Roman" w:hAnsi="Times New Roman" w:cs="Times New Roman"/>
            <w:i w:val="0"/>
            <w:noProof/>
            <w:color w:val="auto"/>
            <w:u w:val="none"/>
          </w:rPr>
          <w:t>Tableau A2. 4: Matrice de transition dans les quintiles de dépenses par tête entre 2006 et 2009</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_Toc373430322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207</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23" w:history="1">
        <w:r w:rsidR="00DA5BAE" w:rsidRPr="00DA5BAE">
          <w:rPr>
            <w:rStyle w:val="Lienhypertexte"/>
            <w:rFonts w:ascii="Times New Roman" w:hAnsi="Times New Roman" w:cs="Times New Roman"/>
            <w:i w:val="0"/>
            <w:noProof/>
            <w:color w:val="auto"/>
            <w:u w:val="none"/>
          </w:rPr>
          <w:t>Tableau A2. 5: Résultats d’estimation des rapports de chance dans la mobilité dans la pauvreté</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_Toc373430323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208</w:t>
        </w:r>
        <w:r w:rsidR="00182C97" w:rsidRPr="00DA5BAE">
          <w:rPr>
            <w:rStyle w:val="Lienhypertexte"/>
            <w:rFonts w:ascii="Times New Roman" w:hAnsi="Times New Roman" w:cs="Times New Roman"/>
            <w:i w:val="0"/>
            <w:noProof/>
            <w:webHidden/>
            <w:color w:val="auto"/>
            <w:u w:val="none"/>
          </w:rPr>
          <w:fldChar w:fldCharType="end"/>
        </w:r>
      </w:hyperlink>
    </w:p>
    <w:p w:rsidR="00443E6D" w:rsidRDefault="00182C97" w:rsidP="006A1258">
      <w:pPr>
        <w:pStyle w:val="Tabledesillustrations"/>
        <w:tabs>
          <w:tab w:val="right" w:leader="dot" w:pos="9062"/>
        </w:tabs>
        <w:spacing w:line="276" w:lineRule="auto"/>
        <w:ind w:left="1134" w:hanging="1134"/>
      </w:pPr>
      <w:r w:rsidRPr="006A1258">
        <w:rPr>
          <w:rStyle w:val="Lienhypertexte"/>
          <w:rFonts w:ascii="Times New Roman" w:hAnsi="Times New Roman" w:cs="Times New Roman"/>
          <w:i w:val="0"/>
          <w:noProof/>
          <w:color w:val="auto"/>
          <w:u w:val="none"/>
        </w:rPr>
        <w:fldChar w:fldCharType="end"/>
      </w:r>
    </w:p>
    <w:p w:rsidR="001A4DC5" w:rsidRPr="009050A1" w:rsidRDefault="004F064D" w:rsidP="001A4DC5">
      <w:pPr>
        <w:rPr>
          <w:rFonts w:ascii="Times New Roman" w:eastAsia="Times New Roman" w:hAnsi="Times New Roman"/>
          <w:b/>
          <w:bCs/>
          <w:i/>
          <w:iCs/>
          <w:noProof/>
          <w:u w:val="single"/>
          <w:lang w:eastAsia="fr-FR"/>
        </w:rPr>
      </w:pPr>
      <w:hyperlink w:anchor="_Toc344672691" w:history="1">
        <w:r w:rsidR="001064B7" w:rsidRPr="009050A1">
          <w:rPr>
            <w:rStyle w:val="Lienhypertexte"/>
            <w:rFonts w:ascii="Times New Roman" w:hAnsi="Times New Roman"/>
            <w:b/>
            <w:noProof/>
            <w:color w:val="auto"/>
          </w:rPr>
          <w:t xml:space="preserve">CHAPITRE </w:t>
        </w:r>
        <w:r w:rsidR="00443E6D" w:rsidRPr="009050A1">
          <w:rPr>
            <w:rStyle w:val="Lienhypertexte"/>
            <w:rFonts w:ascii="Times New Roman" w:hAnsi="Times New Roman"/>
            <w:b/>
            <w:noProof/>
            <w:color w:val="auto"/>
          </w:rPr>
          <w:t>2</w:t>
        </w:r>
        <w:r w:rsidR="001064B7" w:rsidRPr="009050A1">
          <w:rPr>
            <w:rFonts w:ascii="Times New Roman" w:hAnsi="Times New Roman"/>
            <w:b/>
            <w:noProof/>
            <w:webHidden/>
            <w:u w:val="single"/>
          </w:rPr>
          <w:t>:</w:t>
        </w:r>
      </w:hyperlink>
      <w:hyperlink w:anchor="_Toc344672692" w:history="1">
        <w:r w:rsidR="001064B7" w:rsidRPr="009050A1">
          <w:rPr>
            <w:rStyle w:val="Lienhypertexte"/>
            <w:rFonts w:ascii="Times New Roman" w:hAnsi="Times New Roman"/>
            <w:b/>
            <w:noProof/>
            <w:color w:val="auto"/>
          </w:rPr>
          <w:t>Croissance économique et réduction de la pauvreté au Bénin</w:t>
        </w:r>
      </w:hyperlink>
    </w:p>
    <w:p w:rsidR="00DA5BAE" w:rsidRPr="00DA5BAE" w:rsidRDefault="00182C97"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r w:rsidRPr="006A1258">
        <w:rPr>
          <w:rStyle w:val="Lienhypertexte"/>
          <w:rFonts w:ascii="Times New Roman" w:hAnsi="Times New Roman" w:cs="Times New Roman"/>
          <w:i w:val="0"/>
          <w:noProof/>
          <w:color w:val="auto"/>
          <w:u w:val="none"/>
        </w:rPr>
        <w:fldChar w:fldCharType="begin"/>
      </w:r>
      <w:r w:rsidR="006A1258" w:rsidRPr="006A1258">
        <w:rPr>
          <w:rStyle w:val="Lienhypertexte"/>
          <w:rFonts w:ascii="Times New Roman" w:hAnsi="Times New Roman" w:cs="Times New Roman"/>
          <w:i w:val="0"/>
          <w:noProof/>
          <w:color w:val="auto"/>
          <w:u w:val="none"/>
        </w:rPr>
        <w:instrText xml:space="preserve"> TOC \h \z \c "Tableau 2." </w:instrText>
      </w:r>
      <w:r w:rsidRPr="006A1258">
        <w:rPr>
          <w:rStyle w:val="Lienhypertexte"/>
          <w:rFonts w:ascii="Times New Roman" w:hAnsi="Times New Roman" w:cs="Times New Roman"/>
          <w:i w:val="0"/>
          <w:noProof/>
          <w:color w:val="auto"/>
          <w:u w:val="none"/>
        </w:rPr>
        <w:fldChar w:fldCharType="separate"/>
      </w:r>
      <w:hyperlink w:anchor="_Toc373430367" w:history="1">
        <w:r w:rsidR="00DA5BAE" w:rsidRPr="00DA5BAE">
          <w:rPr>
            <w:rStyle w:val="Lienhypertexte"/>
            <w:rFonts w:ascii="Times New Roman" w:hAnsi="Times New Roman" w:cs="Times New Roman"/>
            <w:i w:val="0"/>
            <w:noProof/>
            <w:color w:val="auto"/>
            <w:u w:val="none"/>
          </w:rPr>
          <w:t>Tableau 2. 1: Structure de l'économie béninoise entre 1990 et 2011</w:t>
        </w:r>
        <w:r w:rsidR="00DA5BAE" w:rsidRPr="00DA5BAE">
          <w:rPr>
            <w:rStyle w:val="Lienhypertexte"/>
            <w:rFonts w:ascii="Times New Roman" w:hAnsi="Times New Roman" w:cs="Times New Roman"/>
            <w:i w:val="0"/>
            <w:noProof/>
            <w:webHidden/>
            <w:color w:val="auto"/>
            <w:u w:val="none"/>
          </w:rPr>
          <w:tab/>
        </w:r>
        <w:r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_Toc373430367 \h </w:instrText>
        </w:r>
        <w:r w:rsidRPr="00DA5BAE">
          <w:rPr>
            <w:rStyle w:val="Lienhypertexte"/>
            <w:rFonts w:ascii="Times New Roman" w:hAnsi="Times New Roman" w:cs="Times New Roman"/>
            <w:i w:val="0"/>
            <w:noProof/>
            <w:webHidden/>
            <w:color w:val="auto"/>
            <w:u w:val="none"/>
          </w:rPr>
        </w:r>
        <w:r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75</w:t>
        </w:r>
        <w:r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68" w:history="1">
        <w:r w:rsidR="00DA5BAE" w:rsidRPr="00DA5BAE">
          <w:rPr>
            <w:rStyle w:val="Lienhypertexte"/>
            <w:rFonts w:ascii="Times New Roman" w:hAnsi="Times New Roman" w:cs="Times New Roman"/>
            <w:i w:val="0"/>
            <w:noProof/>
            <w:color w:val="auto"/>
            <w:u w:val="none"/>
          </w:rPr>
          <w:t>Tableau 2. 2: Profil de la croissance depuis 1990</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_Toc373430368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78</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69" w:history="1">
        <w:r w:rsidR="00DA5BAE" w:rsidRPr="00DA5BAE">
          <w:rPr>
            <w:rStyle w:val="Lienhypertexte"/>
            <w:rFonts w:ascii="Times New Roman" w:hAnsi="Times New Roman" w:cs="Times New Roman"/>
            <w:i w:val="0"/>
            <w:noProof/>
            <w:color w:val="auto"/>
            <w:u w:val="none"/>
          </w:rPr>
          <w:t>Tableau 2. 3: Structure du pôle agroalimentaire et agriculture</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_Toc373430369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80</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70" w:history="1">
        <w:r w:rsidR="00DA5BAE" w:rsidRPr="00DA5BAE">
          <w:rPr>
            <w:rStyle w:val="Lienhypertexte"/>
            <w:rFonts w:ascii="Times New Roman" w:hAnsi="Times New Roman" w:cs="Times New Roman"/>
            <w:i w:val="0"/>
            <w:noProof/>
            <w:color w:val="auto"/>
            <w:u w:val="none"/>
          </w:rPr>
          <w:t>Tableau 2. 4: Contribution relative des secteurs d’activité à la pauvreté globale, incidence de pauvreté et  taux de  croissance sectoriels</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_Toc373430370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83</w:t>
        </w:r>
        <w:r w:rsidR="00182C97" w:rsidRPr="00DA5BAE">
          <w:rPr>
            <w:rStyle w:val="Lienhypertexte"/>
            <w:rFonts w:ascii="Times New Roman" w:hAnsi="Times New Roman" w:cs="Times New Roman"/>
            <w:i w:val="0"/>
            <w:noProof/>
            <w:webHidden/>
            <w:color w:val="auto"/>
            <w:u w:val="none"/>
          </w:rPr>
          <w:fldChar w:fldCharType="end"/>
        </w:r>
      </w:hyperlink>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71" w:history="1">
        <w:r w:rsidR="00DA5BAE" w:rsidRPr="00DA5BAE">
          <w:rPr>
            <w:rStyle w:val="Lienhypertexte"/>
            <w:rFonts w:ascii="Times New Roman" w:hAnsi="Times New Roman" w:cs="Times New Roman"/>
            <w:i w:val="0"/>
            <w:noProof/>
            <w:color w:val="auto"/>
            <w:u w:val="none"/>
          </w:rPr>
          <w:t>Tableau 2. 5: Décomposition de l'évolution de la pauvreté selon les pôles de croissance</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_Toc373430371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93</w:t>
        </w:r>
        <w:r w:rsidR="00182C97" w:rsidRPr="00DA5BAE">
          <w:rPr>
            <w:rStyle w:val="Lienhypertexte"/>
            <w:rFonts w:ascii="Times New Roman" w:hAnsi="Times New Roman" w:cs="Times New Roman"/>
            <w:i w:val="0"/>
            <w:noProof/>
            <w:webHidden/>
            <w:color w:val="auto"/>
            <w:u w:val="none"/>
          </w:rPr>
          <w:fldChar w:fldCharType="end"/>
        </w:r>
      </w:hyperlink>
    </w:p>
    <w:p w:rsidR="00DA5BAE" w:rsidRDefault="004F064D" w:rsidP="006A1258">
      <w:pPr>
        <w:pStyle w:val="Tabledesillustrations"/>
        <w:tabs>
          <w:tab w:val="right" w:leader="dot" w:pos="9062"/>
        </w:tabs>
        <w:spacing w:line="276" w:lineRule="auto"/>
        <w:ind w:left="1134" w:hanging="1134"/>
        <w:rPr>
          <w:noProof/>
        </w:rPr>
      </w:pPr>
      <w:hyperlink w:anchor="_Toc373430372" w:history="1">
        <w:r w:rsidR="00DA5BAE" w:rsidRPr="00DA5BAE">
          <w:rPr>
            <w:rStyle w:val="Lienhypertexte"/>
            <w:rFonts w:ascii="Times New Roman" w:hAnsi="Times New Roman" w:cs="Times New Roman"/>
            <w:i w:val="0"/>
            <w:noProof/>
            <w:color w:val="auto"/>
            <w:u w:val="none"/>
          </w:rPr>
          <w:t>Tableau 2. 6: Croissance de la productivité globale des facteurs entre 1983 et 2008</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_Toc373430372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95</w:t>
        </w:r>
        <w:r w:rsidR="00182C97" w:rsidRPr="00DA5BAE">
          <w:rPr>
            <w:rStyle w:val="Lienhypertexte"/>
            <w:rFonts w:ascii="Times New Roman" w:hAnsi="Times New Roman" w:cs="Times New Roman"/>
            <w:i w:val="0"/>
            <w:noProof/>
            <w:webHidden/>
            <w:color w:val="auto"/>
            <w:u w:val="none"/>
          </w:rPr>
          <w:fldChar w:fldCharType="end"/>
        </w:r>
      </w:hyperlink>
      <w:r w:rsidR="00182C97" w:rsidRPr="006A1258">
        <w:rPr>
          <w:rStyle w:val="Lienhypertexte"/>
          <w:rFonts w:ascii="Times New Roman" w:hAnsi="Times New Roman" w:cs="Times New Roman"/>
          <w:i w:val="0"/>
          <w:noProof/>
          <w:color w:val="auto"/>
          <w:u w:val="none"/>
        </w:rPr>
        <w:fldChar w:fldCharType="end"/>
      </w:r>
      <w:r w:rsidR="00182C97" w:rsidRPr="006A1258">
        <w:rPr>
          <w:rStyle w:val="Lienhypertexte"/>
          <w:rFonts w:ascii="Times New Roman" w:hAnsi="Times New Roman" w:cs="Times New Roman"/>
          <w:i w:val="0"/>
          <w:noProof/>
          <w:color w:val="auto"/>
          <w:u w:val="none"/>
        </w:rPr>
        <w:fldChar w:fldCharType="begin"/>
      </w:r>
      <w:r w:rsidR="006A1258" w:rsidRPr="006A1258">
        <w:rPr>
          <w:rStyle w:val="Lienhypertexte"/>
          <w:rFonts w:ascii="Times New Roman" w:hAnsi="Times New Roman" w:cs="Times New Roman"/>
          <w:i w:val="0"/>
          <w:noProof/>
          <w:color w:val="auto"/>
          <w:u w:val="none"/>
        </w:rPr>
        <w:instrText xml:space="preserve"> TOC \h \z \c "Tableau A3." </w:instrText>
      </w:r>
      <w:r w:rsidR="00182C97" w:rsidRPr="006A1258">
        <w:rPr>
          <w:rStyle w:val="Lienhypertexte"/>
          <w:rFonts w:ascii="Times New Roman" w:hAnsi="Times New Roman" w:cs="Times New Roman"/>
          <w:i w:val="0"/>
          <w:noProof/>
          <w:color w:val="auto"/>
          <w:u w:val="none"/>
        </w:rPr>
        <w:fldChar w:fldCharType="separate"/>
      </w:r>
    </w:p>
    <w:p w:rsidR="00DA5BAE" w:rsidRPr="00DA5BAE" w:rsidRDefault="004F064D" w:rsidP="00DA5BAE">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73430391" w:history="1">
        <w:r w:rsidR="00DA5BAE" w:rsidRPr="00DA5BAE">
          <w:rPr>
            <w:rStyle w:val="Lienhypertexte"/>
            <w:rFonts w:ascii="Times New Roman" w:hAnsi="Times New Roman" w:cs="Times New Roman"/>
            <w:i w:val="0"/>
            <w:noProof/>
            <w:color w:val="auto"/>
            <w:u w:val="none"/>
          </w:rPr>
          <w:t>Tableau A3. 1: Indicateurs économiques relatifs au produit intérieur brut (PIB)</w:t>
        </w:r>
        <w:r w:rsidR="00DA5BAE" w:rsidRPr="00DA5BAE">
          <w:rPr>
            <w:rStyle w:val="Lienhypertexte"/>
            <w:rFonts w:ascii="Times New Roman" w:hAnsi="Times New Roman" w:cs="Times New Roman"/>
            <w:i w:val="0"/>
            <w:noProof/>
            <w:webHidden/>
            <w:color w:val="auto"/>
            <w:u w:val="none"/>
          </w:rPr>
          <w:tab/>
        </w:r>
        <w:r w:rsidR="00182C97" w:rsidRPr="00DA5BAE">
          <w:rPr>
            <w:rStyle w:val="Lienhypertexte"/>
            <w:rFonts w:ascii="Times New Roman" w:hAnsi="Times New Roman" w:cs="Times New Roman"/>
            <w:i w:val="0"/>
            <w:noProof/>
            <w:webHidden/>
            <w:color w:val="auto"/>
            <w:u w:val="none"/>
          </w:rPr>
          <w:fldChar w:fldCharType="begin"/>
        </w:r>
        <w:r w:rsidR="00DA5BAE" w:rsidRPr="00DA5BAE">
          <w:rPr>
            <w:rStyle w:val="Lienhypertexte"/>
            <w:rFonts w:ascii="Times New Roman" w:hAnsi="Times New Roman" w:cs="Times New Roman"/>
            <w:i w:val="0"/>
            <w:noProof/>
            <w:webHidden/>
            <w:color w:val="auto"/>
            <w:u w:val="none"/>
          </w:rPr>
          <w:instrText xml:space="preserve"> PAGEREF _Toc373430391 \h </w:instrText>
        </w:r>
        <w:r w:rsidR="00182C97" w:rsidRPr="00DA5BAE">
          <w:rPr>
            <w:rStyle w:val="Lienhypertexte"/>
            <w:rFonts w:ascii="Times New Roman" w:hAnsi="Times New Roman" w:cs="Times New Roman"/>
            <w:i w:val="0"/>
            <w:noProof/>
            <w:webHidden/>
            <w:color w:val="auto"/>
            <w:u w:val="none"/>
          </w:rPr>
        </w:r>
        <w:r w:rsidR="00182C97" w:rsidRPr="00DA5BAE">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213</w:t>
        </w:r>
        <w:r w:rsidR="00182C97" w:rsidRPr="00DA5BAE">
          <w:rPr>
            <w:rStyle w:val="Lienhypertexte"/>
            <w:rFonts w:ascii="Times New Roman" w:hAnsi="Times New Roman" w:cs="Times New Roman"/>
            <w:i w:val="0"/>
            <w:noProof/>
            <w:webHidden/>
            <w:color w:val="auto"/>
            <w:u w:val="none"/>
          </w:rPr>
          <w:fldChar w:fldCharType="end"/>
        </w:r>
      </w:hyperlink>
    </w:p>
    <w:p w:rsidR="001A4DC5" w:rsidRPr="004557F6" w:rsidRDefault="00182C97" w:rsidP="006A1258">
      <w:pPr>
        <w:pStyle w:val="Tabledesillustrations"/>
        <w:tabs>
          <w:tab w:val="right" w:leader="dot" w:pos="9062"/>
        </w:tabs>
        <w:spacing w:line="276" w:lineRule="auto"/>
        <w:ind w:left="1134" w:hanging="1134"/>
        <w:rPr>
          <w:rStyle w:val="Lienhypertexte"/>
          <w:rFonts w:ascii="Times New Roman" w:hAnsi="Times New Roman"/>
          <w:noProof/>
          <w:color w:val="auto"/>
          <w:u w:val="none"/>
        </w:rPr>
      </w:pPr>
      <w:r w:rsidRPr="006A1258">
        <w:rPr>
          <w:rStyle w:val="Lienhypertexte"/>
          <w:rFonts w:ascii="Times New Roman" w:hAnsi="Times New Roman" w:cs="Times New Roman"/>
          <w:i w:val="0"/>
          <w:noProof/>
          <w:color w:val="auto"/>
          <w:u w:val="none"/>
        </w:rPr>
        <w:fldChar w:fldCharType="end"/>
      </w:r>
    </w:p>
    <w:p w:rsidR="001A4DC5" w:rsidRPr="009050A1" w:rsidRDefault="004F064D" w:rsidP="001A4DC5">
      <w:pPr>
        <w:rPr>
          <w:rFonts w:ascii="Times New Roman" w:eastAsia="Times New Roman" w:hAnsi="Times New Roman"/>
          <w:b/>
          <w:bCs/>
          <w:i/>
          <w:iCs/>
          <w:noProof/>
          <w:u w:val="single"/>
          <w:lang w:eastAsia="fr-FR"/>
        </w:rPr>
      </w:pPr>
      <w:hyperlink w:anchor="_Toc344672697" w:history="1">
        <w:r w:rsidR="001064B7" w:rsidRPr="009050A1">
          <w:rPr>
            <w:rStyle w:val="Lienhypertexte"/>
            <w:rFonts w:ascii="Times New Roman" w:hAnsi="Times New Roman"/>
            <w:b/>
            <w:noProof/>
            <w:color w:val="auto"/>
          </w:rPr>
          <w:t xml:space="preserve">CHAPITRE </w:t>
        </w:r>
        <w:r w:rsidR="004557F6" w:rsidRPr="009050A1">
          <w:rPr>
            <w:rStyle w:val="Lienhypertexte"/>
            <w:rFonts w:ascii="Times New Roman" w:hAnsi="Times New Roman"/>
            <w:b/>
            <w:noProof/>
            <w:color w:val="auto"/>
          </w:rPr>
          <w:t>3</w:t>
        </w:r>
        <w:r w:rsidR="001064B7" w:rsidRPr="009050A1">
          <w:rPr>
            <w:rFonts w:ascii="Times New Roman" w:hAnsi="Times New Roman"/>
            <w:b/>
            <w:noProof/>
            <w:webHidden/>
            <w:u w:val="single"/>
          </w:rPr>
          <w:t>:</w:t>
        </w:r>
      </w:hyperlink>
      <w:hyperlink w:anchor="_Toc344672698" w:history="1">
        <w:r w:rsidR="001064B7" w:rsidRPr="009050A1">
          <w:rPr>
            <w:rStyle w:val="Lienhypertexte"/>
            <w:rFonts w:ascii="Times New Roman" w:hAnsi="Times New Roman"/>
            <w:b/>
            <w:noProof/>
            <w:color w:val="auto"/>
          </w:rPr>
          <w:t>Chocs, vulnérabilités et stratégies d’adaptation des ménages</w:t>
        </w:r>
      </w:hyperlink>
    </w:p>
    <w:p w:rsidR="006A1258" w:rsidRPr="006A1258" w:rsidRDefault="00182C97" w:rsidP="006A1258">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r>
        <w:fldChar w:fldCharType="begin"/>
      </w:r>
      <w:r w:rsidR="006A1258">
        <w:instrText xml:space="preserve"> TOC \h \z \c "Tableau 3." </w:instrText>
      </w:r>
      <w:r>
        <w:fldChar w:fldCharType="separate"/>
      </w:r>
      <w:hyperlink w:anchor="_Toc369720451" w:history="1">
        <w:r w:rsidR="00F20B1C">
          <w:rPr>
            <w:rStyle w:val="Lienhypertexte"/>
            <w:rFonts w:ascii="Times New Roman" w:hAnsi="Times New Roman" w:cs="Times New Roman"/>
            <w:i w:val="0"/>
            <w:noProof/>
            <w:color w:val="auto"/>
            <w:u w:val="none"/>
          </w:rPr>
          <w:t>Tableau 3.</w:t>
        </w:r>
        <w:r w:rsidR="006A1258" w:rsidRPr="006A1258">
          <w:rPr>
            <w:rStyle w:val="Lienhypertexte"/>
            <w:rFonts w:ascii="Times New Roman" w:hAnsi="Times New Roman" w:cs="Times New Roman"/>
            <w:i w:val="0"/>
            <w:noProof/>
            <w:color w:val="auto"/>
            <w:u w:val="none"/>
          </w:rPr>
          <w:t>1: Les trois chocs prépondérants par grands groupes de chocs</w:t>
        </w:r>
        <w:r w:rsidR="006A1258" w:rsidRPr="006A1258">
          <w:rPr>
            <w:rStyle w:val="Lienhypertexte"/>
            <w:rFonts w:ascii="Times New Roman" w:hAnsi="Times New Roman" w:cs="Times New Roman"/>
            <w:i w:val="0"/>
            <w:noProof/>
            <w:webHidden/>
            <w:color w:val="auto"/>
            <w:u w:val="none"/>
          </w:rPr>
          <w:tab/>
        </w:r>
        <w:r w:rsidRPr="006A1258">
          <w:rPr>
            <w:rStyle w:val="Lienhypertexte"/>
            <w:rFonts w:ascii="Times New Roman" w:hAnsi="Times New Roman" w:cs="Times New Roman"/>
            <w:i w:val="0"/>
            <w:noProof/>
            <w:webHidden/>
            <w:color w:val="auto"/>
            <w:u w:val="none"/>
          </w:rPr>
          <w:fldChar w:fldCharType="begin"/>
        </w:r>
        <w:r w:rsidR="006A1258" w:rsidRPr="006A1258">
          <w:rPr>
            <w:rStyle w:val="Lienhypertexte"/>
            <w:rFonts w:ascii="Times New Roman" w:hAnsi="Times New Roman" w:cs="Times New Roman"/>
            <w:i w:val="0"/>
            <w:noProof/>
            <w:webHidden/>
            <w:color w:val="auto"/>
            <w:u w:val="none"/>
          </w:rPr>
          <w:instrText xml:space="preserve"> PAGEREF _Toc369720451 \h </w:instrText>
        </w:r>
        <w:r w:rsidRPr="006A1258">
          <w:rPr>
            <w:rStyle w:val="Lienhypertexte"/>
            <w:rFonts w:ascii="Times New Roman" w:hAnsi="Times New Roman" w:cs="Times New Roman"/>
            <w:i w:val="0"/>
            <w:noProof/>
            <w:webHidden/>
            <w:color w:val="auto"/>
            <w:u w:val="none"/>
          </w:rPr>
        </w:r>
        <w:r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99</w:t>
        </w:r>
        <w:r w:rsidRPr="006A1258">
          <w:rPr>
            <w:rStyle w:val="Lienhypertexte"/>
            <w:rFonts w:ascii="Times New Roman" w:hAnsi="Times New Roman" w:cs="Times New Roman"/>
            <w:i w:val="0"/>
            <w:noProof/>
            <w:webHidden/>
            <w:color w:val="auto"/>
            <w:u w:val="none"/>
          </w:rPr>
          <w:fldChar w:fldCharType="end"/>
        </w:r>
      </w:hyperlink>
    </w:p>
    <w:p w:rsidR="006A1258"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452" w:history="1">
        <w:r w:rsidR="006A1258" w:rsidRPr="006A1258">
          <w:rPr>
            <w:rStyle w:val="Lienhypertexte"/>
            <w:rFonts w:ascii="Times New Roman" w:hAnsi="Times New Roman" w:cs="Times New Roman"/>
            <w:i w:val="0"/>
            <w:noProof/>
            <w:color w:val="auto"/>
            <w:u w:val="none"/>
          </w:rPr>
          <w:t>Tableau 3.2: Statut de mobilité dans la pauvreté et prévalence aux chocs</w:t>
        </w:r>
        <w:r w:rsidR="006A1258"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A1258" w:rsidRPr="006A1258">
          <w:rPr>
            <w:rStyle w:val="Lienhypertexte"/>
            <w:rFonts w:ascii="Times New Roman" w:hAnsi="Times New Roman" w:cs="Times New Roman"/>
            <w:i w:val="0"/>
            <w:noProof/>
            <w:webHidden/>
            <w:color w:val="auto"/>
            <w:u w:val="none"/>
          </w:rPr>
          <w:instrText xml:space="preserve"> PAGEREF _Toc369720452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103</w:t>
        </w:r>
        <w:r w:rsidR="00182C97" w:rsidRPr="006A1258">
          <w:rPr>
            <w:rStyle w:val="Lienhypertexte"/>
            <w:rFonts w:ascii="Times New Roman" w:hAnsi="Times New Roman" w:cs="Times New Roman"/>
            <w:i w:val="0"/>
            <w:noProof/>
            <w:webHidden/>
            <w:color w:val="auto"/>
            <w:u w:val="none"/>
          </w:rPr>
          <w:fldChar w:fldCharType="end"/>
        </w:r>
      </w:hyperlink>
    </w:p>
    <w:p w:rsidR="006A1258"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453" w:history="1">
        <w:r w:rsidR="006A1258" w:rsidRPr="006A1258">
          <w:rPr>
            <w:rStyle w:val="Lienhypertexte"/>
            <w:rFonts w:ascii="Times New Roman" w:hAnsi="Times New Roman" w:cs="Times New Roman"/>
            <w:i w:val="0"/>
            <w:noProof/>
            <w:color w:val="auto"/>
            <w:u w:val="none"/>
          </w:rPr>
          <w:t>Tableau 3.3: Stratégies d’adaptation face aux chocs et mobilité dans la pauvreté</w:t>
        </w:r>
        <w:r w:rsidR="006A1258"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A1258" w:rsidRPr="006A1258">
          <w:rPr>
            <w:rStyle w:val="Lienhypertexte"/>
            <w:rFonts w:ascii="Times New Roman" w:hAnsi="Times New Roman" w:cs="Times New Roman"/>
            <w:i w:val="0"/>
            <w:noProof/>
            <w:webHidden/>
            <w:color w:val="auto"/>
            <w:u w:val="none"/>
          </w:rPr>
          <w:instrText xml:space="preserve"> PAGEREF _Toc369720453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108</w:t>
        </w:r>
        <w:r w:rsidR="00182C97" w:rsidRPr="006A1258">
          <w:rPr>
            <w:rStyle w:val="Lienhypertexte"/>
            <w:rFonts w:ascii="Times New Roman" w:hAnsi="Times New Roman" w:cs="Times New Roman"/>
            <w:i w:val="0"/>
            <w:noProof/>
            <w:webHidden/>
            <w:color w:val="auto"/>
            <w:u w:val="none"/>
          </w:rPr>
          <w:fldChar w:fldCharType="end"/>
        </w:r>
      </w:hyperlink>
    </w:p>
    <w:p w:rsidR="006A1258" w:rsidRPr="006A1258" w:rsidRDefault="004F064D" w:rsidP="006A1258">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454" w:history="1">
        <w:r w:rsidR="00F20B1C">
          <w:rPr>
            <w:rStyle w:val="Lienhypertexte"/>
            <w:rFonts w:ascii="Times New Roman" w:hAnsi="Times New Roman" w:cs="Times New Roman"/>
            <w:i w:val="0"/>
            <w:noProof/>
            <w:color w:val="auto"/>
            <w:u w:val="none"/>
          </w:rPr>
          <w:t>Tableau 3.</w:t>
        </w:r>
        <w:r w:rsidR="006A1258" w:rsidRPr="006A1258">
          <w:rPr>
            <w:rStyle w:val="Lienhypertexte"/>
            <w:rFonts w:ascii="Times New Roman" w:hAnsi="Times New Roman" w:cs="Times New Roman"/>
            <w:i w:val="0"/>
            <w:noProof/>
            <w:color w:val="auto"/>
            <w:u w:val="none"/>
          </w:rPr>
          <w:t>4: Proportion des ménages ayant pu se relever de la diminution de leur  revenu après les chocs selon les stratégies de gestion de risque adoptées  (%)</w:t>
        </w:r>
        <w:r w:rsidR="006A1258" w:rsidRPr="006A1258">
          <w:rPr>
            <w:rStyle w:val="Lienhypertexte"/>
            <w:rFonts w:ascii="Times New Roman" w:hAnsi="Times New Roman" w:cs="Times New Roman"/>
            <w:i w:val="0"/>
            <w:noProof/>
            <w:webHidden/>
            <w:color w:val="auto"/>
            <w:u w:val="none"/>
          </w:rPr>
          <w:tab/>
        </w:r>
        <w:r w:rsidR="00182C97" w:rsidRPr="006A1258">
          <w:rPr>
            <w:rStyle w:val="Lienhypertexte"/>
            <w:rFonts w:ascii="Times New Roman" w:hAnsi="Times New Roman" w:cs="Times New Roman"/>
            <w:i w:val="0"/>
            <w:noProof/>
            <w:webHidden/>
            <w:color w:val="auto"/>
            <w:u w:val="none"/>
          </w:rPr>
          <w:fldChar w:fldCharType="begin"/>
        </w:r>
        <w:r w:rsidR="006A1258" w:rsidRPr="006A1258">
          <w:rPr>
            <w:rStyle w:val="Lienhypertexte"/>
            <w:rFonts w:ascii="Times New Roman" w:hAnsi="Times New Roman" w:cs="Times New Roman"/>
            <w:i w:val="0"/>
            <w:noProof/>
            <w:webHidden/>
            <w:color w:val="auto"/>
            <w:u w:val="none"/>
          </w:rPr>
          <w:instrText xml:space="preserve"> PAGEREF _Toc369720454 \h </w:instrText>
        </w:r>
        <w:r w:rsidR="00182C97" w:rsidRPr="006A1258">
          <w:rPr>
            <w:rStyle w:val="Lienhypertexte"/>
            <w:rFonts w:ascii="Times New Roman" w:hAnsi="Times New Roman" w:cs="Times New Roman"/>
            <w:i w:val="0"/>
            <w:noProof/>
            <w:webHidden/>
            <w:color w:val="auto"/>
            <w:u w:val="none"/>
          </w:rPr>
        </w:r>
        <w:r w:rsidR="00182C97" w:rsidRPr="006A1258">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109</w:t>
        </w:r>
        <w:r w:rsidR="00182C97" w:rsidRPr="006A1258">
          <w:rPr>
            <w:rStyle w:val="Lienhypertexte"/>
            <w:rFonts w:ascii="Times New Roman" w:hAnsi="Times New Roman" w:cs="Times New Roman"/>
            <w:i w:val="0"/>
            <w:noProof/>
            <w:webHidden/>
            <w:color w:val="auto"/>
            <w:u w:val="none"/>
          </w:rPr>
          <w:fldChar w:fldCharType="end"/>
        </w:r>
      </w:hyperlink>
    </w:p>
    <w:p w:rsidR="006A1258" w:rsidRPr="006A1258" w:rsidRDefault="00182C97" w:rsidP="003D42C3">
      <w:pPr>
        <w:spacing w:line="240" w:lineRule="auto"/>
        <w:rPr>
          <w:sz w:val="20"/>
          <w:szCs w:val="20"/>
        </w:rPr>
      </w:pPr>
      <w:r>
        <w:fldChar w:fldCharType="end"/>
      </w:r>
    </w:p>
    <w:p w:rsidR="001A4DC5" w:rsidRPr="009050A1" w:rsidRDefault="001064B7" w:rsidP="001A4DC5">
      <w:pPr>
        <w:rPr>
          <w:rStyle w:val="Lienhypertexte"/>
          <w:b/>
          <w:color w:val="auto"/>
          <w:sz w:val="20"/>
          <w:szCs w:val="20"/>
          <w:u w:val="none"/>
        </w:rPr>
      </w:pPr>
      <w:r w:rsidRPr="009050A1">
        <w:rPr>
          <w:rFonts w:ascii="Times New Roman" w:hAnsi="Times New Roman"/>
          <w:b/>
          <w:noProof/>
          <w:u w:val="single"/>
        </w:rPr>
        <w:t>CHAPITRE </w:t>
      </w:r>
      <w:r w:rsidR="004557F6" w:rsidRPr="009050A1">
        <w:rPr>
          <w:rFonts w:ascii="Times New Roman" w:hAnsi="Times New Roman"/>
          <w:b/>
          <w:noProof/>
          <w:u w:val="single"/>
        </w:rPr>
        <w:t>4</w:t>
      </w:r>
      <w:r w:rsidRPr="009050A1">
        <w:rPr>
          <w:rFonts w:ascii="Times New Roman" w:hAnsi="Times New Roman"/>
          <w:b/>
          <w:noProof/>
          <w:webHidden/>
          <w:u w:val="single"/>
        </w:rPr>
        <w:t>:</w:t>
      </w:r>
      <w:r w:rsidRPr="009050A1">
        <w:rPr>
          <w:rFonts w:ascii="Times New Roman" w:hAnsi="Times New Roman"/>
          <w:b/>
          <w:noProof/>
          <w:u w:val="single"/>
        </w:rPr>
        <w:t>Politiques budgétaires et réduction de la pauvreté</w:t>
      </w:r>
    </w:p>
    <w:p w:rsidR="003D42C3" w:rsidRPr="003D42C3" w:rsidRDefault="00182C97"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r w:rsidRPr="003D42C3">
        <w:rPr>
          <w:rStyle w:val="Lienhypertexte"/>
          <w:rFonts w:ascii="Times New Roman" w:hAnsi="Times New Roman" w:cs="Times New Roman"/>
          <w:i w:val="0"/>
          <w:noProof/>
          <w:color w:val="auto"/>
          <w:u w:val="none"/>
        </w:rPr>
        <w:fldChar w:fldCharType="begin"/>
      </w:r>
      <w:r w:rsidR="003D42C3" w:rsidRPr="003D42C3">
        <w:rPr>
          <w:rStyle w:val="Lienhypertexte"/>
          <w:rFonts w:ascii="Times New Roman" w:hAnsi="Times New Roman" w:cs="Times New Roman"/>
          <w:i w:val="0"/>
          <w:noProof/>
          <w:color w:val="auto"/>
          <w:u w:val="none"/>
        </w:rPr>
        <w:instrText xml:space="preserve"> TOC \h \z \c "Tableau 4." </w:instrText>
      </w:r>
      <w:r w:rsidRPr="003D42C3">
        <w:rPr>
          <w:rStyle w:val="Lienhypertexte"/>
          <w:rFonts w:ascii="Times New Roman" w:hAnsi="Times New Roman" w:cs="Times New Roman"/>
          <w:i w:val="0"/>
          <w:noProof/>
          <w:color w:val="auto"/>
          <w:u w:val="none"/>
        </w:rPr>
        <w:fldChar w:fldCharType="separate"/>
      </w:r>
      <w:hyperlink w:anchor="_Toc369720635" w:history="1">
        <w:r w:rsidR="003D42C3" w:rsidRPr="003D42C3">
          <w:rPr>
            <w:rStyle w:val="Lienhypertexte"/>
            <w:rFonts w:ascii="Times New Roman" w:hAnsi="Times New Roman" w:cs="Times New Roman"/>
            <w:i w:val="0"/>
            <w:noProof/>
            <w:color w:val="auto"/>
            <w:u w:val="none"/>
          </w:rPr>
          <w:t>Tableau 4.1: CDMT de la SCRP 2</w:t>
        </w:r>
        <w:r w:rsidR="003D42C3" w:rsidRPr="003D42C3">
          <w:rPr>
            <w:rStyle w:val="Lienhypertexte"/>
            <w:rFonts w:ascii="Times New Roman" w:hAnsi="Times New Roman" w:cs="Times New Roman"/>
            <w:i w:val="0"/>
            <w:noProof/>
            <w:webHidden/>
            <w:color w:val="auto"/>
            <w:u w:val="none"/>
          </w:rPr>
          <w:tab/>
        </w:r>
        <w:r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_Toc369720635 \h </w:instrText>
        </w:r>
        <w:r w:rsidRPr="003D42C3">
          <w:rPr>
            <w:rStyle w:val="Lienhypertexte"/>
            <w:rFonts w:ascii="Times New Roman" w:hAnsi="Times New Roman" w:cs="Times New Roman"/>
            <w:i w:val="0"/>
            <w:noProof/>
            <w:webHidden/>
            <w:color w:val="auto"/>
            <w:u w:val="none"/>
          </w:rPr>
        </w:r>
        <w:r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115</w:t>
        </w:r>
        <w:r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636" w:history="1">
        <w:r w:rsidR="003D42C3" w:rsidRPr="003D42C3">
          <w:rPr>
            <w:rStyle w:val="Lienhypertexte"/>
            <w:rFonts w:ascii="Times New Roman" w:hAnsi="Times New Roman" w:cs="Times New Roman"/>
            <w:i w:val="0"/>
            <w:noProof/>
            <w:color w:val="auto"/>
            <w:u w:val="none"/>
          </w:rPr>
          <w:t>Tableau 4.2: Taux d’exécution du CDMT de la SCRP 2 dans les secteurs clés</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_Toc369720636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116</w:t>
        </w:r>
        <w:r w:rsidR="00182C97"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637" w:history="1">
        <w:r w:rsidR="00F20B1C">
          <w:rPr>
            <w:rStyle w:val="Lienhypertexte"/>
            <w:rFonts w:ascii="Times New Roman" w:hAnsi="Times New Roman" w:cs="Times New Roman"/>
            <w:i w:val="0"/>
            <w:noProof/>
            <w:color w:val="auto"/>
            <w:u w:val="none"/>
          </w:rPr>
          <w:t>Tableau 4.</w:t>
        </w:r>
        <w:r w:rsidR="003D42C3" w:rsidRPr="003D42C3">
          <w:rPr>
            <w:rStyle w:val="Lienhypertexte"/>
            <w:rFonts w:ascii="Times New Roman" w:hAnsi="Times New Roman" w:cs="Times New Roman"/>
            <w:i w:val="0"/>
            <w:noProof/>
            <w:color w:val="auto"/>
            <w:u w:val="none"/>
          </w:rPr>
          <w:t>3: Répartition sectorielle des allocations budgétaires (en % du total budget hors amortissement de la dette)</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_Toc369720637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116</w:t>
        </w:r>
        <w:r w:rsidR="00182C97"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638" w:history="1">
        <w:r w:rsidR="003D42C3" w:rsidRPr="003D42C3">
          <w:rPr>
            <w:rStyle w:val="Lienhypertexte"/>
            <w:rFonts w:ascii="Times New Roman" w:hAnsi="Times New Roman" w:cs="Times New Roman"/>
            <w:i w:val="0"/>
            <w:noProof/>
            <w:color w:val="auto"/>
            <w:u w:val="none"/>
          </w:rPr>
          <w:t>Tableau 4.4: Évolution des transferts de l’État aux communes, 2006 - 2010</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_Toc369720638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119</w:t>
        </w:r>
        <w:r w:rsidR="00182C97"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639" w:history="1">
        <w:r w:rsidR="003D42C3" w:rsidRPr="003D42C3">
          <w:rPr>
            <w:rStyle w:val="Lienhypertexte"/>
            <w:rFonts w:ascii="Times New Roman" w:hAnsi="Times New Roman" w:cs="Times New Roman"/>
            <w:i w:val="0"/>
            <w:noProof/>
            <w:color w:val="auto"/>
            <w:u w:val="none"/>
          </w:rPr>
          <w:t>Tableau 4.5: Taux d’exécution des dépenses des communes, 2004-2009 (en %)</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_Toc369720639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120</w:t>
        </w:r>
        <w:r w:rsidR="00182C97"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640" w:history="1">
        <w:r w:rsidR="003D42C3" w:rsidRPr="003D42C3">
          <w:rPr>
            <w:rStyle w:val="Lienhypertexte"/>
            <w:rFonts w:ascii="Times New Roman" w:hAnsi="Times New Roman" w:cs="Times New Roman"/>
            <w:i w:val="0"/>
            <w:noProof/>
            <w:color w:val="auto"/>
            <w:u w:val="none"/>
          </w:rPr>
          <w:t>Tableau 4.6: Résultats de simulation</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_Toc369720640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126</w:t>
        </w:r>
        <w:r w:rsidR="00182C97" w:rsidRPr="003D42C3">
          <w:rPr>
            <w:rStyle w:val="Lienhypertexte"/>
            <w:rFonts w:ascii="Times New Roman" w:hAnsi="Times New Roman" w:cs="Times New Roman"/>
            <w:i w:val="0"/>
            <w:noProof/>
            <w:webHidden/>
            <w:color w:val="auto"/>
            <w:u w:val="none"/>
          </w:rPr>
          <w:fldChar w:fldCharType="end"/>
        </w:r>
      </w:hyperlink>
    </w:p>
    <w:p w:rsidR="006A1258" w:rsidRPr="009050A1" w:rsidRDefault="00182C97" w:rsidP="003D42C3">
      <w:pPr>
        <w:pStyle w:val="Tabledesillustrations"/>
        <w:tabs>
          <w:tab w:val="right" w:leader="dot" w:pos="9062"/>
        </w:tabs>
        <w:ind w:left="1134" w:hanging="1134"/>
        <w:rPr>
          <w:rFonts w:eastAsiaTheme="minorEastAsia" w:cstheme="minorBidi"/>
          <w:b/>
          <w:i w:val="0"/>
          <w:iCs w:val="0"/>
          <w:noProof/>
          <w:sz w:val="22"/>
          <w:szCs w:val="22"/>
          <w:lang w:eastAsia="fr-FR"/>
        </w:rPr>
      </w:pPr>
      <w:r w:rsidRPr="003D42C3">
        <w:rPr>
          <w:rStyle w:val="Lienhypertexte"/>
          <w:rFonts w:ascii="Times New Roman" w:hAnsi="Times New Roman" w:cs="Times New Roman"/>
          <w:i w:val="0"/>
          <w:noProof/>
          <w:color w:val="auto"/>
          <w:u w:val="none"/>
        </w:rPr>
        <w:fldChar w:fldCharType="end"/>
      </w:r>
      <w:r w:rsidRPr="009050A1">
        <w:rPr>
          <w:rStyle w:val="Lienhypertexte"/>
          <w:rFonts w:ascii="Times New Roman" w:hAnsi="Times New Roman" w:cs="Times New Roman"/>
          <w:b/>
          <w:i w:val="0"/>
          <w:noProof/>
          <w:color w:val="auto"/>
          <w:sz w:val="22"/>
          <w:szCs w:val="22"/>
          <w:u w:val="none"/>
        </w:rPr>
        <w:fldChar w:fldCharType="begin"/>
      </w:r>
      <w:r w:rsidR="001064B7" w:rsidRPr="009050A1">
        <w:rPr>
          <w:rStyle w:val="Lienhypertexte"/>
          <w:rFonts w:ascii="Times New Roman" w:hAnsi="Times New Roman" w:cs="Times New Roman"/>
          <w:b/>
          <w:i w:val="0"/>
          <w:noProof/>
          <w:color w:val="auto"/>
          <w:sz w:val="22"/>
          <w:szCs w:val="22"/>
          <w:u w:val="none"/>
        </w:rPr>
        <w:instrText xml:space="preserve"> TOC \h \z \c "Tableau 5." </w:instrText>
      </w:r>
      <w:r w:rsidRPr="009050A1">
        <w:rPr>
          <w:rStyle w:val="Lienhypertexte"/>
          <w:rFonts w:ascii="Times New Roman" w:hAnsi="Times New Roman" w:cs="Times New Roman"/>
          <w:b/>
          <w:i w:val="0"/>
          <w:noProof/>
          <w:color w:val="auto"/>
          <w:sz w:val="22"/>
          <w:szCs w:val="22"/>
          <w:u w:val="none"/>
        </w:rPr>
        <w:fldChar w:fldCharType="separate"/>
      </w:r>
    </w:p>
    <w:p w:rsidR="001A4DC5" w:rsidRPr="009050A1" w:rsidRDefault="00182C97" w:rsidP="003D42C3">
      <w:pPr>
        <w:rPr>
          <w:rFonts w:ascii="Times New Roman" w:eastAsia="Times New Roman" w:hAnsi="Times New Roman"/>
          <w:b/>
          <w:bCs/>
          <w:i/>
          <w:iCs/>
          <w:noProof/>
          <w:u w:val="single"/>
          <w:lang w:eastAsia="fr-FR"/>
        </w:rPr>
      </w:pPr>
      <w:r w:rsidRPr="009050A1">
        <w:rPr>
          <w:rStyle w:val="Lienhypertexte"/>
          <w:rFonts w:ascii="Times New Roman" w:hAnsi="Times New Roman"/>
          <w:b/>
          <w:noProof/>
          <w:color w:val="auto"/>
          <w:u w:val="none"/>
        </w:rPr>
        <w:fldChar w:fldCharType="end"/>
      </w:r>
      <w:hyperlink w:anchor="_Toc344672706" w:history="1">
        <w:r w:rsidR="001064B7" w:rsidRPr="009050A1">
          <w:rPr>
            <w:rStyle w:val="Lienhypertexte"/>
            <w:rFonts w:ascii="Times New Roman" w:hAnsi="Times New Roman"/>
            <w:b/>
            <w:noProof/>
            <w:color w:val="auto"/>
          </w:rPr>
          <w:t xml:space="preserve">CHAPITRE </w:t>
        </w:r>
        <w:r w:rsidR="004557F6" w:rsidRPr="009050A1">
          <w:rPr>
            <w:rStyle w:val="Lienhypertexte"/>
            <w:rFonts w:ascii="Times New Roman" w:hAnsi="Times New Roman"/>
            <w:b/>
            <w:noProof/>
            <w:color w:val="auto"/>
          </w:rPr>
          <w:t>5</w:t>
        </w:r>
        <w:r w:rsidR="001064B7" w:rsidRPr="009050A1">
          <w:rPr>
            <w:rFonts w:ascii="Times New Roman" w:hAnsi="Times New Roman"/>
            <w:b/>
            <w:noProof/>
            <w:webHidden/>
            <w:u w:val="single"/>
          </w:rPr>
          <w:t>:</w:t>
        </w:r>
      </w:hyperlink>
      <w:r w:rsidR="00DA5BAE" w:rsidRPr="009050A1">
        <w:rPr>
          <w:b/>
        </w:rPr>
        <w:t xml:space="preserve"> </w:t>
      </w:r>
      <w:hyperlink w:anchor="_Toc344672707" w:history="1">
        <w:r w:rsidR="001064B7" w:rsidRPr="009050A1">
          <w:rPr>
            <w:rStyle w:val="Lienhypertexte"/>
            <w:rFonts w:ascii="Times New Roman" w:hAnsi="Times New Roman"/>
            <w:b/>
            <w:noProof/>
            <w:color w:val="auto"/>
          </w:rPr>
          <w:t>Politique de l’emploi et pauvreté</w:t>
        </w:r>
      </w:hyperlink>
    </w:p>
    <w:p w:rsidR="00DA5BAE" w:rsidRPr="00DA5BAE" w:rsidRDefault="00182C97" w:rsidP="00DA5BAE">
      <w:pPr>
        <w:pStyle w:val="Tabledesillustrations"/>
        <w:tabs>
          <w:tab w:val="right" w:leader="dot" w:pos="9062"/>
        </w:tabs>
        <w:spacing w:line="276" w:lineRule="auto"/>
        <w:ind w:left="1134" w:hanging="1134"/>
        <w:rPr>
          <w:rFonts w:ascii="Times New Roman" w:hAnsi="Times New Roman" w:cs="Times New Roman"/>
          <w:i w:val="0"/>
          <w:noProof/>
        </w:rPr>
      </w:pPr>
      <w:r w:rsidRPr="00DA5BAE">
        <w:rPr>
          <w:rFonts w:ascii="Times New Roman" w:hAnsi="Times New Roman" w:cs="Times New Roman"/>
          <w:i w:val="0"/>
        </w:rPr>
        <w:fldChar w:fldCharType="begin"/>
      </w:r>
      <w:r w:rsidR="003D42C3" w:rsidRPr="00DA5BAE">
        <w:rPr>
          <w:rFonts w:ascii="Times New Roman" w:hAnsi="Times New Roman" w:cs="Times New Roman"/>
          <w:i w:val="0"/>
        </w:rPr>
        <w:instrText xml:space="preserve"> TOC \h \z \c "Tableau 5." </w:instrText>
      </w:r>
      <w:r w:rsidRPr="00DA5BAE">
        <w:rPr>
          <w:rFonts w:ascii="Times New Roman" w:hAnsi="Times New Roman" w:cs="Times New Roman"/>
          <w:i w:val="0"/>
        </w:rPr>
        <w:fldChar w:fldCharType="separate"/>
      </w:r>
      <w:hyperlink w:anchor="_Toc373430440" w:history="1">
        <w:r w:rsidR="00DA5BAE" w:rsidRPr="00DA5BAE">
          <w:rPr>
            <w:rFonts w:ascii="Times New Roman" w:hAnsi="Times New Roman" w:cs="Times New Roman"/>
            <w:i w:val="0"/>
            <w:noProof/>
          </w:rPr>
          <w:t>Tableau 5. 1: Répartition de la population active selon la zone de résidence en 2010</w:t>
        </w:r>
        <w:r w:rsidR="00DA5BAE" w:rsidRPr="00DA5BAE">
          <w:rPr>
            <w:rFonts w:ascii="Times New Roman" w:hAnsi="Times New Roman" w:cs="Times New Roman"/>
            <w:i w:val="0"/>
            <w:noProof/>
            <w:webHidden/>
          </w:rPr>
          <w:tab/>
        </w:r>
        <w:r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_Toc373430440 \h </w:instrText>
        </w:r>
        <w:r w:rsidRPr="00DA5BAE">
          <w:rPr>
            <w:rFonts w:ascii="Times New Roman" w:hAnsi="Times New Roman" w:cs="Times New Roman"/>
            <w:i w:val="0"/>
            <w:noProof/>
            <w:webHidden/>
          </w:rPr>
        </w:r>
        <w:r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132</w:t>
        </w:r>
        <w:r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1" w:history="1">
        <w:r w:rsidR="00DA5BAE" w:rsidRPr="00DA5BAE">
          <w:rPr>
            <w:rFonts w:ascii="Times New Roman" w:hAnsi="Times New Roman" w:cs="Times New Roman"/>
            <w:i w:val="0"/>
            <w:noProof/>
          </w:rPr>
          <w:t>Tableau 5. 2: Répartition des actifs occupés selon la catégorie socio-professionnelle selon le milieu de résidence et le sexe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_Toc373430441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134</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2" w:history="1">
        <w:r w:rsidR="00DA5BAE" w:rsidRPr="00DA5BAE">
          <w:rPr>
            <w:rFonts w:ascii="Times New Roman" w:hAnsi="Times New Roman" w:cs="Times New Roman"/>
            <w:i w:val="0"/>
            <w:noProof/>
          </w:rPr>
          <w:t>Tableau 5. 3: Répartition des actifs occupés selon l'âge et la catégorie socioprofessionnelle au Bénin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_Toc373430442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134</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3" w:history="1">
        <w:r w:rsidR="00DA5BAE" w:rsidRPr="00DA5BAE">
          <w:rPr>
            <w:rFonts w:ascii="Times New Roman" w:hAnsi="Times New Roman" w:cs="Times New Roman"/>
            <w:i w:val="0"/>
            <w:noProof/>
          </w:rPr>
          <w:t>Tableau 5. 4: Répartition des actifs occupés selon les pôles de croissance et le sexe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_Toc373430443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135</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4" w:history="1">
        <w:r w:rsidR="00DA5BAE" w:rsidRPr="00DA5BAE">
          <w:rPr>
            <w:rFonts w:ascii="Times New Roman" w:hAnsi="Times New Roman" w:cs="Times New Roman"/>
            <w:i w:val="0"/>
            <w:noProof/>
          </w:rPr>
          <w:t>Tableau 5. 5: Répartition des actifs occupés selon le pôle de croissance, le milieu de résidence et la catégorie socioprofessionnelle</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_Toc373430444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136</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5" w:history="1">
        <w:r w:rsidR="00DA5BAE" w:rsidRPr="00DA5BAE">
          <w:rPr>
            <w:rFonts w:ascii="Times New Roman" w:hAnsi="Times New Roman" w:cs="Times New Roman"/>
            <w:i w:val="0"/>
            <w:noProof/>
          </w:rPr>
          <w:t>Tableau 5. 6: Répartition des actifs occupés selon le pôle de croissance, le milieu de résidence et la catégorie socioprofessionnelle</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_Toc373430445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137</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6" w:history="1">
        <w:r w:rsidR="00DA5BAE" w:rsidRPr="00DA5BAE">
          <w:rPr>
            <w:rFonts w:ascii="Times New Roman" w:hAnsi="Times New Roman" w:cs="Times New Roman"/>
            <w:i w:val="0"/>
            <w:noProof/>
          </w:rPr>
          <w:t>Tableau 5. 7: Répartition des actifs occupés selon le pôle de croissance, le milieu de résidence et secteur d’activité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_Toc373430446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139</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7" w:history="1">
        <w:r w:rsidR="00DA5BAE" w:rsidRPr="00DA5BAE">
          <w:rPr>
            <w:rFonts w:ascii="Times New Roman" w:hAnsi="Times New Roman" w:cs="Times New Roman"/>
            <w:i w:val="0"/>
            <w:noProof/>
          </w:rPr>
          <w:t>Tableau 5. 8: Taux de chômage selon le sexe, l’âge et le niveau d’instruction au Bénin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_Toc373430447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140</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8" w:history="1">
        <w:r w:rsidR="00DA5BAE" w:rsidRPr="00DA5BAE">
          <w:rPr>
            <w:rFonts w:ascii="Times New Roman" w:hAnsi="Times New Roman" w:cs="Times New Roman"/>
            <w:i w:val="0"/>
            <w:noProof/>
          </w:rPr>
          <w:t>Tableau 5. 9: Taux de sous-emploi visible selon les caractéristiques géographiques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_Toc373430448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142</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49" w:history="1">
        <w:r w:rsidR="00DA5BAE" w:rsidRPr="00DA5BAE">
          <w:rPr>
            <w:rFonts w:ascii="Times New Roman" w:hAnsi="Times New Roman" w:cs="Times New Roman"/>
            <w:i w:val="0"/>
            <w:noProof/>
          </w:rPr>
          <w:t>Tableau 5. 10: Taux de sous-emploi visible selon quelques caractéristiques sociodémographiques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_Toc373430449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142</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50" w:history="1">
        <w:r w:rsidR="00DA5BAE" w:rsidRPr="00DA5BAE">
          <w:rPr>
            <w:rFonts w:ascii="Times New Roman" w:hAnsi="Times New Roman" w:cs="Times New Roman"/>
            <w:i w:val="0"/>
            <w:noProof/>
          </w:rPr>
          <w:t>Tableau 5. 11: Taux de sous-emploi visible et invisible selon les caractéristiques du ménage</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_Toc373430450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144</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51" w:history="1">
        <w:r w:rsidR="00DA5BAE" w:rsidRPr="00DA5BAE">
          <w:rPr>
            <w:rFonts w:ascii="Times New Roman" w:hAnsi="Times New Roman" w:cs="Times New Roman"/>
            <w:i w:val="0"/>
            <w:noProof/>
          </w:rPr>
          <w:t>Tableau 5. 12: Quelques caractéristiques de l’emploi des jeunes au Bénin</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_Toc373430451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145</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452" w:history="1">
        <w:r w:rsidR="00DA5BAE" w:rsidRPr="00DA5BAE">
          <w:rPr>
            <w:rFonts w:ascii="Times New Roman" w:hAnsi="Times New Roman" w:cs="Times New Roman"/>
            <w:i w:val="0"/>
            <w:noProof/>
          </w:rPr>
          <w:t>Tableau 5. 13: Répartition des actifs occupés selon le sexe, la branche d'activité et la pauvreté</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_Toc373430452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152</w:t>
        </w:r>
        <w:r w:rsidR="00182C97" w:rsidRPr="00DA5BAE">
          <w:rPr>
            <w:rFonts w:ascii="Times New Roman" w:hAnsi="Times New Roman" w:cs="Times New Roman"/>
            <w:i w:val="0"/>
            <w:noProof/>
            <w:webHidden/>
          </w:rPr>
          <w:fldChar w:fldCharType="end"/>
        </w:r>
      </w:hyperlink>
      <w:r w:rsidR="00182C97" w:rsidRPr="00DA5BAE">
        <w:rPr>
          <w:rFonts w:ascii="Times New Roman" w:hAnsi="Times New Roman" w:cs="Times New Roman"/>
          <w:i w:val="0"/>
        </w:rPr>
        <w:fldChar w:fldCharType="end"/>
      </w:r>
      <w:r w:rsidR="00182C97" w:rsidRPr="00DA5BAE">
        <w:rPr>
          <w:rFonts w:ascii="Times New Roman" w:hAnsi="Times New Roman" w:cs="Times New Roman"/>
        </w:rPr>
        <w:fldChar w:fldCharType="begin"/>
      </w:r>
      <w:r w:rsidR="003D42C3" w:rsidRPr="00DA5BAE">
        <w:rPr>
          <w:rFonts w:ascii="Times New Roman" w:hAnsi="Times New Roman" w:cs="Times New Roman"/>
        </w:rPr>
        <w:instrText xml:space="preserve"> TOC \h \z \c "Tableau A4." </w:instrText>
      </w:r>
      <w:r w:rsidR="00182C97" w:rsidRPr="00DA5BAE">
        <w:rPr>
          <w:rFonts w:ascii="Times New Roman" w:hAnsi="Times New Roman" w:cs="Times New Roman"/>
        </w:rPr>
        <w:fldChar w:fldCharType="separate"/>
      </w:r>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543" w:history="1">
        <w:r w:rsidR="00DA5BAE" w:rsidRPr="00DA5BAE">
          <w:rPr>
            <w:rFonts w:ascii="Times New Roman" w:hAnsi="Times New Roman" w:cs="Times New Roman"/>
            <w:i w:val="0"/>
            <w:noProof/>
          </w:rPr>
          <w:t>Tableau A4. 1 : Répartition des actifs occupés selon la branche d'activité et le sexe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_Toc373430543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215</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544" w:history="1">
        <w:r w:rsidR="00DA5BAE" w:rsidRPr="00DA5BAE">
          <w:rPr>
            <w:rFonts w:ascii="Times New Roman" w:hAnsi="Times New Roman" w:cs="Times New Roman"/>
            <w:i w:val="0"/>
            <w:noProof/>
          </w:rPr>
          <w:t>Tableau A4. 2: Répartition des actifs occupés selon la branche d'activité et le niveau d’instruction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_Toc373430544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215</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545" w:history="1">
        <w:r w:rsidR="00DA5BAE" w:rsidRPr="00DA5BAE">
          <w:rPr>
            <w:rFonts w:ascii="Times New Roman" w:hAnsi="Times New Roman" w:cs="Times New Roman"/>
            <w:i w:val="0"/>
            <w:noProof/>
          </w:rPr>
          <w:t>Tableau A4. 3: Répartition des actifs occupés selon le niveau d'instruction, la branche d'activité et la catégorie socio-professionnelle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_Toc373430545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216</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546" w:history="1">
        <w:r w:rsidR="00DA5BAE" w:rsidRPr="00DA5BAE">
          <w:rPr>
            <w:rFonts w:ascii="Times New Roman" w:hAnsi="Times New Roman" w:cs="Times New Roman"/>
            <w:i w:val="0"/>
            <w:noProof/>
          </w:rPr>
          <w:t>Tableau A4. 5: Raison d'inactivité selon le milieu de résidence et l'âge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_Toc373430546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216</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547" w:history="1">
        <w:r w:rsidR="00DA5BAE" w:rsidRPr="00DA5BAE">
          <w:rPr>
            <w:rFonts w:ascii="Times New Roman" w:hAnsi="Times New Roman" w:cs="Times New Roman"/>
            <w:i w:val="0"/>
            <w:noProof/>
          </w:rPr>
          <w:t>Tableau A4. 6: Répartition des actifs occupés selon le secteur d'activité, la catégorie socioprofessionnelle et le sexe en 2010</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_Toc373430547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217</w:t>
        </w:r>
        <w:r w:rsidR="00182C97" w:rsidRPr="00DA5BAE">
          <w:rPr>
            <w:rFonts w:ascii="Times New Roman" w:hAnsi="Times New Roman" w:cs="Times New Roman"/>
            <w:i w:val="0"/>
            <w:noProof/>
            <w:webHidden/>
          </w:rPr>
          <w:fldChar w:fldCharType="end"/>
        </w:r>
      </w:hyperlink>
    </w:p>
    <w:p w:rsidR="003D42C3" w:rsidRDefault="00182C97" w:rsidP="003D42C3">
      <w:pPr>
        <w:pStyle w:val="Tabledesillustrations"/>
        <w:tabs>
          <w:tab w:val="right" w:leader="dot" w:pos="9062"/>
        </w:tabs>
        <w:spacing w:line="276" w:lineRule="auto"/>
        <w:ind w:left="1134" w:hanging="1134"/>
        <w:rPr>
          <w:i w:val="0"/>
          <w:iCs w:val="0"/>
        </w:rPr>
      </w:pPr>
      <w:r w:rsidRPr="00DA5BAE">
        <w:rPr>
          <w:rFonts w:ascii="Times New Roman" w:hAnsi="Times New Roman" w:cs="Times New Roman"/>
        </w:rPr>
        <w:fldChar w:fldCharType="end"/>
      </w:r>
    </w:p>
    <w:p w:rsidR="003D251C" w:rsidRPr="009050A1" w:rsidRDefault="004F064D" w:rsidP="003D251C">
      <w:pPr>
        <w:rPr>
          <w:b/>
          <w:u w:val="single"/>
        </w:rPr>
      </w:pPr>
      <w:hyperlink w:anchor="_Toc344672723" w:history="1">
        <w:r w:rsidR="001064B7" w:rsidRPr="009050A1">
          <w:rPr>
            <w:rStyle w:val="Lienhypertexte"/>
            <w:rFonts w:ascii="Times New Roman" w:hAnsi="Times New Roman"/>
            <w:b/>
            <w:noProof/>
            <w:color w:val="auto"/>
          </w:rPr>
          <w:t xml:space="preserve">CHAPITRE </w:t>
        </w:r>
        <w:r w:rsidR="007C0BAB" w:rsidRPr="009050A1">
          <w:rPr>
            <w:rStyle w:val="Lienhypertexte"/>
            <w:rFonts w:ascii="Times New Roman" w:hAnsi="Times New Roman"/>
            <w:b/>
            <w:noProof/>
            <w:color w:val="auto"/>
          </w:rPr>
          <w:t>6</w:t>
        </w:r>
        <w:r w:rsidR="001064B7" w:rsidRPr="009050A1">
          <w:rPr>
            <w:rStyle w:val="Lienhypertexte"/>
            <w:rFonts w:ascii="Times New Roman" w:hAnsi="Times New Roman"/>
            <w:b/>
            <w:noProof/>
            <w:color w:val="auto"/>
          </w:rPr>
          <w:t>:</w:t>
        </w:r>
      </w:hyperlink>
      <w:r w:rsidR="001064B7" w:rsidRPr="009050A1">
        <w:rPr>
          <w:rFonts w:ascii="Times New Roman" w:hAnsi="Times New Roman"/>
          <w:b/>
          <w:noProof/>
          <w:u w:val="single"/>
        </w:rPr>
        <w:t>Inégalités d’accès et inégalités de bénéfices</w:t>
      </w:r>
    </w:p>
    <w:p w:rsidR="003D42C3" w:rsidRPr="003D42C3" w:rsidRDefault="00182C97"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r w:rsidRPr="003D42C3">
        <w:rPr>
          <w:rStyle w:val="Lienhypertexte"/>
          <w:rFonts w:ascii="Times New Roman" w:hAnsi="Times New Roman" w:cs="Times New Roman"/>
          <w:i w:val="0"/>
          <w:noProof/>
          <w:color w:val="auto"/>
          <w:u w:val="none"/>
        </w:rPr>
        <w:fldChar w:fldCharType="begin"/>
      </w:r>
      <w:r w:rsidR="003D42C3" w:rsidRPr="003D42C3">
        <w:rPr>
          <w:rStyle w:val="Lienhypertexte"/>
          <w:rFonts w:ascii="Times New Roman" w:hAnsi="Times New Roman" w:cs="Times New Roman"/>
          <w:i w:val="0"/>
          <w:noProof/>
          <w:color w:val="auto"/>
          <w:u w:val="none"/>
        </w:rPr>
        <w:instrText xml:space="preserve"> TOC \h \z \c "Tableau 6." </w:instrText>
      </w:r>
      <w:r w:rsidRPr="003D42C3">
        <w:rPr>
          <w:rStyle w:val="Lienhypertexte"/>
          <w:rFonts w:ascii="Times New Roman" w:hAnsi="Times New Roman" w:cs="Times New Roman"/>
          <w:i w:val="0"/>
          <w:noProof/>
          <w:color w:val="auto"/>
          <w:u w:val="none"/>
        </w:rPr>
        <w:fldChar w:fldCharType="separate"/>
      </w:r>
      <w:hyperlink w:anchor="_Toc369720917" w:history="1">
        <w:r w:rsidR="00F20B1C">
          <w:rPr>
            <w:rStyle w:val="Lienhypertexte"/>
            <w:rFonts w:ascii="Times New Roman" w:hAnsi="Times New Roman" w:cs="Times New Roman"/>
            <w:i w:val="0"/>
            <w:noProof/>
            <w:color w:val="auto"/>
            <w:u w:val="none"/>
          </w:rPr>
          <w:t>Tableau 6.</w:t>
        </w:r>
        <w:r w:rsidR="003D42C3" w:rsidRPr="003D42C3">
          <w:rPr>
            <w:rStyle w:val="Lienhypertexte"/>
            <w:rFonts w:ascii="Times New Roman" w:hAnsi="Times New Roman" w:cs="Times New Roman"/>
            <w:i w:val="0"/>
            <w:noProof/>
            <w:color w:val="auto"/>
            <w:u w:val="none"/>
          </w:rPr>
          <w:t>1: Répartition par année de l'ICF selon le pouvoir</w:t>
        </w:r>
        <w:r w:rsidR="003D42C3" w:rsidRPr="003D42C3">
          <w:rPr>
            <w:rStyle w:val="Lienhypertexte"/>
            <w:rFonts w:ascii="Times New Roman" w:hAnsi="Times New Roman" w:cs="Times New Roman"/>
            <w:i w:val="0"/>
            <w:noProof/>
            <w:webHidden/>
            <w:color w:val="auto"/>
            <w:u w:val="none"/>
          </w:rPr>
          <w:tab/>
        </w:r>
        <w:r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_Toc369720917 \h </w:instrText>
        </w:r>
        <w:r w:rsidRPr="003D42C3">
          <w:rPr>
            <w:rStyle w:val="Lienhypertexte"/>
            <w:rFonts w:ascii="Times New Roman" w:hAnsi="Times New Roman" w:cs="Times New Roman"/>
            <w:i w:val="0"/>
            <w:noProof/>
            <w:webHidden/>
            <w:color w:val="auto"/>
            <w:u w:val="none"/>
          </w:rPr>
        </w:r>
        <w:r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155</w:t>
        </w:r>
        <w:r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918" w:history="1">
        <w:r w:rsidR="003D42C3" w:rsidRPr="003D42C3">
          <w:rPr>
            <w:rStyle w:val="Lienhypertexte"/>
            <w:rFonts w:ascii="Times New Roman" w:hAnsi="Times New Roman" w:cs="Times New Roman"/>
            <w:i w:val="0"/>
            <w:noProof/>
            <w:color w:val="auto"/>
            <w:u w:val="none"/>
          </w:rPr>
          <w:t>Tableau 6.2: Matrice de transition dans la pauvreté monétaire entre 2006 et 2009</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_Toc369720918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157</w:t>
        </w:r>
        <w:r w:rsidR="00182C97"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919" w:history="1">
        <w:r w:rsidR="003D42C3" w:rsidRPr="003D42C3">
          <w:rPr>
            <w:rStyle w:val="Lienhypertexte"/>
            <w:rFonts w:ascii="Times New Roman" w:hAnsi="Times New Roman" w:cs="Times New Roman"/>
            <w:i w:val="0"/>
            <w:noProof/>
            <w:color w:val="auto"/>
            <w:u w:val="none"/>
          </w:rPr>
          <w:t>Tableau 6.3: Mobilité dans la pauvreté selon le sexe</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_Toc369720919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157</w:t>
        </w:r>
        <w:r w:rsidR="00182C97" w:rsidRPr="003D42C3">
          <w:rPr>
            <w:rStyle w:val="Lienhypertexte"/>
            <w:rFonts w:ascii="Times New Roman" w:hAnsi="Times New Roman" w:cs="Times New Roman"/>
            <w:i w:val="0"/>
            <w:noProof/>
            <w:webHidden/>
            <w:color w:val="auto"/>
            <w:u w:val="none"/>
          </w:rPr>
          <w:fldChar w:fldCharType="end"/>
        </w:r>
      </w:hyperlink>
    </w:p>
    <w:p w:rsidR="003D42C3" w:rsidRPr="003D42C3" w:rsidRDefault="004F064D" w:rsidP="003D42C3">
      <w:pPr>
        <w:pStyle w:val="Tabledesillustrations"/>
        <w:tabs>
          <w:tab w:val="right" w:leader="dot" w:pos="9062"/>
        </w:tabs>
        <w:spacing w:line="276" w:lineRule="auto"/>
        <w:ind w:left="1134" w:hanging="1134"/>
        <w:rPr>
          <w:rStyle w:val="Lienhypertexte"/>
          <w:rFonts w:ascii="Times New Roman" w:hAnsi="Times New Roman" w:cs="Times New Roman"/>
          <w:noProof/>
          <w:color w:val="auto"/>
          <w:u w:val="none"/>
        </w:rPr>
      </w:pPr>
      <w:hyperlink w:anchor="_Toc369720920" w:history="1">
        <w:r w:rsidR="003D42C3" w:rsidRPr="003D42C3">
          <w:rPr>
            <w:rStyle w:val="Lienhypertexte"/>
            <w:rFonts w:ascii="Times New Roman" w:hAnsi="Times New Roman" w:cs="Times New Roman"/>
            <w:i w:val="0"/>
            <w:noProof/>
            <w:color w:val="auto"/>
            <w:u w:val="none"/>
          </w:rPr>
          <w:t>Tableau 6.4: Répartition des ménages par choc et selon le sexe (%)</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_Toc369720920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158</w:t>
        </w:r>
        <w:r w:rsidR="00182C97" w:rsidRPr="003D42C3">
          <w:rPr>
            <w:rStyle w:val="Lienhypertexte"/>
            <w:rFonts w:ascii="Times New Roman" w:hAnsi="Times New Roman" w:cs="Times New Roman"/>
            <w:i w:val="0"/>
            <w:noProof/>
            <w:webHidden/>
            <w:color w:val="auto"/>
            <w:u w:val="none"/>
          </w:rPr>
          <w:fldChar w:fldCharType="end"/>
        </w:r>
      </w:hyperlink>
    </w:p>
    <w:p w:rsidR="00DA5BAE" w:rsidRDefault="004F064D" w:rsidP="003D42C3">
      <w:pPr>
        <w:pStyle w:val="Tabledesillustrations"/>
        <w:tabs>
          <w:tab w:val="right" w:leader="dot" w:pos="9062"/>
        </w:tabs>
        <w:spacing w:line="276" w:lineRule="auto"/>
        <w:ind w:left="1134" w:hanging="1134"/>
        <w:rPr>
          <w:noProof/>
        </w:rPr>
      </w:pPr>
      <w:hyperlink w:anchor="_Toc369720921" w:history="1">
        <w:r w:rsidR="003D42C3" w:rsidRPr="003D42C3">
          <w:rPr>
            <w:rStyle w:val="Lienhypertexte"/>
            <w:rFonts w:ascii="Times New Roman" w:hAnsi="Times New Roman" w:cs="Times New Roman"/>
            <w:i w:val="0"/>
            <w:noProof/>
            <w:color w:val="auto"/>
            <w:u w:val="none"/>
          </w:rPr>
          <w:t>Tableau 6.5: indice de parité dans les divers ordres d’enseignement en 2011</w:t>
        </w:r>
        <w:r w:rsidR="003D42C3" w:rsidRPr="003D42C3">
          <w:rPr>
            <w:rStyle w:val="Lienhypertexte"/>
            <w:rFonts w:ascii="Times New Roman" w:hAnsi="Times New Roman" w:cs="Times New Roman"/>
            <w:i w:val="0"/>
            <w:noProof/>
            <w:webHidden/>
            <w:color w:val="auto"/>
            <w:u w:val="none"/>
          </w:rPr>
          <w:tab/>
        </w:r>
        <w:r w:rsidR="00182C97" w:rsidRPr="003D42C3">
          <w:rPr>
            <w:rStyle w:val="Lienhypertexte"/>
            <w:rFonts w:ascii="Times New Roman" w:hAnsi="Times New Roman" w:cs="Times New Roman"/>
            <w:i w:val="0"/>
            <w:noProof/>
            <w:webHidden/>
            <w:color w:val="auto"/>
            <w:u w:val="none"/>
          </w:rPr>
          <w:fldChar w:fldCharType="begin"/>
        </w:r>
        <w:r w:rsidR="003D42C3" w:rsidRPr="003D42C3">
          <w:rPr>
            <w:rStyle w:val="Lienhypertexte"/>
            <w:rFonts w:ascii="Times New Roman" w:hAnsi="Times New Roman" w:cs="Times New Roman"/>
            <w:i w:val="0"/>
            <w:noProof/>
            <w:webHidden/>
            <w:color w:val="auto"/>
            <w:u w:val="none"/>
          </w:rPr>
          <w:instrText xml:space="preserve"> PAGEREF _Toc369720921 \h </w:instrText>
        </w:r>
        <w:r w:rsidR="00182C97" w:rsidRPr="003D42C3">
          <w:rPr>
            <w:rStyle w:val="Lienhypertexte"/>
            <w:rFonts w:ascii="Times New Roman" w:hAnsi="Times New Roman" w:cs="Times New Roman"/>
            <w:i w:val="0"/>
            <w:noProof/>
            <w:webHidden/>
            <w:color w:val="auto"/>
            <w:u w:val="none"/>
          </w:rPr>
        </w:r>
        <w:r w:rsidR="00182C97" w:rsidRPr="003D42C3">
          <w:rPr>
            <w:rStyle w:val="Lienhypertexte"/>
            <w:rFonts w:ascii="Times New Roman" w:hAnsi="Times New Roman" w:cs="Times New Roman"/>
            <w:i w:val="0"/>
            <w:noProof/>
            <w:webHidden/>
            <w:color w:val="auto"/>
            <w:u w:val="none"/>
          </w:rPr>
          <w:fldChar w:fldCharType="separate"/>
        </w:r>
        <w:r w:rsidR="00AB1967">
          <w:rPr>
            <w:rStyle w:val="Lienhypertexte"/>
            <w:rFonts w:ascii="Times New Roman" w:hAnsi="Times New Roman" w:cs="Times New Roman"/>
            <w:i w:val="0"/>
            <w:noProof/>
            <w:webHidden/>
            <w:color w:val="auto"/>
            <w:u w:val="none"/>
          </w:rPr>
          <w:t>161</w:t>
        </w:r>
        <w:r w:rsidR="00182C97" w:rsidRPr="003D42C3">
          <w:rPr>
            <w:rStyle w:val="Lienhypertexte"/>
            <w:rFonts w:ascii="Times New Roman" w:hAnsi="Times New Roman" w:cs="Times New Roman"/>
            <w:i w:val="0"/>
            <w:noProof/>
            <w:webHidden/>
            <w:color w:val="auto"/>
            <w:u w:val="none"/>
          </w:rPr>
          <w:fldChar w:fldCharType="end"/>
        </w:r>
      </w:hyperlink>
      <w:r w:rsidR="00182C97" w:rsidRPr="003D42C3">
        <w:rPr>
          <w:rStyle w:val="Lienhypertexte"/>
          <w:rFonts w:ascii="Times New Roman" w:hAnsi="Times New Roman" w:cs="Times New Roman"/>
          <w:i w:val="0"/>
          <w:noProof/>
          <w:color w:val="auto"/>
          <w:u w:val="none"/>
        </w:rPr>
        <w:fldChar w:fldCharType="end"/>
      </w:r>
      <w:r w:rsidR="00182C97" w:rsidRPr="003D42C3">
        <w:rPr>
          <w:rStyle w:val="Lienhypertexte"/>
          <w:rFonts w:ascii="Times New Roman" w:hAnsi="Times New Roman" w:cs="Times New Roman"/>
          <w:i w:val="0"/>
          <w:noProof/>
          <w:color w:val="auto"/>
          <w:u w:val="none"/>
        </w:rPr>
        <w:fldChar w:fldCharType="begin"/>
      </w:r>
      <w:r w:rsidR="003D42C3" w:rsidRPr="003D42C3">
        <w:rPr>
          <w:rStyle w:val="Lienhypertexte"/>
          <w:rFonts w:ascii="Times New Roman" w:hAnsi="Times New Roman" w:cs="Times New Roman"/>
          <w:i w:val="0"/>
          <w:noProof/>
          <w:color w:val="auto"/>
          <w:u w:val="none"/>
        </w:rPr>
        <w:instrText xml:space="preserve"> TOC \h \z \c "Tableau A5." </w:instrText>
      </w:r>
      <w:r w:rsidR="00182C97" w:rsidRPr="003D42C3">
        <w:rPr>
          <w:rStyle w:val="Lienhypertexte"/>
          <w:rFonts w:ascii="Times New Roman" w:hAnsi="Times New Roman" w:cs="Times New Roman"/>
          <w:i w:val="0"/>
          <w:noProof/>
          <w:color w:val="auto"/>
          <w:u w:val="none"/>
        </w:rPr>
        <w:fldChar w:fldCharType="separate"/>
      </w:r>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574" w:history="1">
        <w:r w:rsidR="00DA5BAE" w:rsidRPr="00DA5BAE">
          <w:rPr>
            <w:rFonts w:ascii="Times New Roman" w:hAnsi="Times New Roman" w:cs="Times New Roman"/>
            <w:i w:val="0"/>
            <w:noProof/>
          </w:rPr>
          <w:t>Tableau A5. 1: Déterminants de la pauvreté selon le sexe</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_Toc373430574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218</w:t>
        </w:r>
        <w:r w:rsidR="00182C97" w:rsidRPr="00DA5BAE">
          <w:rPr>
            <w:rFonts w:ascii="Times New Roman" w:hAnsi="Times New Roman" w:cs="Times New Roman"/>
            <w:i w:val="0"/>
            <w:noProof/>
            <w:webHidden/>
          </w:rPr>
          <w:fldChar w:fldCharType="end"/>
        </w:r>
      </w:hyperlink>
    </w:p>
    <w:p w:rsidR="00FD4819" w:rsidRPr="004557F6" w:rsidRDefault="00182C97" w:rsidP="003D42C3">
      <w:pPr>
        <w:pStyle w:val="Tabledesillustrations"/>
        <w:tabs>
          <w:tab w:val="right" w:leader="dot" w:pos="9062"/>
        </w:tabs>
        <w:spacing w:line="276" w:lineRule="auto"/>
        <w:ind w:left="1134" w:hanging="1134"/>
      </w:pPr>
      <w:r w:rsidRPr="003D42C3">
        <w:rPr>
          <w:rStyle w:val="Lienhypertexte"/>
          <w:rFonts w:ascii="Times New Roman" w:hAnsi="Times New Roman" w:cs="Times New Roman"/>
          <w:i w:val="0"/>
          <w:noProof/>
          <w:color w:val="auto"/>
          <w:u w:val="none"/>
        </w:rPr>
        <w:fldChar w:fldCharType="end"/>
      </w:r>
    </w:p>
    <w:p w:rsidR="007C0BAB" w:rsidRPr="004557F6" w:rsidRDefault="007C0BAB" w:rsidP="003D251C"/>
    <w:p w:rsidR="007C0BAB" w:rsidRPr="004557F6" w:rsidRDefault="007C0BAB" w:rsidP="003D251C"/>
    <w:p w:rsidR="007C0BAB" w:rsidRPr="00DF289A" w:rsidRDefault="007C0BAB" w:rsidP="003D251C">
      <w:pPr>
        <w:rPr>
          <w:highlight w:val="cyan"/>
        </w:rPr>
        <w:sectPr w:rsidR="007C0BAB" w:rsidRPr="00DF289A" w:rsidSect="001B4547">
          <w:pgSz w:w="11906" w:h="16838"/>
          <w:pgMar w:top="1417"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7B1B18" w:rsidRPr="00DF289A" w:rsidTr="00B225AA">
        <w:trPr>
          <w:trHeight w:val="770"/>
        </w:trPr>
        <w:tc>
          <w:tcPr>
            <w:tcW w:w="1418" w:type="dxa"/>
            <w:tcBorders>
              <w:right w:val="thinThickSmallGap" w:sz="24" w:space="0" w:color="FFFFFF" w:themeColor="background1"/>
            </w:tcBorders>
            <w:shd w:val="clear" w:color="auto" w:fill="92CDDC" w:themeFill="accent5" w:themeFillTint="99"/>
          </w:tcPr>
          <w:p w:rsidR="007B1B18" w:rsidRPr="00DF289A" w:rsidRDefault="007B1B18" w:rsidP="009D164E">
            <w:pPr>
              <w:pStyle w:val="Titre1"/>
              <w:jc w:val="center"/>
              <w:outlineLvl w:val="0"/>
              <w:rPr>
                <w:rFonts w:ascii="Times New Roman" w:hAnsi="Times New Roman" w:cs="Times New Roman"/>
                <w:sz w:val="28"/>
                <w:szCs w:val="28"/>
                <w:highlight w:val="cyan"/>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7B1B18" w:rsidRPr="00A15F11" w:rsidRDefault="001064B7" w:rsidP="007B1B18">
            <w:pPr>
              <w:pStyle w:val="Titre1"/>
              <w:spacing w:before="0" w:after="0" w:line="276" w:lineRule="auto"/>
              <w:jc w:val="left"/>
              <w:outlineLvl w:val="0"/>
              <w:rPr>
                <w:rFonts w:ascii="Times New Roman" w:hAnsi="Times New Roman" w:cs="Times New Roman"/>
                <w:sz w:val="52"/>
                <w:szCs w:val="52"/>
              </w:rPr>
            </w:pPr>
            <w:bookmarkStart w:id="5" w:name="_Toc382322897"/>
            <w:r w:rsidRPr="00A15F11">
              <w:rPr>
                <w:rFonts w:ascii="Times New Roman" w:hAnsi="Times New Roman" w:cs="Times New Roman"/>
                <w:sz w:val="52"/>
                <w:szCs w:val="52"/>
              </w:rPr>
              <w:t>Liste des graphiques et figures</w:t>
            </w:r>
            <w:bookmarkEnd w:id="5"/>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7B1B18" w:rsidRPr="00DF289A" w:rsidRDefault="007B1B18" w:rsidP="009D164E">
            <w:pPr>
              <w:pStyle w:val="Titre1"/>
              <w:spacing w:line="240" w:lineRule="auto"/>
              <w:jc w:val="center"/>
              <w:outlineLvl w:val="0"/>
              <w:rPr>
                <w:rFonts w:ascii="Times New Roman" w:hAnsi="Times New Roman" w:cs="Times New Roman"/>
                <w:sz w:val="52"/>
                <w:szCs w:val="52"/>
                <w:highlight w:val="cyan"/>
              </w:rPr>
            </w:pPr>
          </w:p>
        </w:tc>
      </w:tr>
    </w:tbl>
    <w:p w:rsidR="001A4DC5" w:rsidRPr="009050A1" w:rsidRDefault="004F064D" w:rsidP="001A4DC5">
      <w:pPr>
        <w:rPr>
          <w:rFonts w:ascii="Times New Roman" w:eastAsia="Times New Roman" w:hAnsi="Times New Roman"/>
          <w:b/>
          <w:bCs/>
          <w:iCs/>
          <w:noProof/>
          <w:sz w:val="24"/>
          <w:szCs w:val="24"/>
          <w:highlight w:val="cyan"/>
          <w:u w:val="single"/>
          <w:lang w:eastAsia="fr-FR"/>
        </w:rPr>
      </w:pPr>
      <w:hyperlink w:anchor="_Toc344672684" w:history="1">
        <w:r w:rsidR="001064B7" w:rsidRPr="009050A1">
          <w:rPr>
            <w:rStyle w:val="Lienhypertexte"/>
            <w:rFonts w:ascii="Times New Roman" w:hAnsi="Times New Roman"/>
            <w:b/>
            <w:noProof/>
            <w:color w:val="auto"/>
            <w:sz w:val="24"/>
            <w:szCs w:val="24"/>
          </w:rPr>
          <w:t xml:space="preserve">CHAPITRE </w:t>
        </w:r>
        <w:r w:rsidR="007C0BAB" w:rsidRPr="009050A1">
          <w:rPr>
            <w:rStyle w:val="Lienhypertexte"/>
            <w:rFonts w:ascii="Times New Roman" w:hAnsi="Times New Roman"/>
            <w:b/>
            <w:noProof/>
            <w:color w:val="auto"/>
            <w:sz w:val="24"/>
            <w:szCs w:val="24"/>
          </w:rPr>
          <w:t>1</w:t>
        </w:r>
        <w:r w:rsidR="001064B7" w:rsidRPr="009050A1">
          <w:rPr>
            <w:rStyle w:val="Lienhypertexte"/>
            <w:rFonts w:ascii="Times New Roman" w:hAnsi="Times New Roman"/>
            <w:b/>
            <w:noProof/>
            <w:color w:val="auto"/>
            <w:sz w:val="24"/>
            <w:szCs w:val="24"/>
          </w:rPr>
          <w:t xml:space="preserve">: </w:t>
        </w:r>
      </w:hyperlink>
      <w:hyperlink w:anchor="_Toc344672685" w:history="1">
        <w:r w:rsidR="001064B7" w:rsidRPr="009050A1">
          <w:rPr>
            <w:rStyle w:val="Lienhypertexte"/>
            <w:rFonts w:ascii="Times New Roman" w:hAnsi="Times New Roman"/>
            <w:b/>
            <w:noProof/>
            <w:color w:val="auto"/>
            <w:sz w:val="24"/>
            <w:szCs w:val="24"/>
          </w:rPr>
          <w:t>Profil et dynamique de la pauvreté au Bénin</w:t>
        </w:r>
      </w:hyperlink>
    </w:p>
    <w:p w:rsidR="00DA5BAE" w:rsidRPr="00DA5BAE" w:rsidRDefault="00182C97" w:rsidP="00DA5BAE">
      <w:pPr>
        <w:pStyle w:val="Tabledesillustrations"/>
        <w:tabs>
          <w:tab w:val="right" w:leader="dot" w:pos="9062"/>
        </w:tabs>
        <w:spacing w:line="276" w:lineRule="auto"/>
        <w:ind w:left="1134" w:hanging="1134"/>
        <w:rPr>
          <w:rFonts w:ascii="Times New Roman" w:hAnsi="Times New Roman" w:cs="Times New Roman"/>
          <w:i w:val="0"/>
          <w:noProof/>
        </w:rPr>
      </w:pPr>
      <w:r w:rsidRPr="00DA5BAE">
        <w:rPr>
          <w:rFonts w:ascii="Times New Roman" w:hAnsi="Times New Roman" w:cs="Times New Roman"/>
          <w:i w:val="0"/>
        </w:rPr>
        <w:fldChar w:fldCharType="begin"/>
      </w:r>
      <w:r w:rsidR="001064B7" w:rsidRPr="00DA5BAE">
        <w:rPr>
          <w:rFonts w:ascii="Times New Roman" w:hAnsi="Times New Roman" w:cs="Times New Roman"/>
          <w:i w:val="0"/>
        </w:rPr>
        <w:instrText xml:space="preserve"> TOC \h \z \c "Graphique 2." </w:instrText>
      </w:r>
      <w:r w:rsidRPr="00DA5BAE">
        <w:rPr>
          <w:rFonts w:ascii="Times New Roman" w:hAnsi="Times New Roman" w:cs="Times New Roman"/>
          <w:i w:val="0"/>
        </w:rPr>
        <w:fldChar w:fldCharType="separate"/>
      </w:r>
      <w:hyperlink w:anchor="_Toc373430603" w:history="1">
        <w:r w:rsidR="00DA5BAE" w:rsidRPr="00DA5BAE">
          <w:rPr>
            <w:rFonts w:ascii="Times New Roman" w:hAnsi="Times New Roman" w:cs="Times New Roman"/>
            <w:i w:val="0"/>
            <w:noProof/>
          </w:rPr>
          <w:t>Graphique 1.1 : Évolution de l’incidence de la pauvreté au Bénin</w:t>
        </w:r>
        <w:r w:rsidR="00DA5BAE" w:rsidRPr="00DA5BAE">
          <w:rPr>
            <w:rFonts w:ascii="Times New Roman" w:hAnsi="Times New Roman" w:cs="Times New Roman"/>
            <w:i w:val="0"/>
            <w:noProof/>
            <w:webHidden/>
          </w:rPr>
          <w:tab/>
        </w:r>
        <w:r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_Toc373430603 \h </w:instrText>
        </w:r>
        <w:r w:rsidRPr="00DA5BAE">
          <w:rPr>
            <w:rFonts w:ascii="Times New Roman" w:hAnsi="Times New Roman" w:cs="Times New Roman"/>
            <w:i w:val="0"/>
            <w:noProof/>
            <w:webHidden/>
          </w:rPr>
        </w:r>
        <w:r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38</w:t>
        </w:r>
        <w:r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04" w:history="1">
        <w:r w:rsidR="00DA5BAE" w:rsidRPr="00DA5BAE">
          <w:rPr>
            <w:rFonts w:ascii="Times New Roman" w:hAnsi="Times New Roman" w:cs="Times New Roman"/>
            <w:i w:val="0"/>
            <w:noProof/>
          </w:rPr>
          <w:t>Graphique 1.2: Performance enregistrée dans certains indicateurs des OMD</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_Toc373430604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41</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05" w:history="1">
        <w:r w:rsidR="00DA5BAE" w:rsidRPr="00DA5BAE">
          <w:rPr>
            <w:rFonts w:ascii="Times New Roman" w:hAnsi="Times New Roman" w:cs="Times New Roman"/>
            <w:i w:val="0"/>
            <w:noProof/>
          </w:rPr>
          <w:t>Graphique 1.3: Incidence de la pauvreté selon le milieu de résidence au Bénin</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_Toc373430605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42</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06" w:history="1">
        <w:r w:rsidR="00DA5BAE" w:rsidRPr="00DA5BAE">
          <w:rPr>
            <w:rFonts w:ascii="Times New Roman" w:hAnsi="Times New Roman" w:cs="Times New Roman"/>
            <w:i w:val="0"/>
            <w:noProof/>
          </w:rPr>
          <w:t>Graphique 1.4: Incidence de la pauvreté monétaire selon les départements</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_Toc373430606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43</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07" w:history="1">
        <w:r w:rsidR="00DA5BAE" w:rsidRPr="00DA5BAE">
          <w:rPr>
            <w:rFonts w:ascii="Times New Roman" w:hAnsi="Times New Roman" w:cs="Times New Roman"/>
            <w:i w:val="0"/>
            <w:noProof/>
          </w:rPr>
          <w:t>Graphique 1.5: Incidence de la pauvreté non monétaire selon les départements</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_Toc373430607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44</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08" w:history="1">
        <w:r w:rsidR="00DA5BAE" w:rsidRPr="00DA5BAE">
          <w:rPr>
            <w:rFonts w:ascii="Times New Roman" w:hAnsi="Times New Roman" w:cs="Times New Roman"/>
            <w:i w:val="0"/>
            <w:noProof/>
          </w:rPr>
          <w:t>Graphique 1.6 : Incidence de la pauvreté selon le sexe du chef de ménage</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_Toc373430608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45</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09" w:history="1">
        <w:r w:rsidR="00DA5BAE" w:rsidRPr="00DA5BAE">
          <w:rPr>
            <w:rFonts w:ascii="Times New Roman" w:hAnsi="Times New Roman" w:cs="Times New Roman"/>
            <w:i w:val="0"/>
            <w:noProof/>
          </w:rPr>
          <w:t xml:space="preserve">Graphique 1.7 : Incidence de la </w:t>
        </w:r>
        <w:r w:rsidR="00544EB5">
          <w:rPr>
            <w:rFonts w:ascii="Times New Roman" w:hAnsi="Times New Roman" w:cs="Times New Roman"/>
            <w:i w:val="0"/>
            <w:noProof/>
          </w:rPr>
          <w:t>extrême pauvreté</w:t>
        </w:r>
        <w:r w:rsidR="00DA5BAE" w:rsidRPr="00DA5BAE">
          <w:rPr>
            <w:rFonts w:ascii="Times New Roman" w:hAnsi="Times New Roman" w:cs="Times New Roman"/>
            <w:i w:val="0"/>
            <w:noProof/>
          </w:rPr>
          <w:t xml:space="preserve"> au Bénin</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_Toc373430609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52</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10" w:history="1">
        <w:r w:rsidR="00DA5BAE" w:rsidRPr="00DA5BAE">
          <w:rPr>
            <w:rFonts w:ascii="Times New Roman" w:hAnsi="Times New Roman" w:cs="Times New Roman"/>
            <w:i w:val="0"/>
            <w:noProof/>
          </w:rPr>
          <w:t>Graphique 1.8: Incidence de la pauvreté persistante selon les départements</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_Toc373430610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55</w:t>
        </w:r>
        <w:r w:rsidR="00182C97" w:rsidRPr="00DA5BAE">
          <w:rPr>
            <w:rFonts w:ascii="Times New Roman" w:hAnsi="Times New Roman" w:cs="Times New Roman"/>
            <w:i w:val="0"/>
            <w:noProof/>
            <w:webHidden/>
          </w:rPr>
          <w:fldChar w:fldCharType="end"/>
        </w:r>
      </w:hyperlink>
    </w:p>
    <w:p w:rsidR="00DA5BAE" w:rsidRPr="00DA5BAE" w:rsidRDefault="004F064D" w:rsidP="00DA5BA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11" w:history="1">
        <w:r w:rsidR="00DA5BAE" w:rsidRPr="00DA5BAE">
          <w:rPr>
            <w:rFonts w:ascii="Times New Roman" w:hAnsi="Times New Roman" w:cs="Times New Roman"/>
            <w:i w:val="0"/>
            <w:noProof/>
          </w:rPr>
          <w:t>Graphique 1.9: Incidence des entrées et de la persistance de la pauvreté selon la qualité de l’emploi du chef de ménage et le milieu de résidence</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_Toc373430611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58</w:t>
        </w:r>
        <w:r w:rsidR="00182C97" w:rsidRPr="00DA5BA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ind w:left="1134" w:hanging="1134"/>
        <w:rPr>
          <w:rFonts w:ascii="Times New Roman" w:hAnsi="Times New Roman" w:cs="Times New Roman"/>
          <w:i w:val="0"/>
          <w:noProof/>
        </w:rPr>
      </w:pPr>
      <w:hyperlink w:anchor="_Toc373430612" w:history="1">
        <w:r w:rsidR="00DA5BAE" w:rsidRPr="00DA5BAE">
          <w:rPr>
            <w:rFonts w:ascii="Times New Roman" w:hAnsi="Times New Roman" w:cs="Times New Roman"/>
            <w:i w:val="0"/>
            <w:noProof/>
          </w:rPr>
          <w:t>Graphique 1.10: Courbes de densité des dépenses par tête 2006 et 2009 normalisées par les seuils de pauvreté respectifs</w:t>
        </w:r>
        <w:r w:rsidR="00DA5BAE" w:rsidRPr="00DA5BAE">
          <w:rPr>
            <w:rFonts w:ascii="Times New Roman" w:hAnsi="Times New Roman" w:cs="Times New Roman"/>
            <w:i w:val="0"/>
            <w:noProof/>
            <w:webHidden/>
          </w:rPr>
          <w:tab/>
        </w:r>
        <w:r w:rsidR="00182C97" w:rsidRPr="00DA5BAE">
          <w:rPr>
            <w:rFonts w:ascii="Times New Roman" w:hAnsi="Times New Roman" w:cs="Times New Roman"/>
            <w:i w:val="0"/>
            <w:noProof/>
            <w:webHidden/>
          </w:rPr>
          <w:fldChar w:fldCharType="begin"/>
        </w:r>
        <w:r w:rsidR="00DA5BAE" w:rsidRPr="00DA5BAE">
          <w:rPr>
            <w:rFonts w:ascii="Times New Roman" w:hAnsi="Times New Roman" w:cs="Times New Roman"/>
            <w:i w:val="0"/>
            <w:noProof/>
            <w:webHidden/>
          </w:rPr>
          <w:instrText xml:space="preserve"> PAGEREF _Toc373430612 \h </w:instrText>
        </w:r>
        <w:r w:rsidR="00182C97" w:rsidRPr="00DA5BAE">
          <w:rPr>
            <w:rFonts w:ascii="Times New Roman" w:hAnsi="Times New Roman" w:cs="Times New Roman"/>
            <w:i w:val="0"/>
            <w:noProof/>
            <w:webHidden/>
          </w:rPr>
        </w:r>
        <w:r w:rsidR="00182C97" w:rsidRPr="00DA5BAE">
          <w:rPr>
            <w:rFonts w:ascii="Times New Roman" w:hAnsi="Times New Roman" w:cs="Times New Roman"/>
            <w:i w:val="0"/>
            <w:noProof/>
            <w:webHidden/>
          </w:rPr>
          <w:fldChar w:fldCharType="separate"/>
        </w:r>
        <w:r w:rsidR="00AB1967">
          <w:rPr>
            <w:rFonts w:ascii="Times New Roman" w:hAnsi="Times New Roman" w:cs="Times New Roman"/>
            <w:i w:val="0"/>
            <w:noProof/>
            <w:webHidden/>
          </w:rPr>
          <w:t>60</w:t>
        </w:r>
        <w:r w:rsidR="00182C97" w:rsidRPr="00DA5BAE">
          <w:rPr>
            <w:rFonts w:ascii="Times New Roman" w:hAnsi="Times New Roman" w:cs="Times New Roman"/>
            <w:i w:val="0"/>
            <w:noProof/>
            <w:webHidden/>
          </w:rPr>
          <w:fldChar w:fldCharType="end"/>
        </w:r>
      </w:hyperlink>
      <w:r w:rsidR="00182C97" w:rsidRPr="00DA5BAE">
        <w:rPr>
          <w:rFonts w:ascii="Times New Roman" w:hAnsi="Times New Roman" w:cs="Times New Roman"/>
          <w:i w:val="0"/>
        </w:rPr>
        <w:fldChar w:fldCharType="end"/>
      </w:r>
      <w:r w:rsidR="00182C97" w:rsidRPr="006E1B0E">
        <w:rPr>
          <w:rStyle w:val="Lienhypertexte"/>
          <w:rFonts w:ascii="Times New Roman" w:hAnsi="Times New Roman" w:cs="Times New Roman"/>
          <w:i w:val="0"/>
          <w:noProof/>
          <w:color w:val="auto"/>
          <w:u w:val="none"/>
        </w:rPr>
        <w:fldChar w:fldCharType="begin"/>
      </w:r>
      <w:r w:rsidR="001064B7" w:rsidRPr="006E1B0E">
        <w:rPr>
          <w:rStyle w:val="Lienhypertexte"/>
          <w:rFonts w:ascii="Times New Roman" w:hAnsi="Times New Roman" w:cs="Times New Roman"/>
          <w:i w:val="0"/>
          <w:noProof/>
          <w:color w:val="auto"/>
          <w:u w:val="none"/>
        </w:rPr>
        <w:instrText xml:space="preserve"> TOC \h \z \c "Figure 2." </w:instrText>
      </w:r>
      <w:r w:rsidR="00182C97" w:rsidRPr="006E1B0E">
        <w:rPr>
          <w:rStyle w:val="Lienhypertexte"/>
          <w:rFonts w:ascii="Times New Roman" w:hAnsi="Times New Roman" w:cs="Times New Roman"/>
          <w:i w:val="0"/>
          <w:noProof/>
          <w:color w:val="auto"/>
          <w:u w:val="none"/>
        </w:rPr>
        <w:fldChar w:fldCharType="separate"/>
      </w:r>
    </w:p>
    <w:p w:rsidR="006E1B0E" w:rsidRPr="006E1B0E" w:rsidRDefault="004F064D" w:rsidP="006E1B0E">
      <w:pPr>
        <w:pStyle w:val="Tabledesillustrations"/>
        <w:tabs>
          <w:tab w:val="right" w:leader="dot" w:pos="9062"/>
        </w:tabs>
        <w:spacing w:line="276" w:lineRule="auto"/>
        <w:rPr>
          <w:rFonts w:ascii="Times New Roman" w:eastAsiaTheme="minorEastAsia" w:hAnsi="Times New Roman" w:cs="Times New Roman"/>
          <w:i w:val="0"/>
          <w:iCs w:val="0"/>
          <w:noProof/>
          <w:sz w:val="22"/>
          <w:szCs w:val="22"/>
          <w:lang w:eastAsia="fr-FR"/>
        </w:rPr>
      </w:pPr>
      <w:hyperlink w:anchor="_Toc382043300" w:history="1">
        <w:r w:rsidR="006E1B0E" w:rsidRPr="006E1B0E">
          <w:rPr>
            <w:rStyle w:val="Lienhypertexte"/>
            <w:rFonts w:ascii="Times New Roman" w:hAnsi="Times New Roman" w:cs="Times New Roman"/>
            <w:i w:val="0"/>
            <w:noProof/>
          </w:rPr>
          <w:t>Figure 1.1 : Carte des incidences de transition dans la pauvreté</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_Toc382043300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56</w:t>
        </w:r>
        <w:r w:rsidR="00182C97"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rPr>
          <w:rFonts w:ascii="Times New Roman" w:eastAsiaTheme="minorEastAsia" w:hAnsi="Times New Roman" w:cs="Times New Roman"/>
          <w:i w:val="0"/>
          <w:iCs w:val="0"/>
          <w:noProof/>
          <w:sz w:val="22"/>
          <w:szCs w:val="22"/>
          <w:lang w:eastAsia="fr-FR"/>
        </w:rPr>
      </w:pPr>
      <w:hyperlink w:anchor="_Toc382043301" w:history="1">
        <w:r w:rsidR="006E1B0E" w:rsidRPr="006E1B0E">
          <w:rPr>
            <w:rStyle w:val="Lienhypertexte"/>
            <w:rFonts w:ascii="Times New Roman" w:hAnsi="Times New Roman" w:cs="Times New Roman"/>
            <w:i w:val="0"/>
            <w:noProof/>
          </w:rPr>
          <w:t>Figure 1.2: Typologie des ménages selon la transition dans la pauvreté entre 2006 et 2009</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_Toc382043301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63</w:t>
        </w:r>
        <w:r w:rsidR="00182C97"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rPr>
          <w:rFonts w:ascii="Times New Roman" w:eastAsiaTheme="minorEastAsia" w:hAnsi="Times New Roman" w:cs="Times New Roman"/>
          <w:i w:val="0"/>
          <w:iCs w:val="0"/>
          <w:noProof/>
          <w:sz w:val="22"/>
          <w:szCs w:val="22"/>
          <w:lang w:eastAsia="fr-FR"/>
        </w:rPr>
      </w:pPr>
      <w:hyperlink w:anchor="_Toc382043302" w:history="1">
        <w:r w:rsidR="006E1B0E" w:rsidRPr="006E1B0E">
          <w:rPr>
            <w:rStyle w:val="Lienhypertexte"/>
            <w:rFonts w:ascii="Times New Roman" w:hAnsi="Times New Roman" w:cs="Times New Roman"/>
            <w:i w:val="0"/>
            <w:noProof/>
          </w:rPr>
          <w:t>Figure 1.3: Carte de l’incidence des différentes formes de pauvreté en 2011</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_Toc382043302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203</w:t>
        </w:r>
        <w:r w:rsidR="00182C97" w:rsidRPr="006E1B0E">
          <w:rPr>
            <w:rFonts w:ascii="Times New Roman" w:hAnsi="Times New Roman" w:cs="Times New Roman"/>
            <w:i w:val="0"/>
            <w:noProof/>
            <w:webHidden/>
          </w:rPr>
          <w:fldChar w:fldCharType="end"/>
        </w:r>
      </w:hyperlink>
    </w:p>
    <w:p w:rsidR="00DC517D" w:rsidRPr="004557F6" w:rsidRDefault="00182C97" w:rsidP="006E1B0E">
      <w:pPr>
        <w:pStyle w:val="Tabledesillustrations"/>
        <w:tabs>
          <w:tab w:val="right" w:leader="dot" w:pos="9062"/>
        </w:tabs>
        <w:spacing w:line="276" w:lineRule="auto"/>
        <w:rPr>
          <w:rStyle w:val="Lienhypertexte"/>
          <w:rFonts w:ascii="Times New Roman" w:hAnsi="Times New Roman"/>
          <w:noProof/>
          <w:color w:val="auto"/>
          <w:sz w:val="18"/>
          <w:szCs w:val="18"/>
          <w:u w:val="none"/>
        </w:rPr>
      </w:pPr>
      <w:r w:rsidRPr="006E1B0E">
        <w:rPr>
          <w:rStyle w:val="Lienhypertexte"/>
          <w:rFonts w:ascii="Times New Roman" w:hAnsi="Times New Roman" w:cs="Times New Roman"/>
          <w:i w:val="0"/>
          <w:noProof/>
          <w:color w:val="auto"/>
          <w:u w:val="none"/>
        </w:rPr>
        <w:fldChar w:fldCharType="end"/>
      </w:r>
    </w:p>
    <w:p w:rsidR="001A4DC5" w:rsidRPr="009050A1" w:rsidRDefault="004F064D" w:rsidP="003D42C3">
      <w:pPr>
        <w:rPr>
          <w:rFonts w:ascii="Times New Roman" w:eastAsia="Times New Roman" w:hAnsi="Times New Roman"/>
          <w:b/>
          <w:bCs/>
          <w:i/>
          <w:iCs/>
          <w:noProof/>
          <w:sz w:val="24"/>
          <w:szCs w:val="24"/>
          <w:u w:val="single"/>
          <w:lang w:eastAsia="fr-FR"/>
        </w:rPr>
      </w:pPr>
      <w:hyperlink w:anchor="_Toc344672691" w:history="1">
        <w:r w:rsidR="001064B7" w:rsidRPr="009050A1">
          <w:rPr>
            <w:rStyle w:val="Lienhypertexte"/>
            <w:rFonts w:ascii="Times New Roman" w:hAnsi="Times New Roman"/>
            <w:b/>
            <w:noProof/>
            <w:color w:val="auto"/>
            <w:sz w:val="24"/>
            <w:szCs w:val="24"/>
          </w:rPr>
          <w:t xml:space="preserve">CHAPITRE </w:t>
        </w:r>
        <w:r w:rsidR="007C0BAB" w:rsidRPr="009050A1">
          <w:rPr>
            <w:rStyle w:val="Lienhypertexte"/>
            <w:rFonts w:ascii="Times New Roman" w:hAnsi="Times New Roman"/>
            <w:b/>
            <w:noProof/>
            <w:color w:val="auto"/>
            <w:sz w:val="24"/>
            <w:szCs w:val="24"/>
          </w:rPr>
          <w:t>2</w:t>
        </w:r>
        <w:r w:rsidR="001064B7" w:rsidRPr="009050A1">
          <w:rPr>
            <w:rFonts w:ascii="Times New Roman" w:hAnsi="Times New Roman"/>
            <w:b/>
            <w:noProof/>
            <w:webHidden/>
            <w:sz w:val="24"/>
            <w:szCs w:val="24"/>
            <w:u w:val="single"/>
          </w:rPr>
          <w:t>:</w:t>
        </w:r>
      </w:hyperlink>
      <w:hyperlink w:anchor="_Toc344672692" w:history="1">
        <w:r w:rsidR="001064B7" w:rsidRPr="009050A1">
          <w:rPr>
            <w:rStyle w:val="Lienhypertexte"/>
            <w:rFonts w:ascii="Times New Roman" w:hAnsi="Times New Roman"/>
            <w:b/>
            <w:noProof/>
            <w:color w:val="auto"/>
            <w:sz w:val="24"/>
            <w:szCs w:val="24"/>
          </w:rPr>
          <w:t>Croissance économique et réduction de la pauvreté au Bénin</w:t>
        </w:r>
      </w:hyperlink>
    </w:p>
    <w:p w:rsidR="006E1B0E" w:rsidRPr="006E1B0E" w:rsidRDefault="00182C97" w:rsidP="006E1B0E">
      <w:pPr>
        <w:pStyle w:val="Tabledesillustrations"/>
        <w:tabs>
          <w:tab w:val="right" w:leader="dot" w:pos="9062"/>
        </w:tabs>
        <w:spacing w:line="276" w:lineRule="auto"/>
        <w:ind w:left="1134" w:hanging="1134"/>
        <w:rPr>
          <w:rFonts w:ascii="Times New Roman" w:hAnsi="Times New Roman" w:cs="Times New Roman"/>
          <w:i w:val="0"/>
          <w:noProof/>
        </w:rPr>
      </w:pPr>
      <w:r w:rsidRPr="006E1B0E">
        <w:rPr>
          <w:rFonts w:ascii="Times New Roman" w:hAnsi="Times New Roman" w:cs="Times New Roman"/>
          <w:i w:val="0"/>
          <w:noProof/>
        </w:rPr>
        <w:fldChar w:fldCharType="begin"/>
      </w:r>
      <w:r w:rsidR="001064B7" w:rsidRPr="006E1B0E">
        <w:rPr>
          <w:rFonts w:ascii="Times New Roman" w:hAnsi="Times New Roman" w:cs="Times New Roman"/>
          <w:i w:val="0"/>
          <w:noProof/>
        </w:rPr>
        <w:instrText xml:space="preserve"> TOC \h \z \c "Graphique 3." </w:instrText>
      </w:r>
      <w:r w:rsidRPr="006E1B0E">
        <w:rPr>
          <w:rFonts w:ascii="Times New Roman" w:hAnsi="Times New Roman" w:cs="Times New Roman"/>
          <w:i w:val="0"/>
          <w:noProof/>
        </w:rPr>
        <w:fldChar w:fldCharType="separate"/>
      </w:r>
      <w:hyperlink w:anchor="_Toc382043043" w:history="1">
        <w:r w:rsidR="006E1B0E" w:rsidRPr="006E1B0E">
          <w:rPr>
            <w:rFonts w:ascii="Times New Roman" w:hAnsi="Times New Roman" w:cs="Times New Roman"/>
            <w:i w:val="0"/>
            <w:noProof/>
          </w:rPr>
          <w:t>Graphique 2.1: Évolution de la croissance entre 1990 et 2011</w:t>
        </w:r>
        <w:r w:rsidR="006E1B0E" w:rsidRPr="006E1B0E">
          <w:rPr>
            <w:rFonts w:ascii="Times New Roman" w:hAnsi="Times New Roman" w:cs="Times New Roman"/>
            <w:i w:val="0"/>
            <w:noProof/>
            <w:webHidden/>
          </w:rPr>
          <w:tab/>
        </w:r>
        <w:r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_Toc382043043 \h </w:instrText>
        </w:r>
        <w:r w:rsidRPr="006E1B0E">
          <w:rPr>
            <w:rFonts w:ascii="Times New Roman" w:hAnsi="Times New Roman" w:cs="Times New Roman"/>
            <w:i w:val="0"/>
            <w:noProof/>
            <w:webHidden/>
          </w:rPr>
        </w:r>
        <w:r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76</w:t>
        </w:r>
        <w:r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ind w:left="1134" w:hanging="1134"/>
        <w:rPr>
          <w:rFonts w:ascii="Times New Roman" w:hAnsi="Times New Roman" w:cs="Times New Roman"/>
          <w:i w:val="0"/>
          <w:noProof/>
        </w:rPr>
      </w:pPr>
      <w:hyperlink w:anchor="_Toc382043044" w:history="1">
        <w:r w:rsidR="006E1B0E" w:rsidRPr="006E1B0E">
          <w:rPr>
            <w:rFonts w:ascii="Times New Roman" w:hAnsi="Times New Roman" w:cs="Times New Roman"/>
            <w:i w:val="0"/>
            <w:noProof/>
          </w:rPr>
          <w:t>Graphique 2.2: Évolution de la contribution du pôle agroalimentaire à la croissance depuis 2006</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_Toc382043044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81</w:t>
        </w:r>
        <w:r w:rsidR="00182C97"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ind w:left="1134" w:hanging="1134"/>
        <w:rPr>
          <w:rFonts w:ascii="Times New Roman" w:hAnsi="Times New Roman" w:cs="Times New Roman"/>
          <w:i w:val="0"/>
          <w:noProof/>
        </w:rPr>
      </w:pPr>
      <w:hyperlink w:anchor="_Toc382043045" w:history="1">
        <w:r w:rsidR="006E1B0E" w:rsidRPr="006E1B0E">
          <w:rPr>
            <w:rFonts w:ascii="Times New Roman" w:hAnsi="Times New Roman" w:cs="Times New Roman"/>
            <w:i w:val="0"/>
            <w:noProof/>
          </w:rPr>
          <w:t>Graphique 2.3: Évolution de la contribution du pôle coton textile au PIB</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_Toc382043045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84</w:t>
        </w:r>
        <w:r w:rsidR="00182C97"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ind w:left="1134" w:hanging="1134"/>
        <w:rPr>
          <w:rFonts w:ascii="Times New Roman" w:hAnsi="Times New Roman" w:cs="Times New Roman"/>
          <w:i w:val="0"/>
          <w:noProof/>
        </w:rPr>
      </w:pPr>
      <w:hyperlink w:anchor="_Toc382043046" w:history="1">
        <w:r w:rsidR="006E1B0E" w:rsidRPr="006E1B0E">
          <w:rPr>
            <w:rFonts w:ascii="Times New Roman" w:hAnsi="Times New Roman" w:cs="Times New Roman"/>
            <w:i w:val="0"/>
            <w:noProof/>
          </w:rPr>
          <w:t>Graphique 2.4:Évolution de la contribution du pôle logistique et commerce sur la période 2006-2011</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_Toc382043046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86</w:t>
        </w:r>
        <w:r w:rsidR="00182C97"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ind w:left="1134" w:hanging="1134"/>
        <w:rPr>
          <w:rFonts w:ascii="Times New Roman" w:hAnsi="Times New Roman" w:cs="Times New Roman"/>
          <w:i w:val="0"/>
          <w:noProof/>
        </w:rPr>
      </w:pPr>
      <w:hyperlink w:anchor="_Toc382043047" w:history="1">
        <w:r w:rsidR="006E1B0E" w:rsidRPr="006E1B0E">
          <w:rPr>
            <w:rFonts w:ascii="Times New Roman" w:hAnsi="Times New Roman" w:cs="Times New Roman"/>
            <w:i w:val="0"/>
            <w:noProof/>
          </w:rPr>
          <w:t>Graphique 2.5: Évolution de la contribution du pôle "tourisme culture artisanat" à la croissance du PIB</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_Toc382043047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87</w:t>
        </w:r>
        <w:r w:rsidR="00182C97" w:rsidRPr="006E1B0E">
          <w:rPr>
            <w:rFonts w:ascii="Times New Roman" w:hAnsi="Times New Roman" w:cs="Times New Roman"/>
            <w:i w:val="0"/>
            <w:noProof/>
            <w:webHidden/>
          </w:rPr>
          <w:fldChar w:fldCharType="end"/>
        </w:r>
      </w:hyperlink>
    </w:p>
    <w:p w:rsidR="006E1B0E" w:rsidRPr="006E1B0E" w:rsidRDefault="004F064D" w:rsidP="006E1B0E">
      <w:pPr>
        <w:pStyle w:val="Tabledesillustrations"/>
        <w:tabs>
          <w:tab w:val="right" w:leader="dot" w:pos="9062"/>
        </w:tabs>
        <w:spacing w:line="276" w:lineRule="auto"/>
        <w:ind w:left="1134" w:hanging="1134"/>
        <w:rPr>
          <w:rFonts w:ascii="Times New Roman" w:hAnsi="Times New Roman" w:cs="Times New Roman"/>
          <w:i w:val="0"/>
          <w:noProof/>
        </w:rPr>
      </w:pPr>
      <w:hyperlink w:anchor="_Toc382043048" w:history="1">
        <w:r w:rsidR="006E1B0E" w:rsidRPr="006E1B0E">
          <w:rPr>
            <w:rFonts w:ascii="Times New Roman" w:hAnsi="Times New Roman" w:cs="Times New Roman"/>
            <w:i w:val="0"/>
            <w:noProof/>
          </w:rPr>
          <w:t>Graphique 2.6: Corrélation entre croissance et pauvreté entre 2006 et 2009</w:t>
        </w:r>
        <w:r w:rsidR="006E1B0E" w:rsidRPr="006E1B0E">
          <w:rPr>
            <w:rFonts w:ascii="Times New Roman" w:hAnsi="Times New Roman" w:cs="Times New Roman"/>
            <w:i w:val="0"/>
            <w:noProof/>
            <w:webHidden/>
          </w:rPr>
          <w:tab/>
        </w:r>
        <w:r w:rsidR="00182C97" w:rsidRPr="006E1B0E">
          <w:rPr>
            <w:rFonts w:ascii="Times New Roman" w:hAnsi="Times New Roman" w:cs="Times New Roman"/>
            <w:i w:val="0"/>
            <w:noProof/>
            <w:webHidden/>
          </w:rPr>
          <w:fldChar w:fldCharType="begin"/>
        </w:r>
        <w:r w:rsidR="006E1B0E" w:rsidRPr="006E1B0E">
          <w:rPr>
            <w:rFonts w:ascii="Times New Roman" w:hAnsi="Times New Roman" w:cs="Times New Roman"/>
            <w:i w:val="0"/>
            <w:noProof/>
            <w:webHidden/>
          </w:rPr>
          <w:instrText xml:space="preserve"> PAGEREF _Toc382043048 \h </w:instrText>
        </w:r>
        <w:r w:rsidR="00182C97" w:rsidRPr="006E1B0E">
          <w:rPr>
            <w:rFonts w:ascii="Times New Roman" w:hAnsi="Times New Roman" w:cs="Times New Roman"/>
            <w:i w:val="0"/>
            <w:noProof/>
            <w:webHidden/>
          </w:rPr>
        </w:r>
        <w:r w:rsidR="00182C97" w:rsidRPr="006E1B0E">
          <w:rPr>
            <w:rFonts w:ascii="Times New Roman" w:hAnsi="Times New Roman" w:cs="Times New Roman"/>
            <w:i w:val="0"/>
            <w:noProof/>
            <w:webHidden/>
          </w:rPr>
          <w:fldChar w:fldCharType="separate"/>
        </w:r>
        <w:r w:rsidR="00AB1967">
          <w:rPr>
            <w:rFonts w:ascii="Times New Roman" w:hAnsi="Times New Roman" w:cs="Times New Roman"/>
            <w:i w:val="0"/>
            <w:noProof/>
            <w:webHidden/>
          </w:rPr>
          <w:t>88</w:t>
        </w:r>
        <w:r w:rsidR="00182C97" w:rsidRPr="006E1B0E">
          <w:rPr>
            <w:rFonts w:ascii="Times New Roman" w:hAnsi="Times New Roman" w:cs="Times New Roman"/>
            <w:i w:val="0"/>
            <w:noProof/>
            <w:webHidden/>
          </w:rPr>
          <w:fldChar w:fldCharType="end"/>
        </w:r>
      </w:hyperlink>
    </w:p>
    <w:p w:rsidR="00DC517D" w:rsidRPr="004557F6" w:rsidRDefault="00182C97" w:rsidP="006E1B0E">
      <w:pPr>
        <w:pStyle w:val="Tabledesillustrations"/>
        <w:tabs>
          <w:tab w:val="right" w:leader="dot" w:pos="9062"/>
        </w:tabs>
        <w:spacing w:line="276" w:lineRule="auto"/>
        <w:ind w:left="1134" w:hanging="1134"/>
        <w:rPr>
          <w:rStyle w:val="Lienhypertexte"/>
          <w:rFonts w:ascii="Times New Roman" w:hAnsi="Times New Roman"/>
          <w:noProof/>
          <w:color w:val="auto"/>
          <w:sz w:val="18"/>
          <w:szCs w:val="18"/>
          <w:u w:val="none"/>
        </w:rPr>
      </w:pPr>
      <w:r w:rsidRPr="006E1B0E">
        <w:rPr>
          <w:rFonts w:ascii="Times New Roman" w:hAnsi="Times New Roman" w:cs="Times New Roman"/>
          <w:i w:val="0"/>
          <w:noProof/>
        </w:rPr>
        <w:fldChar w:fldCharType="end"/>
      </w:r>
    </w:p>
    <w:p w:rsidR="001A4DC5" w:rsidRPr="009050A1" w:rsidRDefault="004F064D" w:rsidP="001A4DC5">
      <w:pPr>
        <w:rPr>
          <w:rFonts w:ascii="Times New Roman" w:eastAsia="Times New Roman" w:hAnsi="Times New Roman"/>
          <w:b/>
          <w:bCs/>
          <w:i/>
          <w:iCs/>
          <w:noProof/>
          <w:sz w:val="24"/>
          <w:szCs w:val="24"/>
          <w:u w:val="single"/>
          <w:lang w:eastAsia="fr-FR"/>
        </w:rPr>
      </w:pPr>
      <w:hyperlink w:anchor="_Toc344672697" w:history="1">
        <w:r w:rsidR="001064B7" w:rsidRPr="009050A1">
          <w:rPr>
            <w:rStyle w:val="Lienhypertexte"/>
            <w:rFonts w:ascii="Times New Roman" w:hAnsi="Times New Roman"/>
            <w:b/>
            <w:noProof/>
            <w:color w:val="auto"/>
            <w:sz w:val="24"/>
            <w:szCs w:val="24"/>
          </w:rPr>
          <w:t xml:space="preserve">CHAPITRE </w:t>
        </w:r>
        <w:r w:rsidR="007C0BAB" w:rsidRPr="009050A1">
          <w:rPr>
            <w:rStyle w:val="Lienhypertexte"/>
            <w:rFonts w:ascii="Times New Roman" w:hAnsi="Times New Roman"/>
            <w:b/>
            <w:noProof/>
            <w:color w:val="auto"/>
            <w:sz w:val="24"/>
            <w:szCs w:val="24"/>
          </w:rPr>
          <w:t>3</w:t>
        </w:r>
        <w:r w:rsidR="001064B7" w:rsidRPr="009050A1">
          <w:rPr>
            <w:rFonts w:ascii="Times New Roman" w:hAnsi="Times New Roman"/>
            <w:b/>
            <w:noProof/>
            <w:webHidden/>
            <w:sz w:val="24"/>
            <w:szCs w:val="24"/>
            <w:u w:val="single"/>
          </w:rPr>
          <w:t>:</w:t>
        </w:r>
      </w:hyperlink>
      <w:hyperlink w:anchor="_Toc344672698" w:history="1">
        <w:r w:rsidR="001064B7" w:rsidRPr="009050A1">
          <w:rPr>
            <w:rStyle w:val="Lienhypertexte"/>
            <w:rFonts w:ascii="Times New Roman" w:hAnsi="Times New Roman"/>
            <w:b/>
            <w:noProof/>
            <w:color w:val="auto"/>
            <w:sz w:val="24"/>
            <w:szCs w:val="24"/>
          </w:rPr>
          <w:t>Chocs, vulnérabilités et stratégies d’adaptation des ménages</w:t>
        </w:r>
      </w:hyperlink>
    </w:p>
    <w:p w:rsidR="00A15F11" w:rsidRPr="009A0D11" w:rsidRDefault="00182C97" w:rsidP="00CE32E7">
      <w:pPr>
        <w:pStyle w:val="Tabledesillustrations"/>
        <w:tabs>
          <w:tab w:val="right" w:leader="dot" w:pos="9062"/>
        </w:tabs>
        <w:spacing w:line="276" w:lineRule="auto"/>
        <w:rPr>
          <w:rStyle w:val="Lienhypertexte"/>
          <w:rFonts w:ascii="Times New Roman" w:hAnsi="Times New Roman" w:cs="Times New Roman"/>
          <w:noProof/>
          <w:color w:val="auto"/>
        </w:rPr>
      </w:pPr>
      <w:r w:rsidRPr="009A0D11">
        <w:rPr>
          <w:rStyle w:val="Lienhypertexte"/>
          <w:rFonts w:ascii="Times New Roman" w:hAnsi="Times New Roman" w:cs="Times New Roman"/>
          <w:i w:val="0"/>
          <w:noProof/>
          <w:color w:val="auto"/>
        </w:rPr>
        <w:fldChar w:fldCharType="begin"/>
      </w:r>
      <w:r w:rsidR="001064B7" w:rsidRPr="009A0D11">
        <w:rPr>
          <w:rStyle w:val="Lienhypertexte"/>
          <w:rFonts w:ascii="Times New Roman" w:hAnsi="Times New Roman" w:cs="Times New Roman"/>
          <w:i w:val="0"/>
          <w:noProof/>
          <w:color w:val="auto"/>
        </w:rPr>
        <w:instrText xml:space="preserve"> TOC \h \z \c "Graphique 4." </w:instrText>
      </w:r>
      <w:r w:rsidRPr="009A0D11">
        <w:rPr>
          <w:rStyle w:val="Lienhypertexte"/>
          <w:rFonts w:ascii="Times New Roman" w:hAnsi="Times New Roman" w:cs="Times New Roman"/>
          <w:i w:val="0"/>
          <w:noProof/>
          <w:color w:val="auto"/>
        </w:rPr>
        <w:fldChar w:fldCharType="separate"/>
      </w:r>
      <w:hyperlink w:anchor="_Toc369711069" w:history="1">
        <w:r w:rsidR="00A15F11" w:rsidRPr="009A0D11">
          <w:rPr>
            <w:rStyle w:val="Lienhypertexte"/>
            <w:rFonts w:ascii="Times New Roman" w:hAnsi="Times New Roman" w:cs="Times New Roman"/>
            <w:i w:val="0"/>
            <w:noProof/>
            <w:color w:val="auto"/>
          </w:rPr>
          <w:t>Graphique 3.1: Types de chocs par département</w:t>
        </w:r>
        <w:r w:rsidR="00A15F11" w:rsidRPr="009A0D11">
          <w:rPr>
            <w:rStyle w:val="Lienhypertexte"/>
            <w:rFonts w:ascii="Times New Roman" w:hAnsi="Times New Roman" w:cs="Times New Roman"/>
            <w:i w:val="0"/>
            <w:noProof/>
            <w:webHidden/>
            <w:color w:val="auto"/>
          </w:rPr>
          <w:tab/>
        </w:r>
        <w:r w:rsidRPr="009A0D11">
          <w:rPr>
            <w:rStyle w:val="Lienhypertexte"/>
            <w:rFonts w:ascii="Times New Roman" w:hAnsi="Times New Roman" w:cs="Times New Roman"/>
            <w:i w:val="0"/>
            <w:noProof/>
            <w:webHidden/>
            <w:color w:val="auto"/>
          </w:rPr>
          <w:fldChar w:fldCharType="begin"/>
        </w:r>
        <w:r w:rsidR="00A15F11" w:rsidRPr="009A0D11">
          <w:rPr>
            <w:rStyle w:val="Lienhypertexte"/>
            <w:rFonts w:ascii="Times New Roman" w:hAnsi="Times New Roman" w:cs="Times New Roman"/>
            <w:i w:val="0"/>
            <w:noProof/>
            <w:webHidden/>
            <w:color w:val="auto"/>
          </w:rPr>
          <w:instrText xml:space="preserve"> PAGEREF _Toc369711069 \h </w:instrText>
        </w:r>
        <w:r w:rsidRPr="009A0D11">
          <w:rPr>
            <w:rStyle w:val="Lienhypertexte"/>
            <w:rFonts w:ascii="Times New Roman" w:hAnsi="Times New Roman" w:cs="Times New Roman"/>
            <w:i w:val="0"/>
            <w:noProof/>
            <w:webHidden/>
            <w:color w:val="auto"/>
          </w:rPr>
        </w:r>
        <w:r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101</w:t>
        </w:r>
        <w:r w:rsidRPr="009A0D11">
          <w:rPr>
            <w:rStyle w:val="Lienhypertexte"/>
            <w:rFonts w:ascii="Times New Roman" w:hAnsi="Times New Roman" w:cs="Times New Roman"/>
            <w:i w:val="0"/>
            <w:noProof/>
            <w:webHidden/>
            <w:color w:val="auto"/>
          </w:rPr>
          <w:fldChar w:fldCharType="end"/>
        </w:r>
      </w:hyperlink>
    </w:p>
    <w:p w:rsidR="00A15F11" w:rsidRPr="009A0D11" w:rsidRDefault="004F064D" w:rsidP="00CE32E7">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11070" w:history="1">
        <w:r w:rsidR="00A15F11" w:rsidRPr="009A0D11">
          <w:rPr>
            <w:rStyle w:val="Lienhypertexte"/>
            <w:rFonts w:ascii="Times New Roman" w:hAnsi="Times New Roman" w:cs="Times New Roman"/>
            <w:i w:val="0"/>
            <w:noProof/>
            <w:color w:val="auto"/>
          </w:rPr>
          <w:t>Graphique 3.2: Quintile de richesse et prévalence aux chocs</w:t>
        </w:r>
        <w:r w:rsidR="00A15F11"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A15F11" w:rsidRPr="009A0D11">
          <w:rPr>
            <w:rStyle w:val="Lienhypertexte"/>
            <w:rFonts w:ascii="Times New Roman" w:hAnsi="Times New Roman" w:cs="Times New Roman"/>
            <w:i w:val="0"/>
            <w:noProof/>
            <w:webHidden/>
            <w:color w:val="auto"/>
          </w:rPr>
          <w:instrText xml:space="preserve"> PAGEREF _Toc369711070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102</w:t>
        </w:r>
        <w:r w:rsidR="00182C97" w:rsidRPr="009A0D11">
          <w:rPr>
            <w:rStyle w:val="Lienhypertexte"/>
            <w:rFonts w:ascii="Times New Roman" w:hAnsi="Times New Roman" w:cs="Times New Roman"/>
            <w:i w:val="0"/>
            <w:noProof/>
            <w:webHidden/>
            <w:color w:val="auto"/>
          </w:rPr>
          <w:fldChar w:fldCharType="end"/>
        </w:r>
      </w:hyperlink>
    </w:p>
    <w:p w:rsidR="00A15F11" w:rsidRPr="009A0D11" w:rsidRDefault="004F064D" w:rsidP="00CE32E7">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11071" w:history="1">
        <w:r w:rsidR="00A15F11" w:rsidRPr="009A0D11">
          <w:rPr>
            <w:rStyle w:val="Lienhypertexte"/>
            <w:rFonts w:ascii="Times New Roman" w:hAnsi="Times New Roman" w:cs="Times New Roman"/>
            <w:i w:val="0"/>
            <w:noProof/>
            <w:color w:val="auto"/>
          </w:rPr>
          <w:t>Graphique 3.3: Stratégies adoptées par les ménages face aux chocs</w:t>
        </w:r>
        <w:r w:rsidR="00A15F11"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A15F11" w:rsidRPr="009A0D11">
          <w:rPr>
            <w:rStyle w:val="Lienhypertexte"/>
            <w:rFonts w:ascii="Times New Roman" w:hAnsi="Times New Roman" w:cs="Times New Roman"/>
            <w:i w:val="0"/>
            <w:noProof/>
            <w:webHidden/>
            <w:color w:val="auto"/>
          </w:rPr>
          <w:instrText xml:space="preserve"> PAGEREF _Toc369711071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104</w:t>
        </w:r>
        <w:r w:rsidR="00182C97" w:rsidRPr="009A0D11">
          <w:rPr>
            <w:rStyle w:val="Lienhypertexte"/>
            <w:rFonts w:ascii="Times New Roman" w:hAnsi="Times New Roman" w:cs="Times New Roman"/>
            <w:i w:val="0"/>
            <w:noProof/>
            <w:webHidden/>
            <w:color w:val="auto"/>
          </w:rPr>
          <w:fldChar w:fldCharType="end"/>
        </w:r>
      </w:hyperlink>
    </w:p>
    <w:p w:rsidR="00A15F11" w:rsidRPr="009A0D11" w:rsidRDefault="004F064D" w:rsidP="00CE32E7">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11072" w:history="1">
        <w:r w:rsidR="00A15F11" w:rsidRPr="009A0D11">
          <w:rPr>
            <w:rStyle w:val="Lienhypertexte"/>
            <w:rFonts w:ascii="Times New Roman" w:hAnsi="Times New Roman" w:cs="Times New Roman"/>
            <w:i w:val="0"/>
            <w:noProof/>
            <w:color w:val="auto"/>
          </w:rPr>
          <w:t>Graphique 3.4: Stratégies de réponses dominantes  selon les types de chocs</w:t>
        </w:r>
        <w:r w:rsidR="00A15F11"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A15F11" w:rsidRPr="009A0D11">
          <w:rPr>
            <w:rStyle w:val="Lienhypertexte"/>
            <w:rFonts w:ascii="Times New Roman" w:hAnsi="Times New Roman" w:cs="Times New Roman"/>
            <w:i w:val="0"/>
            <w:noProof/>
            <w:webHidden/>
            <w:color w:val="auto"/>
          </w:rPr>
          <w:instrText xml:space="preserve"> PAGEREF _Toc369711072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106</w:t>
        </w:r>
        <w:r w:rsidR="00182C97" w:rsidRPr="009A0D11">
          <w:rPr>
            <w:rStyle w:val="Lienhypertexte"/>
            <w:rFonts w:ascii="Times New Roman" w:hAnsi="Times New Roman" w:cs="Times New Roman"/>
            <w:i w:val="0"/>
            <w:noProof/>
            <w:webHidden/>
            <w:color w:val="auto"/>
          </w:rPr>
          <w:fldChar w:fldCharType="end"/>
        </w:r>
      </w:hyperlink>
    </w:p>
    <w:p w:rsidR="00EF413D" w:rsidRPr="009A0D11" w:rsidRDefault="00182C97" w:rsidP="00CE32E7">
      <w:pPr>
        <w:pStyle w:val="Tabledesillustrations"/>
        <w:tabs>
          <w:tab w:val="right" w:leader="dot" w:pos="9062"/>
        </w:tabs>
        <w:spacing w:line="276" w:lineRule="auto"/>
        <w:rPr>
          <w:rStyle w:val="Lienhypertexte"/>
          <w:rFonts w:ascii="Times New Roman" w:hAnsi="Times New Roman"/>
          <w:noProof/>
          <w:color w:val="auto"/>
          <w:sz w:val="18"/>
          <w:szCs w:val="18"/>
          <w:u w:val="none"/>
        </w:rPr>
      </w:pPr>
      <w:r w:rsidRPr="009A0D11">
        <w:rPr>
          <w:rStyle w:val="Lienhypertexte"/>
          <w:rFonts w:ascii="Times New Roman" w:hAnsi="Times New Roman" w:cs="Times New Roman"/>
          <w:i w:val="0"/>
          <w:noProof/>
          <w:color w:val="auto"/>
        </w:rPr>
        <w:fldChar w:fldCharType="end"/>
      </w:r>
    </w:p>
    <w:p w:rsidR="001A4DC5" w:rsidRPr="009050A1" w:rsidRDefault="004F064D" w:rsidP="001A4DC5">
      <w:pPr>
        <w:rPr>
          <w:rFonts w:ascii="Times New Roman" w:eastAsia="Times New Roman" w:hAnsi="Times New Roman"/>
          <w:b/>
          <w:bCs/>
          <w:i/>
          <w:iCs/>
          <w:noProof/>
          <w:sz w:val="24"/>
          <w:szCs w:val="24"/>
          <w:u w:val="single"/>
          <w:lang w:eastAsia="fr-FR"/>
        </w:rPr>
      </w:pPr>
      <w:hyperlink w:anchor="_Toc344672699" w:history="1">
        <w:r w:rsidR="001064B7" w:rsidRPr="009050A1">
          <w:rPr>
            <w:rStyle w:val="Lienhypertexte"/>
            <w:rFonts w:ascii="Times New Roman" w:hAnsi="Times New Roman"/>
            <w:b/>
            <w:noProof/>
            <w:color w:val="auto"/>
            <w:sz w:val="24"/>
            <w:szCs w:val="24"/>
          </w:rPr>
          <w:t>CHAPITRE </w:t>
        </w:r>
        <w:r w:rsidR="007C0BAB" w:rsidRPr="009050A1">
          <w:rPr>
            <w:rStyle w:val="Lienhypertexte"/>
            <w:rFonts w:ascii="Times New Roman" w:hAnsi="Times New Roman"/>
            <w:b/>
            <w:noProof/>
            <w:color w:val="auto"/>
            <w:sz w:val="24"/>
            <w:szCs w:val="24"/>
          </w:rPr>
          <w:t>4</w:t>
        </w:r>
        <w:r w:rsidR="001064B7" w:rsidRPr="009050A1">
          <w:rPr>
            <w:rFonts w:ascii="Times New Roman" w:hAnsi="Times New Roman"/>
            <w:b/>
            <w:noProof/>
            <w:webHidden/>
            <w:sz w:val="24"/>
            <w:szCs w:val="24"/>
            <w:u w:val="single"/>
          </w:rPr>
          <w:t>:</w:t>
        </w:r>
      </w:hyperlink>
      <w:hyperlink w:anchor="_Toc344672700" w:history="1">
        <w:r w:rsidR="001064B7" w:rsidRPr="009050A1">
          <w:rPr>
            <w:rStyle w:val="Lienhypertexte"/>
            <w:rFonts w:ascii="Times New Roman" w:hAnsi="Times New Roman"/>
            <w:b/>
            <w:noProof/>
            <w:color w:val="auto"/>
            <w:sz w:val="24"/>
            <w:szCs w:val="24"/>
          </w:rPr>
          <w:t>Politiques budgétaires et réduction de la pauvreté</w:t>
        </w:r>
        <w:r w:rsidR="001064B7" w:rsidRPr="009050A1">
          <w:rPr>
            <w:rFonts w:ascii="Times New Roman" w:hAnsi="Times New Roman"/>
            <w:b/>
            <w:noProof/>
            <w:webHidden/>
            <w:sz w:val="24"/>
            <w:szCs w:val="24"/>
            <w:u w:val="single"/>
          </w:rPr>
          <w:tab/>
        </w:r>
      </w:hyperlink>
    </w:p>
    <w:p w:rsidR="00D81594" w:rsidRPr="009A0D11" w:rsidRDefault="00182C97" w:rsidP="00D81594">
      <w:pPr>
        <w:pStyle w:val="Tabledesillustrations"/>
        <w:tabs>
          <w:tab w:val="right" w:leader="dot" w:pos="9062"/>
        </w:tabs>
        <w:spacing w:line="276" w:lineRule="auto"/>
        <w:rPr>
          <w:rStyle w:val="Lienhypertexte"/>
          <w:rFonts w:ascii="Times New Roman" w:hAnsi="Times New Roman" w:cs="Times New Roman"/>
          <w:noProof/>
          <w:color w:val="auto"/>
        </w:rPr>
      </w:pPr>
      <w:r w:rsidRPr="009A0D11">
        <w:rPr>
          <w:rStyle w:val="Lienhypertexte"/>
          <w:rFonts w:ascii="Times New Roman" w:hAnsi="Times New Roman" w:cs="Times New Roman"/>
          <w:i w:val="0"/>
          <w:noProof/>
          <w:color w:val="auto"/>
        </w:rPr>
        <w:fldChar w:fldCharType="begin"/>
      </w:r>
      <w:r w:rsidR="00D81594" w:rsidRPr="009A0D11">
        <w:rPr>
          <w:rStyle w:val="Lienhypertexte"/>
          <w:rFonts w:ascii="Times New Roman" w:hAnsi="Times New Roman" w:cs="Times New Roman"/>
          <w:i w:val="0"/>
          <w:noProof/>
          <w:color w:val="auto"/>
        </w:rPr>
        <w:instrText xml:space="preserve"> TOC \h \z \c "Graphiaue 4." </w:instrText>
      </w:r>
      <w:r w:rsidRPr="009A0D11">
        <w:rPr>
          <w:rStyle w:val="Lienhypertexte"/>
          <w:rFonts w:ascii="Times New Roman" w:hAnsi="Times New Roman" w:cs="Times New Roman"/>
          <w:i w:val="0"/>
          <w:noProof/>
          <w:color w:val="auto"/>
        </w:rPr>
        <w:fldChar w:fldCharType="separate"/>
      </w:r>
      <w:hyperlink w:anchor="_Toc369728067" w:history="1">
        <w:r w:rsidR="00F20B1C" w:rsidRPr="009A0D11">
          <w:rPr>
            <w:rStyle w:val="Lienhypertexte"/>
            <w:rFonts w:ascii="Times New Roman" w:hAnsi="Times New Roman" w:cs="Times New Roman"/>
            <w:i w:val="0"/>
            <w:noProof/>
            <w:color w:val="auto"/>
          </w:rPr>
          <w:t>Graphique 4.</w:t>
        </w:r>
        <w:r w:rsidR="00D81594" w:rsidRPr="009A0D11">
          <w:rPr>
            <w:rStyle w:val="Lienhypertexte"/>
            <w:rFonts w:ascii="Times New Roman" w:hAnsi="Times New Roman" w:cs="Times New Roman"/>
            <w:i w:val="0"/>
            <w:noProof/>
            <w:color w:val="auto"/>
          </w:rPr>
          <w:t>1: Évolution des dépenses publiques 2000-2011</w:t>
        </w:r>
        <w:r w:rsidR="00D81594" w:rsidRPr="009A0D11">
          <w:rPr>
            <w:rStyle w:val="Lienhypertexte"/>
            <w:rFonts w:ascii="Times New Roman" w:hAnsi="Times New Roman" w:cs="Times New Roman"/>
            <w:i w:val="0"/>
            <w:noProof/>
            <w:webHidden/>
            <w:color w:val="auto"/>
          </w:rPr>
          <w:tab/>
        </w:r>
        <w:r w:rsidRPr="009A0D11">
          <w:rPr>
            <w:rStyle w:val="Lienhypertexte"/>
            <w:rFonts w:ascii="Times New Roman" w:hAnsi="Times New Roman" w:cs="Times New Roman"/>
            <w:i w:val="0"/>
            <w:noProof/>
            <w:webHidden/>
            <w:color w:val="auto"/>
          </w:rPr>
          <w:fldChar w:fldCharType="begin"/>
        </w:r>
        <w:r w:rsidR="00D81594" w:rsidRPr="009A0D11">
          <w:rPr>
            <w:rStyle w:val="Lienhypertexte"/>
            <w:rFonts w:ascii="Times New Roman" w:hAnsi="Times New Roman" w:cs="Times New Roman"/>
            <w:i w:val="0"/>
            <w:noProof/>
            <w:webHidden/>
            <w:color w:val="auto"/>
          </w:rPr>
          <w:instrText xml:space="preserve"> PAGEREF _Toc369728067 \h </w:instrText>
        </w:r>
        <w:r w:rsidRPr="009A0D11">
          <w:rPr>
            <w:rStyle w:val="Lienhypertexte"/>
            <w:rFonts w:ascii="Times New Roman" w:hAnsi="Times New Roman" w:cs="Times New Roman"/>
            <w:i w:val="0"/>
            <w:noProof/>
            <w:webHidden/>
            <w:color w:val="auto"/>
          </w:rPr>
        </w:r>
        <w:r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113</w:t>
        </w:r>
        <w:r w:rsidRPr="009A0D11">
          <w:rPr>
            <w:rStyle w:val="Lienhypertexte"/>
            <w:rFonts w:ascii="Times New Roman" w:hAnsi="Times New Roman" w:cs="Times New Roman"/>
            <w:i w:val="0"/>
            <w:noProof/>
            <w:webHidden/>
            <w:color w:val="auto"/>
          </w:rPr>
          <w:fldChar w:fldCharType="end"/>
        </w:r>
      </w:hyperlink>
    </w:p>
    <w:p w:rsidR="00D81594" w:rsidRPr="009A0D11" w:rsidRDefault="004F064D" w:rsidP="00D81594">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28068" w:history="1">
        <w:r w:rsidR="00D81594" w:rsidRPr="009A0D11">
          <w:rPr>
            <w:rStyle w:val="Lienhypertexte"/>
            <w:rFonts w:ascii="Times New Roman" w:hAnsi="Times New Roman" w:cs="Times New Roman"/>
            <w:i w:val="0"/>
            <w:noProof/>
            <w:color w:val="auto"/>
          </w:rPr>
          <w:t>Graphique 4.2: Évolution du ratio de l’UEMOA sur la masse salariale (en %)</w:t>
        </w:r>
        <w:r w:rsidR="00D81594"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D81594" w:rsidRPr="009A0D11">
          <w:rPr>
            <w:rStyle w:val="Lienhypertexte"/>
            <w:rFonts w:ascii="Times New Roman" w:hAnsi="Times New Roman" w:cs="Times New Roman"/>
            <w:i w:val="0"/>
            <w:noProof/>
            <w:webHidden/>
            <w:color w:val="auto"/>
          </w:rPr>
          <w:instrText xml:space="preserve"> PAGEREF _Toc369728068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114</w:t>
        </w:r>
        <w:r w:rsidR="00182C97" w:rsidRPr="009A0D11">
          <w:rPr>
            <w:rStyle w:val="Lienhypertexte"/>
            <w:rFonts w:ascii="Times New Roman" w:hAnsi="Times New Roman" w:cs="Times New Roman"/>
            <w:i w:val="0"/>
            <w:noProof/>
            <w:webHidden/>
            <w:color w:val="auto"/>
          </w:rPr>
          <w:fldChar w:fldCharType="end"/>
        </w:r>
      </w:hyperlink>
    </w:p>
    <w:p w:rsidR="00D81594" w:rsidRPr="009A0D11" w:rsidRDefault="004F064D" w:rsidP="00D81594">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28069" w:history="1">
        <w:r w:rsidR="00D81594" w:rsidRPr="009A0D11">
          <w:rPr>
            <w:rStyle w:val="Lienhypertexte"/>
            <w:rFonts w:ascii="Times New Roman" w:hAnsi="Times New Roman" w:cs="Times New Roman"/>
            <w:i w:val="0"/>
            <w:noProof/>
            <w:color w:val="auto"/>
          </w:rPr>
          <w:t>Graphique 4.3: Exécution sectorielle des dépenses sociales prioritaires en 2011 et en 2012</w:t>
        </w:r>
        <w:r w:rsidR="00D81594"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D81594" w:rsidRPr="009A0D11">
          <w:rPr>
            <w:rStyle w:val="Lienhypertexte"/>
            <w:rFonts w:ascii="Times New Roman" w:hAnsi="Times New Roman" w:cs="Times New Roman"/>
            <w:i w:val="0"/>
            <w:noProof/>
            <w:webHidden/>
            <w:color w:val="auto"/>
          </w:rPr>
          <w:instrText xml:space="preserve"> PAGEREF _Toc369728069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118</w:t>
        </w:r>
        <w:r w:rsidR="00182C97" w:rsidRPr="009A0D11">
          <w:rPr>
            <w:rStyle w:val="Lienhypertexte"/>
            <w:rFonts w:ascii="Times New Roman" w:hAnsi="Times New Roman" w:cs="Times New Roman"/>
            <w:i w:val="0"/>
            <w:noProof/>
            <w:webHidden/>
            <w:color w:val="auto"/>
          </w:rPr>
          <w:fldChar w:fldCharType="end"/>
        </w:r>
      </w:hyperlink>
    </w:p>
    <w:p w:rsidR="00D81594" w:rsidRPr="009A0D11" w:rsidRDefault="004F064D" w:rsidP="00D81594">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28070" w:history="1">
        <w:r w:rsidR="00D81594" w:rsidRPr="009A0D11">
          <w:rPr>
            <w:rStyle w:val="Lienhypertexte"/>
            <w:rFonts w:ascii="Times New Roman" w:hAnsi="Times New Roman" w:cs="Times New Roman"/>
            <w:i w:val="0"/>
            <w:noProof/>
            <w:color w:val="auto"/>
          </w:rPr>
          <w:t>Graphique 4.4: Répartition des dépenses publiques entre le niveau central, déconcentré et décentralisé</w:t>
        </w:r>
        <w:r w:rsidR="00D81594"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D81594" w:rsidRPr="009A0D11">
          <w:rPr>
            <w:rStyle w:val="Lienhypertexte"/>
            <w:rFonts w:ascii="Times New Roman" w:hAnsi="Times New Roman" w:cs="Times New Roman"/>
            <w:i w:val="0"/>
            <w:noProof/>
            <w:webHidden/>
            <w:color w:val="auto"/>
          </w:rPr>
          <w:instrText xml:space="preserve"> PAGEREF _Toc369728070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120</w:t>
        </w:r>
        <w:r w:rsidR="00182C97" w:rsidRPr="009A0D11">
          <w:rPr>
            <w:rStyle w:val="Lienhypertexte"/>
            <w:rFonts w:ascii="Times New Roman" w:hAnsi="Times New Roman" w:cs="Times New Roman"/>
            <w:i w:val="0"/>
            <w:noProof/>
            <w:webHidden/>
            <w:color w:val="auto"/>
          </w:rPr>
          <w:fldChar w:fldCharType="end"/>
        </w:r>
      </w:hyperlink>
    </w:p>
    <w:p w:rsidR="00D81594" w:rsidRPr="009A0D11" w:rsidRDefault="004F064D" w:rsidP="00D81594">
      <w:pPr>
        <w:pStyle w:val="Tabledesillustrations"/>
        <w:tabs>
          <w:tab w:val="right" w:leader="dot" w:pos="9062"/>
        </w:tabs>
        <w:spacing w:line="276" w:lineRule="auto"/>
        <w:rPr>
          <w:rStyle w:val="Lienhypertexte"/>
          <w:rFonts w:ascii="Times New Roman" w:hAnsi="Times New Roman" w:cs="Times New Roman"/>
          <w:noProof/>
          <w:color w:val="auto"/>
        </w:rPr>
      </w:pPr>
      <w:hyperlink w:anchor="_Toc369728071" w:history="1">
        <w:r w:rsidR="00D81594" w:rsidRPr="009A0D11">
          <w:rPr>
            <w:rStyle w:val="Lienhypertexte"/>
            <w:rFonts w:ascii="Times New Roman" w:hAnsi="Times New Roman" w:cs="Times New Roman"/>
            <w:i w:val="0"/>
            <w:noProof/>
            <w:color w:val="auto"/>
          </w:rPr>
          <w:t>Graphique 4.5: Part des crédits délégués dans les allocations sectorielles en 2009</w:t>
        </w:r>
        <w:r w:rsidR="00D81594"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D81594" w:rsidRPr="009A0D11">
          <w:rPr>
            <w:rStyle w:val="Lienhypertexte"/>
            <w:rFonts w:ascii="Times New Roman" w:hAnsi="Times New Roman" w:cs="Times New Roman"/>
            <w:i w:val="0"/>
            <w:noProof/>
            <w:webHidden/>
            <w:color w:val="auto"/>
          </w:rPr>
          <w:instrText xml:space="preserve"> PAGEREF _Toc369728071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121</w:t>
        </w:r>
        <w:r w:rsidR="00182C97" w:rsidRPr="009A0D11">
          <w:rPr>
            <w:rStyle w:val="Lienhypertexte"/>
            <w:rFonts w:ascii="Times New Roman" w:hAnsi="Times New Roman" w:cs="Times New Roman"/>
            <w:i w:val="0"/>
            <w:noProof/>
            <w:webHidden/>
            <w:color w:val="auto"/>
          </w:rPr>
          <w:fldChar w:fldCharType="end"/>
        </w:r>
      </w:hyperlink>
    </w:p>
    <w:p w:rsidR="00EF413D" w:rsidRPr="009A0D11" w:rsidRDefault="00182C97" w:rsidP="00CE32E7">
      <w:pPr>
        <w:pStyle w:val="Tabledesillustrations"/>
        <w:tabs>
          <w:tab w:val="right" w:leader="dot" w:pos="9062"/>
        </w:tabs>
        <w:spacing w:line="276" w:lineRule="auto"/>
        <w:rPr>
          <w:rStyle w:val="Lienhypertexte"/>
          <w:rFonts w:ascii="Times New Roman" w:hAnsi="Times New Roman" w:cs="Times New Roman"/>
          <w:i w:val="0"/>
          <w:noProof/>
          <w:color w:val="auto"/>
          <w:sz w:val="18"/>
          <w:szCs w:val="18"/>
        </w:rPr>
      </w:pPr>
      <w:r w:rsidRPr="009A0D11">
        <w:rPr>
          <w:rStyle w:val="Lienhypertexte"/>
          <w:rFonts w:ascii="Times New Roman" w:hAnsi="Times New Roman" w:cs="Times New Roman"/>
          <w:i w:val="0"/>
          <w:noProof/>
          <w:color w:val="auto"/>
        </w:rPr>
        <w:fldChar w:fldCharType="end"/>
      </w:r>
    </w:p>
    <w:p w:rsidR="001A4DC5" w:rsidRPr="009050A1" w:rsidRDefault="004F064D" w:rsidP="001A4DC5">
      <w:pPr>
        <w:rPr>
          <w:rFonts w:ascii="Times New Roman" w:hAnsi="Times New Roman"/>
          <w:b/>
          <w:u w:val="single"/>
        </w:rPr>
      </w:pPr>
      <w:hyperlink w:anchor="_Toc344672706" w:history="1">
        <w:r w:rsidR="001064B7" w:rsidRPr="009050A1">
          <w:rPr>
            <w:rFonts w:ascii="Times New Roman" w:hAnsi="Times New Roman"/>
            <w:b/>
            <w:u w:val="single"/>
          </w:rPr>
          <w:t xml:space="preserve">CHAPITRE </w:t>
        </w:r>
        <w:r w:rsidR="007C0BAB" w:rsidRPr="009050A1">
          <w:rPr>
            <w:rFonts w:ascii="Times New Roman" w:hAnsi="Times New Roman"/>
            <w:b/>
            <w:u w:val="single"/>
          </w:rPr>
          <w:t>5</w:t>
        </w:r>
        <w:r w:rsidR="001064B7" w:rsidRPr="009050A1">
          <w:rPr>
            <w:rFonts w:ascii="Times New Roman" w:hAnsi="Times New Roman"/>
            <w:b/>
            <w:webHidden/>
            <w:u w:val="single"/>
          </w:rPr>
          <w:t>:</w:t>
        </w:r>
      </w:hyperlink>
      <w:hyperlink w:anchor="_Toc344672707" w:history="1">
        <w:r w:rsidR="001064B7" w:rsidRPr="009050A1">
          <w:rPr>
            <w:rFonts w:ascii="Times New Roman" w:hAnsi="Times New Roman"/>
            <w:b/>
            <w:u w:val="single"/>
          </w:rPr>
          <w:t>Politique de l’emploi et pauvreté</w:t>
        </w:r>
      </w:hyperlink>
    </w:p>
    <w:p w:rsidR="00CC09F3" w:rsidRPr="009A0D11" w:rsidRDefault="00182C97" w:rsidP="00CC09F3">
      <w:pPr>
        <w:pStyle w:val="Tabledesillustrations"/>
        <w:tabs>
          <w:tab w:val="right" w:leader="dot" w:pos="9062"/>
        </w:tabs>
        <w:spacing w:line="276" w:lineRule="auto"/>
        <w:rPr>
          <w:rStyle w:val="Lienhypertexte"/>
          <w:rFonts w:ascii="Times New Roman" w:hAnsi="Times New Roman" w:cs="Times New Roman"/>
          <w:noProof/>
          <w:color w:val="auto"/>
        </w:rPr>
      </w:pPr>
      <w:r w:rsidRPr="009A0D11">
        <w:rPr>
          <w:rStyle w:val="Lienhypertexte"/>
          <w:rFonts w:ascii="Times New Roman" w:hAnsi="Times New Roman" w:cs="Times New Roman"/>
          <w:i w:val="0"/>
          <w:noProof/>
          <w:color w:val="auto"/>
        </w:rPr>
        <w:fldChar w:fldCharType="begin"/>
      </w:r>
      <w:r w:rsidR="00CC09F3" w:rsidRPr="009A0D11">
        <w:rPr>
          <w:rStyle w:val="Lienhypertexte"/>
          <w:rFonts w:ascii="Times New Roman" w:hAnsi="Times New Roman" w:cs="Times New Roman"/>
          <w:i w:val="0"/>
          <w:noProof/>
          <w:color w:val="auto"/>
        </w:rPr>
        <w:instrText xml:space="preserve"> TOC \h \z \c "Graphique 5." </w:instrText>
      </w:r>
      <w:r w:rsidRPr="009A0D11">
        <w:rPr>
          <w:rStyle w:val="Lienhypertexte"/>
          <w:rFonts w:ascii="Times New Roman" w:hAnsi="Times New Roman" w:cs="Times New Roman"/>
          <w:i w:val="0"/>
          <w:noProof/>
          <w:color w:val="auto"/>
        </w:rPr>
        <w:fldChar w:fldCharType="separate"/>
      </w:r>
      <w:hyperlink w:anchor="_Toc369727715" w:history="1">
        <w:r w:rsidR="00CC09F3" w:rsidRPr="009A0D11">
          <w:rPr>
            <w:rStyle w:val="Lienhypertexte"/>
            <w:rFonts w:ascii="Times New Roman" w:hAnsi="Times New Roman" w:cs="Times New Roman"/>
            <w:i w:val="0"/>
            <w:noProof/>
            <w:color w:val="auto"/>
          </w:rPr>
          <w:t>Graphique 5.1: Évolution du taux d’activité des 15-64 ans par sexe de 2006 à 2011</w:t>
        </w:r>
        <w:r w:rsidR="00CC09F3" w:rsidRPr="009A0D11">
          <w:rPr>
            <w:rStyle w:val="Lienhypertexte"/>
            <w:rFonts w:ascii="Times New Roman" w:hAnsi="Times New Roman" w:cs="Times New Roman"/>
            <w:i w:val="0"/>
            <w:noProof/>
            <w:webHidden/>
            <w:color w:val="auto"/>
          </w:rPr>
          <w:tab/>
        </w:r>
        <w:r w:rsidRPr="009A0D11">
          <w:rPr>
            <w:rStyle w:val="Lienhypertexte"/>
            <w:rFonts w:ascii="Times New Roman" w:hAnsi="Times New Roman" w:cs="Times New Roman"/>
            <w:i w:val="0"/>
            <w:noProof/>
            <w:webHidden/>
            <w:color w:val="auto"/>
          </w:rPr>
          <w:fldChar w:fldCharType="begin"/>
        </w:r>
        <w:r w:rsidR="00CC09F3" w:rsidRPr="009A0D11">
          <w:rPr>
            <w:rStyle w:val="Lienhypertexte"/>
            <w:rFonts w:ascii="Times New Roman" w:hAnsi="Times New Roman" w:cs="Times New Roman"/>
            <w:i w:val="0"/>
            <w:noProof/>
            <w:webHidden/>
            <w:color w:val="auto"/>
          </w:rPr>
          <w:instrText xml:space="preserve"> PAGEREF _Toc369727715 \h </w:instrText>
        </w:r>
        <w:r w:rsidRPr="009A0D11">
          <w:rPr>
            <w:rStyle w:val="Lienhypertexte"/>
            <w:rFonts w:ascii="Times New Roman" w:hAnsi="Times New Roman" w:cs="Times New Roman"/>
            <w:i w:val="0"/>
            <w:noProof/>
            <w:webHidden/>
            <w:color w:val="auto"/>
          </w:rPr>
        </w:r>
        <w:r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131</w:t>
        </w:r>
        <w:r w:rsidRPr="009A0D11">
          <w:rPr>
            <w:rStyle w:val="Lienhypertexte"/>
            <w:rFonts w:ascii="Times New Roman" w:hAnsi="Times New Roman" w:cs="Times New Roman"/>
            <w:i w:val="0"/>
            <w:noProof/>
            <w:webHidden/>
            <w:color w:val="auto"/>
          </w:rPr>
          <w:fldChar w:fldCharType="end"/>
        </w:r>
      </w:hyperlink>
    </w:p>
    <w:p w:rsidR="00CC09F3" w:rsidRPr="009A0D11" w:rsidRDefault="00182C97" w:rsidP="004557F6">
      <w:pPr>
        <w:pStyle w:val="Tabledesillustrations"/>
        <w:tabs>
          <w:tab w:val="right" w:leader="dot" w:pos="9062"/>
        </w:tabs>
        <w:spacing w:line="276" w:lineRule="auto"/>
        <w:rPr>
          <w:rStyle w:val="Lienhypertexte"/>
          <w:rFonts w:ascii="Times New Roman" w:hAnsi="Times New Roman" w:cs="Times New Roman"/>
          <w:i w:val="0"/>
          <w:noProof/>
          <w:color w:val="auto"/>
        </w:rPr>
      </w:pPr>
      <w:r w:rsidRPr="009A0D11">
        <w:rPr>
          <w:rStyle w:val="Lienhypertexte"/>
          <w:rFonts w:ascii="Times New Roman" w:hAnsi="Times New Roman" w:cs="Times New Roman"/>
          <w:i w:val="0"/>
          <w:noProof/>
          <w:color w:val="auto"/>
        </w:rPr>
        <w:fldChar w:fldCharType="end"/>
      </w:r>
    </w:p>
    <w:p w:rsidR="00CC09F3" w:rsidRPr="009050A1" w:rsidRDefault="004F064D" w:rsidP="00CC09F3">
      <w:pPr>
        <w:rPr>
          <w:b/>
          <w:u w:val="single"/>
        </w:rPr>
      </w:pPr>
      <w:hyperlink w:anchor="_Toc344672723" w:history="1">
        <w:r w:rsidR="00CC09F3" w:rsidRPr="009050A1">
          <w:rPr>
            <w:rStyle w:val="Lienhypertexte"/>
            <w:rFonts w:ascii="Times New Roman" w:hAnsi="Times New Roman"/>
            <w:b/>
            <w:noProof/>
            <w:color w:val="auto"/>
          </w:rPr>
          <w:t>CHAPITRE 6:</w:t>
        </w:r>
      </w:hyperlink>
      <w:r w:rsidR="00CC09F3" w:rsidRPr="009050A1">
        <w:rPr>
          <w:rFonts w:ascii="Times New Roman" w:hAnsi="Times New Roman"/>
          <w:b/>
          <w:noProof/>
          <w:u w:val="single"/>
        </w:rPr>
        <w:t>Inégalités d’accès et inégalités de bénéfices</w:t>
      </w:r>
    </w:p>
    <w:p w:rsidR="004557F6" w:rsidRPr="009A0D11" w:rsidRDefault="00182C97" w:rsidP="00B225AA">
      <w:pPr>
        <w:pStyle w:val="Tabledesillustrations"/>
        <w:tabs>
          <w:tab w:val="right" w:leader="dot" w:pos="9062"/>
        </w:tabs>
        <w:spacing w:line="240" w:lineRule="auto"/>
        <w:rPr>
          <w:rStyle w:val="Lienhypertexte"/>
          <w:rFonts w:ascii="Times New Roman" w:hAnsi="Times New Roman" w:cs="Times New Roman"/>
          <w:i w:val="0"/>
          <w:noProof/>
          <w:color w:val="auto"/>
        </w:rPr>
      </w:pPr>
      <w:r w:rsidRPr="009A0D11">
        <w:rPr>
          <w:rStyle w:val="Lienhypertexte"/>
          <w:rFonts w:ascii="Times New Roman" w:hAnsi="Times New Roman" w:cs="Times New Roman"/>
          <w:i w:val="0"/>
          <w:noProof/>
          <w:color w:val="auto"/>
        </w:rPr>
        <w:fldChar w:fldCharType="begin"/>
      </w:r>
      <w:r w:rsidR="004557F6" w:rsidRPr="009A0D11">
        <w:rPr>
          <w:rStyle w:val="Lienhypertexte"/>
          <w:rFonts w:ascii="Times New Roman" w:hAnsi="Times New Roman" w:cs="Times New Roman"/>
          <w:i w:val="0"/>
          <w:noProof/>
          <w:color w:val="auto"/>
        </w:rPr>
        <w:instrText xml:space="preserve"> TOC \h \z \c "Figure 6." </w:instrText>
      </w:r>
      <w:r w:rsidRPr="009A0D11">
        <w:rPr>
          <w:rStyle w:val="Lienhypertexte"/>
          <w:rFonts w:ascii="Times New Roman" w:hAnsi="Times New Roman" w:cs="Times New Roman"/>
          <w:i w:val="0"/>
          <w:noProof/>
          <w:color w:val="auto"/>
        </w:rPr>
        <w:fldChar w:fldCharType="separate"/>
      </w:r>
      <w:hyperlink w:anchor="_Toc369714360" w:history="1">
        <w:r w:rsidR="00F20B1C" w:rsidRPr="009A0D11">
          <w:rPr>
            <w:rStyle w:val="Lienhypertexte"/>
            <w:rFonts w:ascii="Times New Roman" w:hAnsi="Times New Roman" w:cs="Times New Roman"/>
            <w:i w:val="0"/>
            <w:noProof/>
            <w:color w:val="auto"/>
          </w:rPr>
          <w:t>Figure 6.</w:t>
        </w:r>
        <w:r w:rsidR="004557F6" w:rsidRPr="009A0D11">
          <w:rPr>
            <w:rStyle w:val="Lienhypertexte"/>
            <w:rFonts w:ascii="Times New Roman" w:hAnsi="Times New Roman" w:cs="Times New Roman"/>
            <w:i w:val="0"/>
            <w:noProof/>
            <w:color w:val="auto"/>
          </w:rPr>
          <w:t>1: Profil des femmes selon la mobilité dans la pauvreté et suivant les caractéristiques sociodémographiques</w:t>
        </w:r>
        <w:r w:rsidR="004557F6" w:rsidRPr="009A0D11">
          <w:rPr>
            <w:rStyle w:val="Lienhypertexte"/>
            <w:rFonts w:ascii="Times New Roman" w:hAnsi="Times New Roman" w:cs="Times New Roman"/>
            <w:i w:val="0"/>
            <w:noProof/>
            <w:webHidden/>
            <w:color w:val="auto"/>
          </w:rPr>
          <w:tab/>
        </w:r>
        <w:r w:rsidRPr="009A0D11">
          <w:rPr>
            <w:rStyle w:val="Lienhypertexte"/>
            <w:rFonts w:ascii="Times New Roman" w:hAnsi="Times New Roman" w:cs="Times New Roman"/>
            <w:i w:val="0"/>
            <w:noProof/>
            <w:webHidden/>
            <w:color w:val="auto"/>
          </w:rPr>
          <w:fldChar w:fldCharType="begin"/>
        </w:r>
        <w:r w:rsidR="004557F6" w:rsidRPr="009A0D11">
          <w:rPr>
            <w:rStyle w:val="Lienhypertexte"/>
            <w:rFonts w:ascii="Times New Roman" w:hAnsi="Times New Roman" w:cs="Times New Roman"/>
            <w:i w:val="0"/>
            <w:noProof/>
            <w:webHidden/>
            <w:color w:val="auto"/>
          </w:rPr>
          <w:instrText xml:space="preserve"> PAGEREF _Toc369714360 \h </w:instrText>
        </w:r>
        <w:r w:rsidRPr="009A0D11">
          <w:rPr>
            <w:rStyle w:val="Lienhypertexte"/>
            <w:rFonts w:ascii="Times New Roman" w:hAnsi="Times New Roman" w:cs="Times New Roman"/>
            <w:i w:val="0"/>
            <w:noProof/>
            <w:webHidden/>
            <w:color w:val="auto"/>
          </w:rPr>
        </w:r>
        <w:r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159</w:t>
        </w:r>
        <w:r w:rsidRPr="009A0D11">
          <w:rPr>
            <w:rStyle w:val="Lienhypertexte"/>
            <w:rFonts w:ascii="Times New Roman" w:hAnsi="Times New Roman" w:cs="Times New Roman"/>
            <w:i w:val="0"/>
            <w:noProof/>
            <w:webHidden/>
            <w:color w:val="auto"/>
          </w:rPr>
          <w:fldChar w:fldCharType="end"/>
        </w:r>
      </w:hyperlink>
    </w:p>
    <w:p w:rsidR="00DA5BAE" w:rsidRPr="009A0D11" w:rsidRDefault="004F064D" w:rsidP="00B225AA">
      <w:pPr>
        <w:pStyle w:val="Tabledesillustrations"/>
        <w:tabs>
          <w:tab w:val="right" w:leader="dot" w:pos="9062"/>
        </w:tabs>
        <w:spacing w:line="240" w:lineRule="auto"/>
        <w:rPr>
          <w:noProof/>
        </w:rPr>
      </w:pPr>
      <w:hyperlink w:anchor="_Toc369714361" w:history="1">
        <w:r w:rsidR="004557F6" w:rsidRPr="009A0D11">
          <w:rPr>
            <w:rStyle w:val="Lienhypertexte"/>
            <w:rFonts w:ascii="Times New Roman" w:hAnsi="Times New Roman" w:cs="Times New Roman"/>
            <w:i w:val="0"/>
            <w:noProof/>
            <w:color w:val="auto"/>
          </w:rPr>
          <w:t>Figure 6.2: Profil des hommes selon la mobilité dans la pauvreté et suivant les caractéristiques sociodémographiques</w:t>
        </w:r>
        <w:r w:rsidR="004557F6" w:rsidRPr="009A0D11">
          <w:rPr>
            <w:rStyle w:val="Lienhypertexte"/>
            <w:rFonts w:ascii="Times New Roman" w:hAnsi="Times New Roman" w:cs="Times New Roman"/>
            <w:i w:val="0"/>
            <w:noProof/>
            <w:webHidden/>
            <w:color w:val="auto"/>
          </w:rPr>
          <w:tab/>
        </w:r>
        <w:r w:rsidR="00182C97" w:rsidRPr="009A0D11">
          <w:rPr>
            <w:rStyle w:val="Lienhypertexte"/>
            <w:rFonts w:ascii="Times New Roman" w:hAnsi="Times New Roman" w:cs="Times New Roman"/>
            <w:i w:val="0"/>
            <w:noProof/>
            <w:webHidden/>
            <w:color w:val="auto"/>
          </w:rPr>
          <w:fldChar w:fldCharType="begin"/>
        </w:r>
        <w:r w:rsidR="004557F6" w:rsidRPr="009A0D11">
          <w:rPr>
            <w:rStyle w:val="Lienhypertexte"/>
            <w:rFonts w:ascii="Times New Roman" w:hAnsi="Times New Roman" w:cs="Times New Roman"/>
            <w:i w:val="0"/>
            <w:noProof/>
            <w:webHidden/>
            <w:color w:val="auto"/>
          </w:rPr>
          <w:instrText xml:space="preserve"> PAGEREF _Toc369714361 \h </w:instrText>
        </w:r>
        <w:r w:rsidR="00182C97" w:rsidRPr="009A0D11">
          <w:rPr>
            <w:rStyle w:val="Lienhypertexte"/>
            <w:rFonts w:ascii="Times New Roman" w:hAnsi="Times New Roman" w:cs="Times New Roman"/>
            <w:i w:val="0"/>
            <w:noProof/>
            <w:webHidden/>
            <w:color w:val="auto"/>
          </w:rPr>
        </w:r>
        <w:r w:rsidR="00182C97" w:rsidRPr="009A0D11">
          <w:rPr>
            <w:rStyle w:val="Lienhypertexte"/>
            <w:rFonts w:ascii="Times New Roman" w:hAnsi="Times New Roman" w:cs="Times New Roman"/>
            <w:i w:val="0"/>
            <w:noProof/>
            <w:webHidden/>
            <w:color w:val="auto"/>
          </w:rPr>
          <w:fldChar w:fldCharType="separate"/>
        </w:r>
        <w:r w:rsidR="00AB1967">
          <w:rPr>
            <w:rStyle w:val="Lienhypertexte"/>
            <w:rFonts w:ascii="Times New Roman" w:hAnsi="Times New Roman" w:cs="Times New Roman"/>
            <w:i w:val="0"/>
            <w:noProof/>
            <w:webHidden/>
            <w:color w:val="auto"/>
          </w:rPr>
          <w:t>160</w:t>
        </w:r>
        <w:r w:rsidR="00182C97" w:rsidRPr="009A0D11">
          <w:rPr>
            <w:rStyle w:val="Lienhypertexte"/>
            <w:rFonts w:ascii="Times New Roman" w:hAnsi="Times New Roman" w:cs="Times New Roman"/>
            <w:i w:val="0"/>
            <w:noProof/>
            <w:webHidden/>
            <w:color w:val="auto"/>
          </w:rPr>
          <w:fldChar w:fldCharType="end"/>
        </w:r>
      </w:hyperlink>
      <w:r w:rsidR="00182C97" w:rsidRPr="009A0D11">
        <w:rPr>
          <w:rStyle w:val="Lienhypertexte"/>
          <w:rFonts w:ascii="Times New Roman" w:hAnsi="Times New Roman" w:cs="Times New Roman"/>
          <w:i w:val="0"/>
          <w:noProof/>
          <w:color w:val="auto"/>
        </w:rPr>
        <w:fldChar w:fldCharType="end"/>
      </w:r>
      <w:r w:rsidR="00182C97" w:rsidRPr="009A0D11">
        <w:rPr>
          <w:rStyle w:val="Lienhypertexte"/>
          <w:rFonts w:ascii="Times New Roman" w:hAnsi="Times New Roman" w:cs="Times New Roman"/>
          <w:i w:val="0"/>
          <w:noProof/>
          <w:color w:val="auto"/>
        </w:rPr>
        <w:fldChar w:fldCharType="begin"/>
      </w:r>
      <w:r w:rsidR="00CC09F3" w:rsidRPr="009A0D11">
        <w:rPr>
          <w:rStyle w:val="Lienhypertexte"/>
          <w:rFonts w:ascii="Times New Roman" w:hAnsi="Times New Roman" w:cs="Times New Roman"/>
          <w:i w:val="0"/>
          <w:noProof/>
          <w:color w:val="auto"/>
        </w:rPr>
        <w:instrText xml:space="preserve"> TOC \h \z \c "Graphique 6." </w:instrText>
      </w:r>
      <w:r w:rsidR="00182C97" w:rsidRPr="009A0D11">
        <w:rPr>
          <w:rStyle w:val="Lienhypertexte"/>
          <w:rFonts w:ascii="Times New Roman" w:hAnsi="Times New Roman" w:cs="Times New Roman"/>
          <w:i w:val="0"/>
          <w:noProof/>
          <w:color w:val="auto"/>
        </w:rPr>
        <w:fldChar w:fldCharType="separate"/>
      </w:r>
    </w:p>
    <w:p w:rsidR="00DA5BAE" w:rsidRPr="009A0D11" w:rsidRDefault="004F064D" w:rsidP="00B225AA">
      <w:pPr>
        <w:pStyle w:val="Tabledesillustrations"/>
        <w:tabs>
          <w:tab w:val="right" w:leader="dot" w:pos="9062"/>
        </w:tabs>
        <w:spacing w:line="240" w:lineRule="auto"/>
        <w:rPr>
          <w:rFonts w:ascii="Times New Roman" w:hAnsi="Times New Roman" w:cs="Times New Roman"/>
          <w:i w:val="0"/>
          <w:noProof/>
        </w:rPr>
      </w:pPr>
      <w:hyperlink w:anchor="_Toc373430716" w:history="1">
        <w:r w:rsidR="00DA5BAE" w:rsidRPr="009A0D11">
          <w:rPr>
            <w:rFonts w:ascii="Times New Roman" w:hAnsi="Times New Roman" w:cs="Times New Roman"/>
            <w:i w:val="0"/>
            <w:noProof/>
          </w:rPr>
          <w:t>Graphique 6.1: Répartition (%) des ménages selon le niveau d’instruction et le sexe du chef du ménage</w:t>
        </w:r>
        <w:r w:rsidR="00DA5BAE" w:rsidRPr="009A0D11">
          <w:rPr>
            <w:rFonts w:ascii="Times New Roman" w:hAnsi="Times New Roman" w:cs="Times New Roman"/>
            <w:i w:val="0"/>
            <w:noProof/>
            <w:webHidden/>
          </w:rPr>
          <w:tab/>
        </w:r>
        <w:r w:rsidR="00182C97" w:rsidRPr="009A0D11">
          <w:rPr>
            <w:rFonts w:ascii="Times New Roman" w:hAnsi="Times New Roman" w:cs="Times New Roman"/>
            <w:i w:val="0"/>
            <w:noProof/>
            <w:webHidden/>
          </w:rPr>
          <w:fldChar w:fldCharType="begin"/>
        </w:r>
        <w:r w:rsidR="00DA5BAE" w:rsidRPr="009A0D11">
          <w:rPr>
            <w:rFonts w:ascii="Times New Roman" w:hAnsi="Times New Roman" w:cs="Times New Roman"/>
            <w:i w:val="0"/>
            <w:noProof/>
            <w:webHidden/>
          </w:rPr>
          <w:instrText xml:space="preserve"> PAGEREF _Toc373430716 \h </w:instrText>
        </w:r>
        <w:r w:rsidR="00182C97" w:rsidRPr="009A0D11">
          <w:rPr>
            <w:rFonts w:ascii="Times New Roman" w:hAnsi="Times New Roman" w:cs="Times New Roman"/>
            <w:i w:val="0"/>
            <w:noProof/>
            <w:webHidden/>
          </w:rPr>
        </w:r>
        <w:r w:rsidR="00182C97" w:rsidRPr="009A0D11">
          <w:rPr>
            <w:rFonts w:ascii="Times New Roman" w:hAnsi="Times New Roman" w:cs="Times New Roman"/>
            <w:i w:val="0"/>
            <w:noProof/>
            <w:webHidden/>
          </w:rPr>
          <w:fldChar w:fldCharType="separate"/>
        </w:r>
        <w:r w:rsidR="00AB1967">
          <w:rPr>
            <w:rFonts w:ascii="Times New Roman" w:hAnsi="Times New Roman" w:cs="Times New Roman"/>
            <w:i w:val="0"/>
            <w:noProof/>
            <w:webHidden/>
          </w:rPr>
          <w:t>161</w:t>
        </w:r>
        <w:r w:rsidR="00182C97" w:rsidRPr="009A0D11">
          <w:rPr>
            <w:rFonts w:ascii="Times New Roman" w:hAnsi="Times New Roman" w:cs="Times New Roman"/>
            <w:i w:val="0"/>
            <w:noProof/>
            <w:webHidden/>
          </w:rPr>
          <w:fldChar w:fldCharType="end"/>
        </w:r>
      </w:hyperlink>
    </w:p>
    <w:p w:rsidR="007C0BAB" w:rsidRPr="00B225AA" w:rsidRDefault="00182C97" w:rsidP="004557F6">
      <w:pPr>
        <w:pStyle w:val="Tabledesillustrations"/>
        <w:tabs>
          <w:tab w:val="right" w:leader="dot" w:pos="9062"/>
        </w:tabs>
        <w:spacing w:line="276" w:lineRule="auto"/>
        <w:rPr>
          <w:rStyle w:val="Lienhypertexte"/>
          <w:rFonts w:ascii="Times New Roman" w:hAnsi="Times New Roman" w:cs="Times New Roman"/>
          <w:i w:val="0"/>
          <w:noProof/>
          <w:color w:val="auto"/>
          <w:sz w:val="6"/>
          <w:szCs w:val="6"/>
        </w:rPr>
      </w:pPr>
      <w:r w:rsidRPr="009A0D11">
        <w:rPr>
          <w:rStyle w:val="Lienhypertexte"/>
          <w:rFonts w:ascii="Times New Roman" w:hAnsi="Times New Roman" w:cs="Times New Roman"/>
          <w:i w:val="0"/>
          <w:noProof/>
          <w:color w:val="auto"/>
        </w:rPr>
        <w:fldChar w:fldCharType="end"/>
      </w: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7B1B18" w:rsidTr="00443E6D">
        <w:trPr>
          <w:trHeight w:val="898"/>
        </w:trPr>
        <w:tc>
          <w:tcPr>
            <w:tcW w:w="1418" w:type="dxa"/>
            <w:tcBorders>
              <w:right w:val="thinThickSmallGap" w:sz="24" w:space="0" w:color="FFFFFF" w:themeColor="background1"/>
            </w:tcBorders>
            <w:shd w:val="clear" w:color="auto" w:fill="92CDDC" w:themeFill="accent5" w:themeFillTint="99"/>
          </w:tcPr>
          <w:p w:rsidR="007B1B18" w:rsidRPr="00494CC8" w:rsidRDefault="007B1B18" w:rsidP="009D164E">
            <w:pPr>
              <w:pStyle w:val="Titre1"/>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7B1B18" w:rsidRPr="007B1B18" w:rsidRDefault="0065531C" w:rsidP="0065531C">
            <w:pPr>
              <w:pStyle w:val="Titre1"/>
              <w:spacing w:line="240" w:lineRule="auto"/>
              <w:outlineLvl w:val="0"/>
              <w:rPr>
                <w:rFonts w:ascii="Times New Roman" w:hAnsi="Times New Roman" w:cs="Times New Roman"/>
                <w:sz w:val="52"/>
                <w:szCs w:val="52"/>
              </w:rPr>
            </w:pPr>
            <w:bookmarkStart w:id="6" w:name="_Toc382322898"/>
            <w:r w:rsidRPr="007B1B18">
              <w:rPr>
                <w:rFonts w:ascii="Times New Roman" w:hAnsi="Times New Roman" w:cs="Times New Roman"/>
                <w:sz w:val="52"/>
                <w:szCs w:val="52"/>
              </w:rPr>
              <w:t>R</w:t>
            </w:r>
            <w:r>
              <w:rPr>
                <w:rFonts w:ascii="Times New Roman" w:hAnsi="Times New Roman" w:cs="Times New Roman"/>
                <w:sz w:val="52"/>
                <w:szCs w:val="52"/>
              </w:rPr>
              <w:t>é</w:t>
            </w:r>
            <w:r w:rsidRPr="007B1B18">
              <w:rPr>
                <w:rFonts w:ascii="Times New Roman" w:hAnsi="Times New Roman" w:cs="Times New Roman"/>
                <w:sz w:val="52"/>
                <w:szCs w:val="52"/>
              </w:rPr>
              <w:t>sum</w:t>
            </w:r>
            <w:r>
              <w:rPr>
                <w:rFonts w:ascii="Times New Roman" w:hAnsi="Times New Roman" w:cs="Times New Roman"/>
                <w:sz w:val="52"/>
                <w:szCs w:val="52"/>
              </w:rPr>
              <w:t>é</w:t>
            </w:r>
            <w:r w:rsidRPr="007B1B18">
              <w:rPr>
                <w:rFonts w:ascii="Times New Roman" w:hAnsi="Times New Roman" w:cs="Times New Roman"/>
                <w:sz w:val="52"/>
                <w:szCs w:val="52"/>
              </w:rPr>
              <w:t xml:space="preserve"> </w:t>
            </w:r>
            <w:r w:rsidR="00DB77F9" w:rsidRPr="007B1B18">
              <w:rPr>
                <w:rFonts w:ascii="Times New Roman" w:hAnsi="Times New Roman" w:cs="Times New Roman"/>
                <w:sz w:val="52"/>
                <w:szCs w:val="52"/>
              </w:rPr>
              <w:t>exécutif</w:t>
            </w:r>
            <w:bookmarkEnd w:id="6"/>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7B1B18" w:rsidRPr="00E04E53" w:rsidRDefault="007B1B18" w:rsidP="009D164E">
            <w:pPr>
              <w:pStyle w:val="Titre1"/>
              <w:spacing w:line="240" w:lineRule="auto"/>
              <w:jc w:val="center"/>
              <w:outlineLvl w:val="0"/>
              <w:rPr>
                <w:rFonts w:ascii="Times New Roman" w:hAnsi="Times New Roman" w:cs="Times New Roman"/>
                <w:sz w:val="52"/>
                <w:szCs w:val="52"/>
              </w:rPr>
            </w:pPr>
          </w:p>
        </w:tc>
      </w:tr>
    </w:tbl>
    <w:p w:rsidR="007B1B18" w:rsidRDefault="007B1B18" w:rsidP="006A1822">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r w:rsidRPr="00B94B57">
        <w:rPr>
          <w:rFonts w:ascii="Times New Roman" w:hAnsi="Times New Roman"/>
          <w:sz w:val="24"/>
          <w:szCs w:val="24"/>
        </w:rPr>
        <w:t xml:space="preserve">En dépit d’une croissance relativement stable et modérée </w:t>
      </w:r>
      <w:r>
        <w:rPr>
          <w:rFonts w:ascii="Times New Roman" w:hAnsi="Times New Roman"/>
          <w:sz w:val="24"/>
          <w:szCs w:val="24"/>
        </w:rPr>
        <w:t xml:space="preserve">qui a induit une amélioration du revenu par tête depuis près d’une décennie (cf. graphique </w:t>
      </w:r>
      <w:r w:rsidR="0065531C">
        <w:rPr>
          <w:rFonts w:ascii="Times New Roman" w:hAnsi="Times New Roman"/>
          <w:sz w:val="24"/>
          <w:szCs w:val="24"/>
        </w:rPr>
        <w:t>0.</w:t>
      </w:r>
      <w:r>
        <w:rPr>
          <w:rFonts w:ascii="Times New Roman" w:hAnsi="Times New Roman"/>
          <w:sz w:val="24"/>
          <w:szCs w:val="24"/>
        </w:rPr>
        <w:t xml:space="preserve">1), </w:t>
      </w:r>
      <w:r w:rsidRPr="00B94B57">
        <w:rPr>
          <w:rFonts w:ascii="Times New Roman" w:hAnsi="Times New Roman"/>
          <w:sz w:val="24"/>
          <w:szCs w:val="24"/>
        </w:rPr>
        <w:t xml:space="preserve"> le recul de la pauvreté au Bénin demeure incertain et les mesures prises sur ce front au cours des dix dernières années ne sont pas  concluantes. </w:t>
      </w:r>
    </w:p>
    <w:p w:rsidR="004C5CB4" w:rsidRDefault="004C5CB4" w:rsidP="007F1584">
      <w:pPr>
        <w:spacing w:line="276" w:lineRule="auto"/>
        <w:rPr>
          <w:rFonts w:ascii="Times New Roman" w:hAnsi="Times New Roman"/>
          <w:sz w:val="24"/>
          <w:szCs w:val="24"/>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9006"/>
      </w:tblGrid>
      <w:tr w:rsidR="009E4C1C" w:rsidRPr="009E4C1C" w:rsidTr="009E4C1C">
        <w:trPr>
          <w:trHeight w:val="352"/>
        </w:trPr>
        <w:tc>
          <w:tcPr>
            <w:tcW w:w="4556" w:type="dxa"/>
            <w:shd w:val="clear" w:color="auto" w:fill="92CDDC" w:themeFill="accent5" w:themeFillTint="99"/>
          </w:tcPr>
          <w:p w:rsidR="009E4C1C" w:rsidRPr="009E4C1C" w:rsidRDefault="009E4C1C" w:rsidP="00D67551">
            <w:pPr>
              <w:spacing w:line="276" w:lineRule="auto"/>
              <w:rPr>
                <w:rFonts w:ascii="Times New Roman" w:hAnsi="Times New Roman"/>
                <w:sz w:val="24"/>
                <w:szCs w:val="24"/>
              </w:rPr>
            </w:pPr>
            <w:r w:rsidRPr="009E4C1C">
              <w:rPr>
                <w:rFonts w:ascii="Times New Roman" w:hAnsi="Times New Roman"/>
                <w:sz w:val="24"/>
                <w:szCs w:val="24"/>
              </w:rPr>
              <w:t>Graphique 0.1: Evolution du PIB/Tête : 1991-2012</w:t>
            </w:r>
          </w:p>
        </w:tc>
      </w:tr>
      <w:tr w:rsidR="00E6625F" w:rsidTr="009E4C1C">
        <w:trPr>
          <w:trHeight w:val="4833"/>
        </w:trPr>
        <w:tc>
          <w:tcPr>
            <w:tcW w:w="4556" w:type="dxa"/>
            <w:shd w:val="clear" w:color="auto" w:fill="DAEEF3" w:themeFill="accent5" w:themeFillTint="33"/>
          </w:tcPr>
          <w:p w:rsidR="00E6625F" w:rsidRPr="00C91E80" w:rsidRDefault="00E6625F" w:rsidP="00D67551">
            <w:pPr>
              <w:spacing w:line="276" w:lineRule="auto"/>
              <w:rPr>
                <w:rFonts w:ascii="Times New Roman" w:hAnsi="Times New Roman"/>
                <w:sz w:val="12"/>
                <w:szCs w:val="12"/>
              </w:rPr>
            </w:pPr>
          </w:p>
          <w:p w:rsidR="00E6625F" w:rsidRDefault="00E6625F" w:rsidP="00D67551">
            <w:pPr>
              <w:spacing w:line="276" w:lineRule="auto"/>
              <w:rPr>
                <w:rFonts w:ascii="Times New Roman" w:hAnsi="Times New Roman"/>
                <w:sz w:val="24"/>
                <w:szCs w:val="24"/>
              </w:rPr>
            </w:pPr>
            <w:r w:rsidRPr="00C91E80">
              <w:rPr>
                <w:rFonts w:ascii="Times New Roman" w:hAnsi="Times New Roman"/>
                <w:noProof/>
                <w:sz w:val="24"/>
                <w:szCs w:val="24"/>
                <w:lang w:eastAsia="fr-FR"/>
              </w:rPr>
              <w:drawing>
                <wp:inline distT="0" distB="0" distL="0" distR="0" wp14:anchorId="4FAF982A" wp14:editId="1E6D7527">
                  <wp:extent cx="5550535" cy="2747010"/>
                  <wp:effectExtent l="19050" t="0" r="12065" b="0"/>
                  <wp:docPr id="50"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6625F" w:rsidRPr="00E35C7A" w:rsidRDefault="00E6625F" w:rsidP="00D67551">
            <w:pPr>
              <w:spacing w:line="276" w:lineRule="auto"/>
              <w:rPr>
                <w:rFonts w:ascii="Times New Roman" w:hAnsi="Times New Roman"/>
                <w:sz w:val="20"/>
                <w:szCs w:val="20"/>
              </w:rPr>
            </w:pPr>
            <w:r w:rsidRPr="00C91E80">
              <w:rPr>
                <w:rFonts w:ascii="Times New Roman" w:hAnsi="Times New Roman"/>
                <w:sz w:val="20"/>
                <w:szCs w:val="20"/>
              </w:rPr>
              <w:t>Source : INSAE 2013</w:t>
            </w:r>
          </w:p>
        </w:tc>
      </w:tr>
    </w:tbl>
    <w:p w:rsidR="00E6625F" w:rsidRPr="00B94B57" w:rsidRDefault="00E6625F" w:rsidP="00E6625F">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r w:rsidRPr="00B94B57">
        <w:rPr>
          <w:rFonts w:ascii="Times New Roman" w:hAnsi="Times New Roman"/>
          <w:sz w:val="24"/>
          <w:szCs w:val="24"/>
        </w:rPr>
        <w:t xml:space="preserve">D’une part, la croissance a été trop lente pour assurer une réduction sensible et durable de la pauvreté, et d’autre part elle ne semble pas avoir véritablement contribué à réduire l’emprise de la pauvreté. Les récents chocs extérieurs ont créé des difficultés supplémentaires. </w:t>
      </w:r>
      <w:r>
        <w:rPr>
          <w:rFonts w:ascii="Times New Roman" w:hAnsi="Times New Roman"/>
          <w:sz w:val="24"/>
          <w:szCs w:val="24"/>
        </w:rPr>
        <w:t xml:space="preserve">Les défis majeurs sont donc d’assurer </w:t>
      </w:r>
      <w:r w:rsidRPr="0061779B">
        <w:rPr>
          <w:rFonts w:ascii="Times New Roman" w:hAnsi="Times New Roman"/>
          <w:sz w:val="24"/>
          <w:szCs w:val="24"/>
        </w:rPr>
        <w:t xml:space="preserve">une croissance beaucoup plus rapide et plus stable, et renforcer les liens entre </w:t>
      </w:r>
      <w:r>
        <w:rPr>
          <w:rFonts w:ascii="Times New Roman" w:hAnsi="Times New Roman"/>
          <w:sz w:val="24"/>
          <w:szCs w:val="24"/>
        </w:rPr>
        <w:t xml:space="preserve">la </w:t>
      </w:r>
      <w:r w:rsidRPr="0061779B">
        <w:rPr>
          <w:rFonts w:ascii="Times New Roman" w:hAnsi="Times New Roman"/>
          <w:sz w:val="24"/>
          <w:szCs w:val="24"/>
        </w:rPr>
        <w:t xml:space="preserve">croissance et </w:t>
      </w:r>
      <w:r>
        <w:rPr>
          <w:rFonts w:ascii="Times New Roman" w:hAnsi="Times New Roman"/>
          <w:sz w:val="24"/>
          <w:szCs w:val="24"/>
        </w:rPr>
        <w:t xml:space="preserve">le </w:t>
      </w:r>
      <w:r w:rsidRPr="0061779B">
        <w:rPr>
          <w:rFonts w:ascii="Times New Roman" w:hAnsi="Times New Roman"/>
          <w:sz w:val="24"/>
          <w:szCs w:val="24"/>
        </w:rPr>
        <w:t>recul de la pauvreté</w:t>
      </w:r>
      <w:r>
        <w:rPr>
          <w:rFonts w:ascii="Times New Roman" w:hAnsi="Times New Roman"/>
          <w:sz w:val="24"/>
          <w:szCs w:val="24"/>
        </w:rPr>
        <w:t xml:space="preserve">. </w:t>
      </w:r>
    </w:p>
    <w:p w:rsidR="007F1584" w:rsidRPr="0061779B" w:rsidRDefault="007F1584" w:rsidP="007F1584">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r w:rsidRPr="0061779B">
        <w:rPr>
          <w:rFonts w:ascii="Times New Roman" w:hAnsi="Times New Roman"/>
          <w:sz w:val="24"/>
          <w:szCs w:val="24"/>
        </w:rPr>
        <w:t>Ce rapport apporte un éclairage sur l'évolution de la pauvreté</w:t>
      </w:r>
      <w:r>
        <w:rPr>
          <w:rFonts w:ascii="Times New Roman" w:hAnsi="Times New Roman"/>
          <w:sz w:val="24"/>
          <w:szCs w:val="24"/>
        </w:rPr>
        <w:t>,  les</w:t>
      </w:r>
      <w:r w:rsidRPr="0061779B">
        <w:rPr>
          <w:rFonts w:ascii="Times New Roman" w:hAnsi="Times New Roman"/>
          <w:sz w:val="24"/>
          <w:szCs w:val="24"/>
        </w:rPr>
        <w:t xml:space="preserve"> mécanismes de corrélation entre croissance et réduction de la pauvreté, les liens entre les services assurés par l’État et l’impact des dépenses publiques sur les mesures de lutte contre la pauvreté. Tout d’abord, il </w:t>
      </w:r>
      <w:r>
        <w:rPr>
          <w:rFonts w:ascii="Times New Roman" w:hAnsi="Times New Roman"/>
          <w:sz w:val="24"/>
          <w:szCs w:val="24"/>
        </w:rPr>
        <w:t xml:space="preserve">permet </w:t>
      </w:r>
      <w:r w:rsidRPr="0061779B">
        <w:rPr>
          <w:rFonts w:ascii="Times New Roman" w:hAnsi="Times New Roman"/>
          <w:sz w:val="24"/>
          <w:szCs w:val="24"/>
        </w:rPr>
        <w:t>de bien comprendre les caractéristiques et la dynamique de la pauvreté au Bénin pour se faire une idée plus claire de la situation selon les régions en procédant à une analyse ventilée par région, par secteur, par sexe et par groupe démographique.</w:t>
      </w:r>
      <w:r>
        <w:rPr>
          <w:rFonts w:ascii="Times New Roman" w:hAnsi="Times New Roman"/>
          <w:sz w:val="24"/>
          <w:szCs w:val="24"/>
        </w:rPr>
        <w:t xml:space="preserve"> Il en </w:t>
      </w:r>
      <w:r w:rsidR="0065531C">
        <w:rPr>
          <w:rFonts w:ascii="Times New Roman" w:hAnsi="Times New Roman"/>
          <w:sz w:val="24"/>
          <w:szCs w:val="24"/>
        </w:rPr>
        <w:t xml:space="preserve">est </w:t>
      </w:r>
      <w:r>
        <w:rPr>
          <w:rFonts w:ascii="Times New Roman" w:hAnsi="Times New Roman"/>
          <w:sz w:val="24"/>
          <w:szCs w:val="24"/>
        </w:rPr>
        <w:t xml:space="preserve">de même des </w:t>
      </w:r>
      <w:r w:rsidRPr="0061779B">
        <w:rPr>
          <w:rFonts w:ascii="Times New Roman" w:hAnsi="Times New Roman"/>
          <w:sz w:val="24"/>
          <w:szCs w:val="24"/>
        </w:rPr>
        <w:t xml:space="preserve"> chocs survenus au cours des dernières années</w:t>
      </w:r>
      <w:r>
        <w:rPr>
          <w:rFonts w:ascii="Times New Roman" w:hAnsi="Times New Roman"/>
          <w:sz w:val="24"/>
          <w:szCs w:val="24"/>
        </w:rPr>
        <w:t xml:space="preserve"> et des stratégies adopté</w:t>
      </w:r>
      <w:r w:rsidR="0065531C">
        <w:rPr>
          <w:rFonts w:ascii="Times New Roman" w:hAnsi="Times New Roman"/>
          <w:sz w:val="24"/>
          <w:szCs w:val="24"/>
        </w:rPr>
        <w:t>e</w:t>
      </w:r>
      <w:r>
        <w:rPr>
          <w:rFonts w:ascii="Times New Roman" w:hAnsi="Times New Roman"/>
          <w:sz w:val="24"/>
          <w:szCs w:val="24"/>
        </w:rPr>
        <w:t>s par les ménages pour les contrer.</w:t>
      </w:r>
      <w:r w:rsidRPr="0061779B">
        <w:rPr>
          <w:rFonts w:ascii="Times New Roman" w:hAnsi="Times New Roman"/>
          <w:sz w:val="24"/>
          <w:szCs w:val="24"/>
        </w:rPr>
        <w:t xml:space="preserve"> Ensuite, </w:t>
      </w:r>
      <w:r>
        <w:rPr>
          <w:rFonts w:ascii="Times New Roman" w:hAnsi="Times New Roman"/>
          <w:sz w:val="24"/>
          <w:szCs w:val="24"/>
        </w:rPr>
        <w:t xml:space="preserve">il permet de </w:t>
      </w:r>
      <w:r w:rsidRPr="0061779B">
        <w:rPr>
          <w:rFonts w:ascii="Times New Roman" w:hAnsi="Times New Roman"/>
          <w:sz w:val="24"/>
          <w:szCs w:val="24"/>
        </w:rPr>
        <w:t xml:space="preserve">se faire une meilleure idée des mécanismes de corrélation entre </w:t>
      </w:r>
      <w:r>
        <w:rPr>
          <w:rFonts w:ascii="Times New Roman" w:hAnsi="Times New Roman"/>
          <w:sz w:val="24"/>
          <w:szCs w:val="24"/>
        </w:rPr>
        <w:t xml:space="preserve">la </w:t>
      </w:r>
      <w:r w:rsidRPr="0061779B">
        <w:rPr>
          <w:rFonts w:ascii="Times New Roman" w:hAnsi="Times New Roman"/>
          <w:sz w:val="24"/>
          <w:szCs w:val="24"/>
        </w:rPr>
        <w:t xml:space="preserve">croissance et </w:t>
      </w:r>
      <w:r>
        <w:rPr>
          <w:rFonts w:ascii="Times New Roman" w:hAnsi="Times New Roman"/>
          <w:sz w:val="24"/>
          <w:szCs w:val="24"/>
        </w:rPr>
        <w:t xml:space="preserve">la </w:t>
      </w:r>
      <w:r w:rsidRPr="0061779B">
        <w:rPr>
          <w:rFonts w:ascii="Times New Roman" w:hAnsi="Times New Roman"/>
          <w:sz w:val="24"/>
          <w:szCs w:val="24"/>
        </w:rPr>
        <w:t>réduction de la pauvreté</w:t>
      </w:r>
      <w:r>
        <w:rPr>
          <w:rFonts w:ascii="Times New Roman" w:hAnsi="Times New Roman"/>
          <w:sz w:val="24"/>
          <w:szCs w:val="24"/>
        </w:rPr>
        <w:t xml:space="preserve">, </w:t>
      </w:r>
      <w:r w:rsidRPr="0061779B">
        <w:rPr>
          <w:rFonts w:ascii="Times New Roman" w:hAnsi="Times New Roman"/>
          <w:sz w:val="24"/>
          <w:szCs w:val="24"/>
        </w:rPr>
        <w:t>vu que les progrès économiques enregistrés ne se sont pas traduits par un recul de la pauvre</w:t>
      </w:r>
      <w:r>
        <w:rPr>
          <w:rFonts w:ascii="Times New Roman" w:hAnsi="Times New Roman"/>
          <w:sz w:val="24"/>
          <w:szCs w:val="24"/>
        </w:rPr>
        <w:t>té. La question qui se pose est de savoir p</w:t>
      </w:r>
      <w:r w:rsidRPr="0061779B">
        <w:rPr>
          <w:rFonts w:ascii="Times New Roman" w:hAnsi="Times New Roman"/>
          <w:sz w:val="24"/>
          <w:szCs w:val="24"/>
        </w:rPr>
        <w:t xml:space="preserve">ourquoi la croissance n’a-t-elle pas été plus favorable aux pauvres ? </w:t>
      </w:r>
      <w:r>
        <w:rPr>
          <w:rFonts w:ascii="Times New Roman" w:hAnsi="Times New Roman"/>
          <w:sz w:val="24"/>
          <w:szCs w:val="24"/>
        </w:rPr>
        <w:t xml:space="preserve">Enfin, il offre la possibilité d’examiner les </w:t>
      </w:r>
      <w:r w:rsidRPr="0061779B">
        <w:rPr>
          <w:rFonts w:ascii="Times New Roman" w:hAnsi="Times New Roman"/>
          <w:sz w:val="24"/>
          <w:szCs w:val="24"/>
        </w:rPr>
        <w:t xml:space="preserve">liens entre les services assurés par l’État et l’impact des dépenses publiques sur les mesures de lutte contre la pauvreté. Les dépenses publiques sont-elles un moyen de lutte efficace contre la pauvreté ? Comment pourraient-elles mieux répondre aux besoins des pauvres ? </w:t>
      </w:r>
    </w:p>
    <w:p w:rsidR="007F1584" w:rsidRPr="0061779B" w:rsidRDefault="007F1584" w:rsidP="00CD1314">
      <w:pPr>
        <w:spacing w:line="240" w:lineRule="auto"/>
        <w:rPr>
          <w:rFonts w:ascii="Times New Roman" w:hAnsi="Times New Roman"/>
          <w:sz w:val="24"/>
          <w:szCs w:val="24"/>
        </w:rPr>
      </w:pPr>
    </w:p>
    <w:p w:rsidR="007F1584" w:rsidRPr="00670743" w:rsidRDefault="007F1584" w:rsidP="00670743">
      <w:pPr>
        <w:pStyle w:val="Titre2"/>
        <w:spacing w:before="0" w:line="276" w:lineRule="auto"/>
        <w:rPr>
          <w:rFonts w:ascii="Times New Roman" w:hAnsi="Times New Roman" w:cs="Times New Roman"/>
          <w:i w:val="0"/>
          <w:color w:val="31849B" w:themeColor="accent5" w:themeShade="BF"/>
        </w:rPr>
      </w:pPr>
      <w:bookmarkStart w:id="7" w:name="_Toc382322899"/>
      <w:r w:rsidRPr="00670743">
        <w:rPr>
          <w:rFonts w:ascii="Times New Roman" w:hAnsi="Times New Roman" w:cs="Times New Roman"/>
          <w:i w:val="0"/>
          <w:color w:val="31849B" w:themeColor="accent5" w:themeShade="BF"/>
        </w:rPr>
        <w:t>Evolution de la pauvreté</w:t>
      </w:r>
      <w:bookmarkEnd w:id="7"/>
    </w:p>
    <w:p w:rsidR="00CD1314" w:rsidRPr="00CD1314" w:rsidRDefault="00CD1314" w:rsidP="00CD1314">
      <w:pPr>
        <w:spacing w:line="276" w:lineRule="auto"/>
        <w:rPr>
          <w:sz w:val="12"/>
          <w:szCs w:val="12"/>
        </w:rPr>
      </w:pPr>
    </w:p>
    <w:p w:rsidR="007F1584" w:rsidRPr="0012724F" w:rsidRDefault="007F1584" w:rsidP="007F1584">
      <w:pPr>
        <w:spacing w:line="276" w:lineRule="auto"/>
        <w:rPr>
          <w:rFonts w:ascii="Times New Roman" w:eastAsia="Arial Unicode MS" w:hAnsi="Times New Roman"/>
          <w:sz w:val="24"/>
          <w:szCs w:val="24"/>
        </w:rPr>
      </w:pPr>
      <w:r w:rsidRPr="0012724F">
        <w:rPr>
          <w:rFonts w:ascii="Times New Roman" w:hAnsi="Times New Roman"/>
          <w:b/>
          <w:sz w:val="24"/>
          <w:szCs w:val="24"/>
        </w:rPr>
        <w:t xml:space="preserve">Le rapport note </w:t>
      </w:r>
      <w:r>
        <w:rPr>
          <w:rFonts w:ascii="Times New Roman" w:hAnsi="Times New Roman"/>
          <w:b/>
          <w:sz w:val="24"/>
          <w:szCs w:val="24"/>
        </w:rPr>
        <w:t>une amélioration des conditions d’existence des ménages pauvres au Bénin entre 2006 et 2011.</w:t>
      </w:r>
      <w:r w:rsidR="005E5426">
        <w:rPr>
          <w:rFonts w:ascii="Times New Roman" w:hAnsi="Times New Roman"/>
          <w:b/>
          <w:sz w:val="24"/>
          <w:szCs w:val="24"/>
        </w:rPr>
        <w:t xml:space="preserve"> </w:t>
      </w:r>
      <w:r w:rsidRPr="0012724F">
        <w:rPr>
          <w:rFonts w:ascii="Times New Roman" w:hAnsi="Times New Roman"/>
          <w:sz w:val="24"/>
          <w:szCs w:val="24"/>
        </w:rPr>
        <w:t>En effet,</w:t>
      </w:r>
      <w:r w:rsidR="004C5CB4">
        <w:rPr>
          <w:rFonts w:ascii="Times New Roman" w:hAnsi="Times New Roman"/>
          <w:sz w:val="24"/>
          <w:szCs w:val="24"/>
        </w:rPr>
        <w:t xml:space="preserve"> </w:t>
      </w:r>
      <w:r w:rsidRPr="0012724F">
        <w:rPr>
          <w:rFonts w:ascii="Times New Roman" w:hAnsi="Times New Roman"/>
          <w:sz w:val="24"/>
          <w:szCs w:val="24"/>
        </w:rPr>
        <w:t>c</w:t>
      </w:r>
      <w:r w:rsidRPr="0012724F">
        <w:rPr>
          <w:rFonts w:ascii="Times New Roman" w:eastAsia="Arial Unicode MS" w:hAnsi="Times New Roman"/>
          <w:sz w:val="24"/>
          <w:szCs w:val="24"/>
        </w:rPr>
        <w:t>ontrairement</w:t>
      </w:r>
      <w:r w:rsidR="00137B7E">
        <w:rPr>
          <w:rFonts w:ascii="Times New Roman" w:eastAsia="Arial Unicode MS" w:hAnsi="Times New Roman"/>
          <w:sz w:val="24"/>
          <w:szCs w:val="24"/>
        </w:rPr>
        <w:t xml:space="preserve"> à</w:t>
      </w:r>
      <w:r w:rsidRPr="0012724F">
        <w:rPr>
          <w:rFonts w:ascii="Times New Roman" w:eastAsia="Arial Unicode MS" w:hAnsi="Times New Roman"/>
          <w:sz w:val="24"/>
          <w:szCs w:val="24"/>
        </w:rPr>
        <w:t xml:space="preserve"> la pauvreté monétaire qui a connu une évolution erratique avec encore un niveau relativement élevé, la pauvreté non monétaire</w:t>
      </w:r>
      <w:r>
        <w:rPr>
          <w:rStyle w:val="Appelnotedebasdep"/>
          <w:rFonts w:ascii="Times New Roman" w:eastAsia="Arial Unicode MS" w:hAnsi="Times New Roman"/>
          <w:sz w:val="24"/>
          <w:szCs w:val="24"/>
        </w:rPr>
        <w:footnoteReference w:id="1"/>
      </w:r>
      <w:r w:rsidRPr="0012724F">
        <w:rPr>
          <w:rFonts w:ascii="Times New Roman" w:eastAsia="Arial Unicode MS" w:hAnsi="Times New Roman"/>
          <w:sz w:val="24"/>
          <w:szCs w:val="24"/>
        </w:rPr>
        <w:t xml:space="preserve"> focalisée sur les conditions d’existence a </w:t>
      </w:r>
      <w:r w:rsidRPr="0012724F">
        <w:rPr>
          <w:rFonts w:ascii="Times New Roman" w:hAnsi="Times New Roman"/>
          <w:sz w:val="24"/>
          <w:szCs w:val="24"/>
        </w:rPr>
        <w:t>connu</w:t>
      </w:r>
      <w:r w:rsidRPr="0012724F">
        <w:rPr>
          <w:rFonts w:ascii="Times New Roman" w:eastAsia="Arial Unicode MS" w:hAnsi="Times New Roman"/>
          <w:sz w:val="24"/>
          <w:szCs w:val="24"/>
        </w:rPr>
        <w:t xml:space="preserve"> une tendance à la baisse continue et conséquente depuis 2006. </w:t>
      </w:r>
      <w:r>
        <w:rPr>
          <w:rFonts w:ascii="Times New Roman" w:eastAsia="Arial Unicode MS" w:hAnsi="Times New Roman"/>
          <w:sz w:val="24"/>
          <w:szCs w:val="24"/>
        </w:rPr>
        <w:t>A</w:t>
      </w:r>
      <w:r w:rsidRPr="0012724F">
        <w:rPr>
          <w:rFonts w:ascii="Times New Roman" w:eastAsia="Arial Unicode MS" w:hAnsi="Times New Roman"/>
          <w:sz w:val="24"/>
          <w:szCs w:val="24"/>
        </w:rPr>
        <w:t xml:space="preserve">près avoir enregistré une baisse </w:t>
      </w:r>
      <w:r>
        <w:rPr>
          <w:rFonts w:ascii="Times New Roman" w:eastAsia="Arial Unicode MS" w:hAnsi="Times New Roman"/>
          <w:sz w:val="24"/>
          <w:szCs w:val="24"/>
        </w:rPr>
        <w:t xml:space="preserve">de </w:t>
      </w:r>
      <w:r w:rsidRPr="0012724F">
        <w:rPr>
          <w:rFonts w:ascii="Times New Roman" w:eastAsia="Arial Unicode MS" w:hAnsi="Times New Roman"/>
          <w:sz w:val="24"/>
          <w:szCs w:val="24"/>
        </w:rPr>
        <w:t>2,3 point</w:t>
      </w:r>
      <w:r>
        <w:rPr>
          <w:rFonts w:ascii="Times New Roman" w:eastAsia="Arial Unicode MS" w:hAnsi="Times New Roman"/>
          <w:sz w:val="24"/>
          <w:szCs w:val="24"/>
        </w:rPr>
        <w:t>s</w:t>
      </w:r>
      <w:r w:rsidRPr="0012724F">
        <w:rPr>
          <w:rFonts w:ascii="Times New Roman" w:eastAsia="Arial Unicode MS" w:hAnsi="Times New Roman"/>
          <w:sz w:val="24"/>
          <w:szCs w:val="24"/>
        </w:rPr>
        <w:t xml:space="preserve"> de pourcentage entre 2006 et 2009, </w:t>
      </w:r>
      <w:r>
        <w:rPr>
          <w:rFonts w:ascii="Times New Roman" w:eastAsia="Arial Unicode MS" w:hAnsi="Times New Roman"/>
          <w:sz w:val="24"/>
          <w:szCs w:val="24"/>
        </w:rPr>
        <w:t>l</w:t>
      </w:r>
      <w:r w:rsidRPr="0012724F">
        <w:rPr>
          <w:rFonts w:ascii="Times New Roman" w:eastAsia="Arial Unicode MS" w:hAnsi="Times New Roman"/>
          <w:sz w:val="24"/>
          <w:szCs w:val="24"/>
        </w:rPr>
        <w:t>’incidence de la pauvreté monétaire a augmenté de 1 point de pourcentage entre 2009 et 2011. Il s’est établi à 36,2% en 2011 contre 35,2% en 2009 et 37,5 en 2006.  Quant à la pauvreté non monétaire</w:t>
      </w:r>
      <w:r>
        <w:rPr>
          <w:rFonts w:ascii="Times New Roman" w:eastAsia="Arial Unicode MS" w:hAnsi="Times New Roman"/>
          <w:sz w:val="24"/>
          <w:szCs w:val="24"/>
        </w:rPr>
        <w:t xml:space="preserve"> axée sur les conditions d’existence</w:t>
      </w:r>
      <w:r w:rsidRPr="0012724F">
        <w:rPr>
          <w:rFonts w:ascii="Times New Roman" w:eastAsia="Arial Unicode MS" w:hAnsi="Times New Roman"/>
          <w:sz w:val="24"/>
          <w:szCs w:val="24"/>
        </w:rPr>
        <w:t xml:space="preserve">, elle a touché 29,5% des individus en 2011 contre 44,1% en 2006 soit une baisse de 14,6 points de pourcentage montrant ainsi l’amélioration des conditions de vie des ménages et par la même occasion, l’effort du </w:t>
      </w:r>
      <w:r w:rsidR="0065531C">
        <w:rPr>
          <w:rFonts w:ascii="Times New Roman" w:eastAsia="Arial Unicode MS" w:hAnsi="Times New Roman"/>
          <w:sz w:val="24"/>
          <w:szCs w:val="24"/>
        </w:rPr>
        <w:t>G</w:t>
      </w:r>
      <w:r w:rsidR="0065531C" w:rsidRPr="0012724F">
        <w:rPr>
          <w:rFonts w:ascii="Times New Roman" w:eastAsia="Arial Unicode MS" w:hAnsi="Times New Roman"/>
          <w:sz w:val="24"/>
          <w:szCs w:val="24"/>
        </w:rPr>
        <w:t xml:space="preserve">ouvernement </w:t>
      </w:r>
      <w:r w:rsidRPr="0012724F">
        <w:rPr>
          <w:rFonts w:ascii="Times New Roman" w:eastAsia="Arial Unicode MS" w:hAnsi="Times New Roman"/>
          <w:sz w:val="24"/>
          <w:szCs w:val="24"/>
        </w:rPr>
        <w:t>dans l’amélioration de l’accessibilité aux infrastructures de base (eau, santé et énergie électrique).</w:t>
      </w:r>
      <w:r w:rsidRPr="0012724F">
        <w:rPr>
          <w:rFonts w:ascii="Times New Roman" w:eastAsia="Arial Unicode MS" w:hAnsi="Times New Roman"/>
          <w:b/>
          <w:sz w:val="24"/>
          <w:szCs w:val="24"/>
        </w:rPr>
        <w:t> </w:t>
      </w:r>
    </w:p>
    <w:p w:rsidR="007F1584" w:rsidRPr="00B2081A" w:rsidRDefault="007F1584" w:rsidP="007F1584">
      <w:pPr>
        <w:spacing w:line="276" w:lineRule="auto"/>
        <w:rPr>
          <w:rFonts w:ascii="Times New Roman" w:eastAsia="Arial Unicode MS" w:hAnsi="Times New Roman"/>
          <w:sz w:val="12"/>
          <w:szCs w:val="12"/>
        </w:rPr>
      </w:pPr>
    </w:p>
    <w:p w:rsidR="007F1584" w:rsidRDefault="007F1584" w:rsidP="007F1584">
      <w:pPr>
        <w:spacing w:line="276" w:lineRule="auto"/>
        <w:rPr>
          <w:rFonts w:ascii="Times New Roman" w:eastAsia="Arial Unicode MS" w:hAnsi="Times New Roman"/>
          <w:sz w:val="24"/>
          <w:szCs w:val="24"/>
        </w:rPr>
      </w:pPr>
      <w:r w:rsidRPr="00B2081A">
        <w:rPr>
          <w:rFonts w:ascii="Times New Roman" w:eastAsia="Arial Unicode MS" w:hAnsi="Times New Roman"/>
          <w:sz w:val="24"/>
          <w:szCs w:val="24"/>
        </w:rPr>
        <w:t xml:space="preserve">La pauvreté monétaire est plus répandue et prononcée en milieu rural. </w:t>
      </w:r>
      <w:r w:rsidR="008A4E48" w:rsidRPr="00B2081A">
        <w:rPr>
          <w:rFonts w:ascii="Times New Roman" w:eastAsia="Arial Unicode MS" w:hAnsi="Times New Roman"/>
          <w:sz w:val="24"/>
          <w:szCs w:val="24"/>
        </w:rPr>
        <w:t xml:space="preserve">Il en est de même de la pauvreté </w:t>
      </w:r>
      <w:r w:rsidRPr="00B2081A">
        <w:rPr>
          <w:rFonts w:ascii="Times New Roman" w:eastAsia="Arial Unicode MS" w:hAnsi="Times New Roman"/>
          <w:sz w:val="24"/>
          <w:szCs w:val="24"/>
        </w:rPr>
        <w:t>non monétaire.</w:t>
      </w:r>
      <w:r w:rsidRPr="00E46EC1">
        <w:rPr>
          <w:rFonts w:ascii="Times New Roman" w:eastAsia="Arial Unicode MS" w:hAnsi="Times New Roman"/>
          <w:sz w:val="24"/>
          <w:szCs w:val="24"/>
        </w:rPr>
        <w:t xml:space="preserve"> Au niveau régional, l’existence de fortes disparités est encore persistante</w:t>
      </w:r>
      <w:r>
        <w:rPr>
          <w:rFonts w:ascii="Times New Roman" w:eastAsia="Arial Unicode MS" w:hAnsi="Times New Roman"/>
          <w:sz w:val="24"/>
          <w:szCs w:val="24"/>
        </w:rPr>
        <w:t xml:space="preserve"> </w:t>
      </w:r>
      <w:r w:rsidR="0065531C">
        <w:rPr>
          <w:rFonts w:ascii="Times New Roman" w:eastAsia="Arial Unicode MS" w:hAnsi="Times New Roman"/>
          <w:sz w:val="24"/>
          <w:szCs w:val="24"/>
        </w:rPr>
        <w:t xml:space="preserve">en </w:t>
      </w:r>
      <w:r>
        <w:rPr>
          <w:rFonts w:ascii="Times New Roman" w:eastAsia="Arial Unicode MS" w:hAnsi="Times New Roman"/>
          <w:sz w:val="24"/>
          <w:szCs w:val="24"/>
        </w:rPr>
        <w:t>ce qui concerne les deux dimensions de la pauvreté</w:t>
      </w:r>
      <w:r w:rsidRPr="00E46EC1">
        <w:rPr>
          <w:rFonts w:ascii="Times New Roman" w:eastAsia="Arial Unicode MS" w:hAnsi="Times New Roman"/>
          <w:sz w:val="24"/>
          <w:szCs w:val="24"/>
        </w:rPr>
        <w:t>.</w:t>
      </w:r>
      <w:r>
        <w:rPr>
          <w:rFonts w:ascii="Times New Roman" w:eastAsia="Arial Unicode MS" w:hAnsi="Times New Roman"/>
          <w:sz w:val="24"/>
          <w:szCs w:val="24"/>
        </w:rPr>
        <w:t xml:space="preserve"> En outre, </w:t>
      </w:r>
      <w:r w:rsidRPr="00F67C02">
        <w:rPr>
          <w:rFonts w:ascii="Times New Roman" w:eastAsia="Arial Unicode MS" w:hAnsi="Times New Roman"/>
          <w:sz w:val="24"/>
          <w:szCs w:val="24"/>
        </w:rPr>
        <w:t xml:space="preserve">les résultats </w:t>
      </w:r>
      <w:r w:rsidRPr="00F67C02">
        <w:rPr>
          <w:rFonts w:ascii="Times New Roman" w:hAnsi="Times New Roman"/>
          <w:sz w:val="24"/>
        </w:rPr>
        <w:t xml:space="preserve">ont </w:t>
      </w:r>
      <w:r w:rsidRPr="00F67C02">
        <w:rPr>
          <w:rFonts w:ascii="Times New Roman" w:hAnsi="Times New Roman"/>
          <w:sz w:val="24"/>
          <w:szCs w:val="24"/>
        </w:rPr>
        <w:t xml:space="preserve">réaffirmé la forte corrélation de la pauvreté avec les différents attributs de la population tels que les formes d’emplois, les statuts socioprofessionnels, la composition du ménage, le niveau d’instruction, le sexe du chef de ménage. </w:t>
      </w:r>
      <w:r>
        <w:rPr>
          <w:rFonts w:ascii="Times New Roman" w:hAnsi="Times New Roman"/>
          <w:sz w:val="24"/>
          <w:szCs w:val="24"/>
        </w:rPr>
        <w:t xml:space="preserve">S’agissant en particulier du sexe et de la branche d’activité du chef de ménage, il ressort que </w:t>
      </w:r>
      <w:r w:rsidRPr="002E276C">
        <w:rPr>
          <w:rFonts w:ascii="Times New Roman" w:eastAsia="Arial Unicode MS" w:hAnsi="Times New Roman"/>
          <w:sz w:val="24"/>
          <w:szCs w:val="24"/>
        </w:rPr>
        <w:t>les ménages dirigés par les femmes semblent moins connaître la pauvreté monétaire</w:t>
      </w:r>
      <w:r w:rsidR="004A5FEC">
        <w:rPr>
          <w:rStyle w:val="Appelnotedebasdep"/>
          <w:rFonts w:ascii="Times New Roman" w:eastAsia="Arial Unicode MS" w:hAnsi="Times New Roman"/>
          <w:sz w:val="24"/>
          <w:szCs w:val="24"/>
        </w:rPr>
        <w:footnoteReference w:id="2"/>
      </w:r>
      <w:r w:rsidRPr="002E276C">
        <w:rPr>
          <w:rFonts w:ascii="Times New Roman" w:eastAsia="Arial Unicode MS" w:hAnsi="Times New Roman"/>
          <w:sz w:val="24"/>
          <w:szCs w:val="24"/>
        </w:rPr>
        <w:t xml:space="preserve">. </w:t>
      </w:r>
      <w:r w:rsidRPr="00EE798C">
        <w:rPr>
          <w:rFonts w:ascii="Times New Roman" w:eastAsia="Arial Unicode MS" w:hAnsi="Times New Roman"/>
          <w:sz w:val="24"/>
          <w:szCs w:val="24"/>
        </w:rPr>
        <w:t>Ce</w:t>
      </w:r>
      <w:r>
        <w:rPr>
          <w:rFonts w:ascii="Times New Roman" w:eastAsia="Arial Unicode MS" w:hAnsi="Times New Roman"/>
          <w:sz w:val="24"/>
          <w:szCs w:val="24"/>
        </w:rPr>
        <w:t xml:space="preserve"> résultat </w:t>
      </w:r>
      <w:r w:rsidRPr="00EE798C">
        <w:rPr>
          <w:rFonts w:ascii="Times New Roman" w:eastAsia="Arial Unicode MS" w:hAnsi="Times New Roman"/>
          <w:sz w:val="24"/>
          <w:szCs w:val="24"/>
        </w:rPr>
        <w:t>pourrait être expliqué entre autres raisons, par le fait que les femmes chef de ménage se caractérisent généralement par leur autonomie économique suffisante</w:t>
      </w:r>
      <w:r>
        <w:rPr>
          <w:rFonts w:ascii="Times New Roman" w:eastAsia="Arial Unicode MS" w:hAnsi="Times New Roman"/>
          <w:sz w:val="24"/>
          <w:szCs w:val="24"/>
        </w:rPr>
        <w:t xml:space="preserve"> qui résulterait en partie de leur situation matrimoniale, de la taille du ménage et leurs secteurs d’activités</w:t>
      </w:r>
      <w:r w:rsidRPr="00EE798C">
        <w:rPr>
          <w:rFonts w:ascii="Times New Roman" w:eastAsia="Arial Unicode MS" w:hAnsi="Times New Roman"/>
          <w:sz w:val="24"/>
          <w:szCs w:val="24"/>
        </w:rPr>
        <w:t>.</w:t>
      </w:r>
      <w:r>
        <w:rPr>
          <w:rFonts w:ascii="Times New Roman" w:eastAsia="Arial Unicode MS" w:hAnsi="Times New Roman"/>
          <w:sz w:val="24"/>
          <w:szCs w:val="24"/>
        </w:rPr>
        <w:t xml:space="preserve"> En effet, pour 2011, par rapport à la situation matrimoniale, 38,9% des femmes chef de ménages sont soit des mariées, veuves (40,3%), divorcées ou séparées (18,08%) ou en union libre (3,76%). Le tableau ci-dessus semble montrer que les ménages dirigés par les veuves et celles qui sont marié</w:t>
      </w:r>
      <w:r w:rsidR="0065531C">
        <w:rPr>
          <w:rFonts w:ascii="Times New Roman" w:eastAsia="Arial Unicode MS" w:hAnsi="Times New Roman"/>
          <w:sz w:val="24"/>
          <w:szCs w:val="24"/>
        </w:rPr>
        <w:t>e</w:t>
      </w:r>
      <w:r>
        <w:rPr>
          <w:rFonts w:ascii="Times New Roman" w:eastAsia="Arial Unicode MS" w:hAnsi="Times New Roman"/>
          <w:sz w:val="24"/>
          <w:szCs w:val="24"/>
        </w:rPr>
        <w:t xml:space="preserve">s sont plus vulnérables à la pauvreté. Cette situation pourrait s’expliquer par le fait que la perte d’un membre économiquement actif peut conduire à bouleverser la situation financière du ménage qui risque de se retrouver en état de pauvreté. </w:t>
      </w:r>
    </w:p>
    <w:p w:rsidR="007F1584" w:rsidRDefault="007F1584" w:rsidP="007F1584">
      <w:pPr>
        <w:spacing w:line="276" w:lineRule="auto"/>
        <w:rPr>
          <w:rFonts w:ascii="Times New Roman" w:eastAsia="Arial Unicode MS" w:hAnsi="Times New Roman"/>
          <w:sz w:val="24"/>
          <w:szCs w:val="24"/>
        </w:rPr>
      </w:pPr>
    </w:p>
    <w:tbl>
      <w:tblPr>
        <w:tblStyle w:val="Grilledutableau"/>
        <w:tblW w:w="0" w:type="auto"/>
        <w:tblInd w:w="108" w:type="dxa"/>
        <w:tblLook w:val="04A0" w:firstRow="1" w:lastRow="0" w:firstColumn="1" w:lastColumn="0" w:noHBand="0" w:noVBand="1"/>
      </w:tblPr>
      <w:tblGrid>
        <w:gridCol w:w="9178"/>
      </w:tblGrid>
      <w:tr w:rsidR="00D67551" w:rsidRPr="0002446A" w:rsidTr="00D67551">
        <w:tc>
          <w:tcPr>
            <w:tcW w:w="9178" w:type="dxa"/>
            <w:tcBorders>
              <w:top w:val="nil"/>
              <w:left w:val="nil"/>
              <w:bottom w:val="double" w:sz="4" w:space="0" w:color="auto"/>
              <w:right w:val="nil"/>
            </w:tcBorders>
            <w:shd w:val="clear" w:color="auto" w:fill="92CDDC" w:themeFill="accent5" w:themeFillTint="99"/>
          </w:tcPr>
          <w:p w:rsidR="00D67551" w:rsidRPr="0002446A" w:rsidRDefault="00D67551" w:rsidP="00D60CFD">
            <w:pPr>
              <w:pStyle w:val="Lgende"/>
              <w:framePr w:wrap="around"/>
              <w:rPr>
                <w:rFonts w:eastAsia="Arial Unicode MS"/>
              </w:rPr>
            </w:pPr>
            <w:r w:rsidRPr="0002446A">
              <w:t xml:space="preserve">Tableau 0. </w:t>
            </w:r>
            <w:r w:rsidR="004F064D">
              <w:fldChar w:fldCharType="begin"/>
            </w:r>
            <w:r w:rsidR="004F064D">
              <w:instrText xml:space="preserve"> SEQ Tableau_0. \* ARABIC </w:instrText>
            </w:r>
            <w:r w:rsidR="004F064D">
              <w:fldChar w:fldCharType="separate"/>
            </w:r>
            <w:r w:rsidR="00AB1967">
              <w:rPr>
                <w:noProof/>
              </w:rPr>
              <w:t>1</w:t>
            </w:r>
            <w:r w:rsidR="004F064D">
              <w:rPr>
                <w:noProof/>
              </w:rPr>
              <w:fldChar w:fldCharType="end"/>
            </w:r>
            <w:r w:rsidR="00832112" w:rsidRPr="00832112">
              <w:rPr>
                <w:rFonts w:eastAsia="Arial Unicode MS"/>
              </w:rPr>
              <w:t xml:space="preserve"> : Répartition des ménages en pourcentage suivant la pauvreté monétaire selon le sexe et la situation matrimoniale</w:t>
            </w:r>
          </w:p>
        </w:tc>
      </w:tr>
    </w:tbl>
    <w:tbl>
      <w:tblPr>
        <w:tblStyle w:val="Grilledutableau"/>
        <w:tblW w:w="0" w:type="auto"/>
        <w:tblInd w:w="108" w:type="dxa"/>
        <w:tblLook w:val="04A0" w:firstRow="1" w:lastRow="0" w:firstColumn="1" w:lastColumn="0" w:noHBand="0" w:noVBand="1"/>
      </w:tblPr>
      <w:tblGrid>
        <w:gridCol w:w="2987"/>
        <w:gridCol w:w="3095"/>
        <w:gridCol w:w="3096"/>
      </w:tblGrid>
      <w:tr w:rsidR="007F1584" w:rsidRPr="00B00C17" w:rsidTr="00D67551">
        <w:tc>
          <w:tcPr>
            <w:tcW w:w="2987" w:type="dxa"/>
            <w:tcBorders>
              <w:top w:val="double" w:sz="4" w:space="0" w:color="auto"/>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rPr>
            </w:pPr>
          </w:p>
        </w:tc>
        <w:tc>
          <w:tcPr>
            <w:tcW w:w="6191" w:type="dxa"/>
            <w:gridSpan w:val="2"/>
            <w:tcBorders>
              <w:top w:val="double" w:sz="4" w:space="0" w:color="auto"/>
              <w:left w:val="nil"/>
              <w:bottom w:val="single" w:sz="4" w:space="0" w:color="000000"/>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Incidence de la pauvreté</w:t>
            </w:r>
          </w:p>
        </w:tc>
      </w:tr>
      <w:tr w:rsidR="007F1584" w:rsidRPr="00B00C17" w:rsidTr="00D67551">
        <w:tc>
          <w:tcPr>
            <w:tcW w:w="2987" w:type="dxa"/>
            <w:tcBorders>
              <w:top w:val="nil"/>
              <w:left w:val="nil"/>
              <w:bottom w:val="single" w:sz="4" w:space="0" w:color="000000"/>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p>
        </w:tc>
        <w:tc>
          <w:tcPr>
            <w:tcW w:w="3095" w:type="dxa"/>
            <w:tcBorders>
              <w:top w:val="single" w:sz="4" w:space="0" w:color="000000"/>
              <w:left w:val="nil"/>
              <w:bottom w:val="single" w:sz="4" w:space="0" w:color="000000"/>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Homme</w:t>
            </w:r>
          </w:p>
        </w:tc>
        <w:tc>
          <w:tcPr>
            <w:tcW w:w="3096" w:type="dxa"/>
            <w:tcBorders>
              <w:top w:val="single" w:sz="4" w:space="0" w:color="000000"/>
              <w:left w:val="nil"/>
              <w:bottom w:val="single" w:sz="4" w:space="0" w:color="000000"/>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Femme</w:t>
            </w:r>
          </w:p>
        </w:tc>
      </w:tr>
      <w:tr w:rsidR="007F1584" w:rsidRPr="00B00C17" w:rsidTr="00481686">
        <w:tc>
          <w:tcPr>
            <w:tcW w:w="2987" w:type="dxa"/>
            <w:tcBorders>
              <w:top w:val="single" w:sz="4" w:space="0" w:color="000000"/>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Marié</w:t>
            </w:r>
          </w:p>
        </w:tc>
        <w:tc>
          <w:tcPr>
            <w:tcW w:w="3095" w:type="dxa"/>
            <w:tcBorders>
              <w:top w:val="single" w:sz="4" w:space="0" w:color="000000"/>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39,06</w:t>
            </w:r>
          </w:p>
        </w:tc>
        <w:tc>
          <w:tcPr>
            <w:tcW w:w="3096" w:type="dxa"/>
            <w:tcBorders>
              <w:top w:val="single" w:sz="4" w:space="0" w:color="000000"/>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28,23</w:t>
            </w:r>
          </w:p>
        </w:tc>
      </w:tr>
      <w:tr w:rsidR="007F1584" w:rsidRPr="00B00C17" w:rsidTr="00481686">
        <w:tc>
          <w:tcPr>
            <w:tcW w:w="2987" w:type="dxa"/>
            <w:tcBorders>
              <w:top w:val="nil"/>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Divorcé-séparé</w:t>
            </w:r>
          </w:p>
        </w:tc>
        <w:tc>
          <w:tcPr>
            <w:tcW w:w="3095"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14,82</w:t>
            </w:r>
          </w:p>
        </w:tc>
        <w:tc>
          <w:tcPr>
            <w:tcW w:w="3096"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23,03</w:t>
            </w:r>
          </w:p>
        </w:tc>
      </w:tr>
      <w:tr w:rsidR="007F1584" w:rsidRPr="00B00C17" w:rsidTr="00481686">
        <w:tc>
          <w:tcPr>
            <w:tcW w:w="2987" w:type="dxa"/>
            <w:tcBorders>
              <w:top w:val="nil"/>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Veuf</w:t>
            </w:r>
          </w:p>
        </w:tc>
        <w:tc>
          <w:tcPr>
            <w:tcW w:w="3095"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21,44</w:t>
            </w:r>
          </w:p>
        </w:tc>
        <w:tc>
          <w:tcPr>
            <w:tcW w:w="3096"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30,07</w:t>
            </w:r>
          </w:p>
        </w:tc>
      </w:tr>
      <w:tr w:rsidR="007F1584" w:rsidRPr="00B00C17" w:rsidTr="00481686">
        <w:tc>
          <w:tcPr>
            <w:tcW w:w="2987" w:type="dxa"/>
            <w:tcBorders>
              <w:top w:val="nil"/>
              <w:left w:val="nil"/>
              <w:bottom w:val="single" w:sz="4" w:space="0" w:color="000000"/>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Jamaismarié</w:t>
            </w:r>
          </w:p>
        </w:tc>
        <w:tc>
          <w:tcPr>
            <w:tcW w:w="3095" w:type="dxa"/>
            <w:tcBorders>
              <w:top w:val="nil"/>
              <w:left w:val="nil"/>
              <w:bottom w:val="single" w:sz="4" w:space="0" w:color="000000"/>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11,66</w:t>
            </w:r>
          </w:p>
        </w:tc>
        <w:tc>
          <w:tcPr>
            <w:tcW w:w="3096" w:type="dxa"/>
            <w:tcBorders>
              <w:top w:val="nil"/>
              <w:left w:val="nil"/>
              <w:bottom w:val="single" w:sz="4" w:space="0" w:color="000000"/>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9,13</w:t>
            </w:r>
          </w:p>
        </w:tc>
      </w:tr>
      <w:tr w:rsidR="007F1584" w:rsidRPr="00481686" w:rsidTr="00481686">
        <w:tc>
          <w:tcPr>
            <w:tcW w:w="2987" w:type="dxa"/>
            <w:tcBorders>
              <w:top w:val="single" w:sz="4" w:space="0" w:color="000000"/>
              <w:left w:val="nil"/>
              <w:bottom w:val="double" w:sz="4" w:space="0" w:color="auto"/>
              <w:right w:val="nil"/>
            </w:tcBorders>
            <w:shd w:val="clear" w:color="auto" w:fill="DAEEF3" w:themeFill="accent5" w:themeFillTint="33"/>
          </w:tcPr>
          <w:p w:rsidR="007F1584" w:rsidRPr="00481686" w:rsidRDefault="007F1584" w:rsidP="00224ADE">
            <w:pPr>
              <w:spacing w:line="276" w:lineRule="auto"/>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Ensemble</w:t>
            </w:r>
          </w:p>
        </w:tc>
        <w:tc>
          <w:tcPr>
            <w:tcW w:w="3095" w:type="dxa"/>
            <w:tcBorders>
              <w:top w:val="single" w:sz="4" w:space="0" w:color="000000"/>
              <w:left w:val="nil"/>
              <w:bottom w:val="double" w:sz="4" w:space="0" w:color="auto"/>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38,0</w:t>
            </w:r>
          </w:p>
        </w:tc>
        <w:tc>
          <w:tcPr>
            <w:tcW w:w="3096" w:type="dxa"/>
            <w:tcBorders>
              <w:top w:val="single" w:sz="4" w:space="0" w:color="000000"/>
              <w:left w:val="nil"/>
              <w:bottom w:val="double" w:sz="4" w:space="0" w:color="auto"/>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27,6</w:t>
            </w:r>
          </w:p>
        </w:tc>
      </w:tr>
      <w:tr w:rsidR="00481686" w:rsidRPr="00B00C17" w:rsidTr="00481686">
        <w:tc>
          <w:tcPr>
            <w:tcW w:w="9178" w:type="dxa"/>
            <w:gridSpan w:val="3"/>
            <w:tcBorders>
              <w:top w:val="double" w:sz="4" w:space="0" w:color="auto"/>
              <w:left w:val="nil"/>
              <w:bottom w:val="nil"/>
              <w:right w:val="nil"/>
            </w:tcBorders>
          </w:tcPr>
          <w:p w:rsidR="00481686" w:rsidRPr="007C60BC" w:rsidRDefault="00481686" w:rsidP="00481686">
            <w:pPr>
              <w:spacing w:line="276" w:lineRule="auto"/>
              <w:jc w:val="left"/>
              <w:rPr>
                <w:rFonts w:ascii="Times New Roman" w:eastAsia="Arial Unicode MS" w:hAnsi="Times New Roman"/>
                <w:b/>
                <w:sz w:val="24"/>
                <w:szCs w:val="24"/>
                <w:lang w:val="en-US"/>
              </w:rPr>
            </w:pPr>
            <w:r>
              <w:rPr>
                <w:rFonts w:ascii="Times New Roman" w:eastAsia="Arial Unicode MS" w:hAnsi="Times New Roman"/>
                <w:sz w:val="24"/>
                <w:szCs w:val="24"/>
              </w:rPr>
              <w:t>Source : INSAE, EMICoV, 2011</w:t>
            </w:r>
          </w:p>
        </w:tc>
      </w:tr>
    </w:tbl>
    <w:p w:rsidR="007F1584" w:rsidRPr="00332215" w:rsidRDefault="007F1584" w:rsidP="007F1584">
      <w:pPr>
        <w:spacing w:after="200" w:line="276" w:lineRule="auto"/>
        <w:rPr>
          <w:rFonts w:ascii="Times New Roman" w:eastAsia="Arial Unicode MS" w:hAnsi="Times New Roman"/>
          <w:sz w:val="12"/>
          <w:szCs w:val="12"/>
        </w:rPr>
      </w:pPr>
    </w:p>
    <w:p w:rsidR="007F1584" w:rsidRDefault="000B14DA" w:rsidP="007F1584">
      <w:pPr>
        <w:spacing w:line="276" w:lineRule="auto"/>
        <w:rPr>
          <w:rFonts w:ascii="Times New Roman" w:eastAsia="Arial Unicode MS" w:hAnsi="Times New Roman"/>
          <w:sz w:val="24"/>
          <w:szCs w:val="24"/>
        </w:rPr>
      </w:pPr>
      <w:r>
        <w:rPr>
          <w:rFonts w:ascii="Times New Roman" w:eastAsia="Arial Unicode MS" w:hAnsi="Times New Roman"/>
          <w:sz w:val="24"/>
          <w:szCs w:val="24"/>
        </w:rPr>
        <w:t xml:space="preserve">Pour les femmes mariées, il peut s’agir par exemple de l’inactivité ou de l’absence du conjoint. </w:t>
      </w:r>
      <w:r w:rsidR="007F1584">
        <w:rPr>
          <w:rFonts w:ascii="Times New Roman" w:eastAsia="Arial Unicode MS" w:hAnsi="Times New Roman"/>
          <w:sz w:val="24"/>
          <w:szCs w:val="24"/>
        </w:rPr>
        <w:t xml:space="preserve">La taille de leur ménage </w:t>
      </w:r>
      <w:r w:rsidR="005E5426">
        <w:rPr>
          <w:rFonts w:ascii="Times New Roman" w:eastAsia="Arial Unicode MS" w:hAnsi="Times New Roman"/>
          <w:sz w:val="24"/>
          <w:szCs w:val="24"/>
        </w:rPr>
        <w:t xml:space="preserve">est </w:t>
      </w:r>
      <w:r w:rsidR="007F1584">
        <w:rPr>
          <w:rFonts w:ascii="Times New Roman" w:eastAsia="Arial Unicode MS" w:hAnsi="Times New Roman"/>
          <w:sz w:val="24"/>
          <w:szCs w:val="24"/>
        </w:rPr>
        <w:t xml:space="preserve">d’environ </w:t>
      </w:r>
      <w:r w:rsidR="005E5426">
        <w:rPr>
          <w:rFonts w:ascii="Times New Roman" w:eastAsia="Arial Unicode MS" w:hAnsi="Times New Roman"/>
          <w:sz w:val="24"/>
          <w:szCs w:val="24"/>
        </w:rPr>
        <w:t>la moitié</w:t>
      </w:r>
      <w:r w:rsidR="007F1584">
        <w:rPr>
          <w:rFonts w:ascii="Times New Roman" w:eastAsia="Arial Unicode MS" w:hAnsi="Times New Roman"/>
          <w:sz w:val="24"/>
          <w:szCs w:val="24"/>
        </w:rPr>
        <w:t xml:space="preserve"> de celle des ménages dirigés par les hommes</w:t>
      </w:r>
      <w:r w:rsidR="007F1584">
        <w:rPr>
          <w:rStyle w:val="Appelnotedebasdep"/>
          <w:rFonts w:ascii="Times New Roman" w:eastAsia="Arial Unicode MS" w:hAnsi="Times New Roman"/>
          <w:sz w:val="24"/>
          <w:szCs w:val="24"/>
        </w:rPr>
        <w:footnoteReference w:id="3"/>
      </w:r>
      <w:r w:rsidR="007F1584">
        <w:rPr>
          <w:rFonts w:ascii="Times New Roman" w:eastAsia="Arial Unicode MS" w:hAnsi="Times New Roman"/>
          <w:sz w:val="24"/>
          <w:szCs w:val="24"/>
        </w:rPr>
        <w:t>. Les résultats montrent que la composition du ménage constitue un facteur de vulnérabilité à la pauvreté aussi bien pour les ménages dirigés par les hommes que ceux dirigés par les femmes.</w:t>
      </w:r>
    </w:p>
    <w:p w:rsidR="007F1584" w:rsidRDefault="007F1584" w:rsidP="007F1584">
      <w:pPr>
        <w:spacing w:line="276" w:lineRule="auto"/>
        <w:rPr>
          <w:rFonts w:ascii="Times New Roman" w:eastAsia="Arial Unicode MS" w:hAnsi="Times New Roman"/>
          <w:sz w:val="24"/>
          <w:szCs w:val="24"/>
        </w:rPr>
      </w:pPr>
    </w:p>
    <w:tbl>
      <w:tblPr>
        <w:tblStyle w:val="Grilledutableau"/>
        <w:tblW w:w="0" w:type="auto"/>
        <w:tblInd w:w="108" w:type="dxa"/>
        <w:tblLook w:val="04A0" w:firstRow="1" w:lastRow="0" w:firstColumn="1" w:lastColumn="0" w:noHBand="0" w:noVBand="1"/>
      </w:tblPr>
      <w:tblGrid>
        <w:gridCol w:w="2987"/>
        <w:gridCol w:w="3095"/>
        <w:gridCol w:w="3096"/>
      </w:tblGrid>
      <w:tr w:rsidR="00D67551" w:rsidRPr="00B00C17" w:rsidTr="00D67551">
        <w:tc>
          <w:tcPr>
            <w:tcW w:w="9178" w:type="dxa"/>
            <w:gridSpan w:val="3"/>
            <w:tcBorders>
              <w:top w:val="nil"/>
              <w:left w:val="nil"/>
              <w:bottom w:val="double" w:sz="4" w:space="0" w:color="auto"/>
              <w:right w:val="nil"/>
            </w:tcBorders>
            <w:shd w:val="clear" w:color="auto" w:fill="92CDDC" w:themeFill="accent5" w:themeFillTint="99"/>
          </w:tcPr>
          <w:p w:rsidR="00D67551" w:rsidRPr="00D67551" w:rsidRDefault="00D67551" w:rsidP="00D67551">
            <w:pPr>
              <w:spacing w:line="276" w:lineRule="auto"/>
              <w:jc w:val="left"/>
              <w:rPr>
                <w:rFonts w:ascii="Times New Roman" w:eastAsia="Arial Unicode MS" w:hAnsi="Times New Roman"/>
                <w:b/>
                <w:sz w:val="24"/>
                <w:szCs w:val="24"/>
              </w:rPr>
            </w:pPr>
            <w:r w:rsidRPr="00D67551">
              <w:rPr>
                <w:rFonts w:ascii="Times New Roman" w:hAnsi="Times New Roman"/>
                <w:sz w:val="24"/>
                <w:szCs w:val="24"/>
              </w:rPr>
              <w:t xml:space="preserve">Tableau 0. </w:t>
            </w:r>
            <w:r w:rsidR="00182C97" w:rsidRPr="00D67551">
              <w:rPr>
                <w:rFonts w:ascii="Times New Roman" w:hAnsi="Times New Roman"/>
                <w:sz w:val="24"/>
                <w:szCs w:val="24"/>
              </w:rPr>
              <w:fldChar w:fldCharType="begin"/>
            </w:r>
            <w:r w:rsidRPr="00D67551">
              <w:rPr>
                <w:rFonts w:ascii="Times New Roman" w:hAnsi="Times New Roman"/>
                <w:sz w:val="24"/>
                <w:szCs w:val="24"/>
              </w:rPr>
              <w:instrText xml:space="preserve"> SEQ Tableau_0. \* ARABIC </w:instrText>
            </w:r>
            <w:r w:rsidR="00182C97" w:rsidRPr="00D67551">
              <w:rPr>
                <w:rFonts w:ascii="Times New Roman" w:hAnsi="Times New Roman"/>
                <w:sz w:val="24"/>
                <w:szCs w:val="24"/>
              </w:rPr>
              <w:fldChar w:fldCharType="separate"/>
            </w:r>
            <w:r w:rsidR="00AB1967">
              <w:rPr>
                <w:rFonts w:ascii="Times New Roman" w:hAnsi="Times New Roman"/>
                <w:noProof/>
                <w:sz w:val="24"/>
                <w:szCs w:val="24"/>
              </w:rPr>
              <w:t>2</w:t>
            </w:r>
            <w:r w:rsidR="00182C97" w:rsidRPr="00D67551">
              <w:rPr>
                <w:rFonts w:ascii="Times New Roman" w:hAnsi="Times New Roman"/>
                <w:sz w:val="24"/>
                <w:szCs w:val="24"/>
              </w:rPr>
              <w:fldChar w:fldCharType="end"/>
            </w:r>
            <w:r w:rsidRPr="00D67551">
              <w:rPr>
                <w:rFonts w:ascii="Times New Roman" w:eastAsia="Arial Unicode MS" w:hAnsi="Times New Roman"/>
                <w:sz w:val="24"/>
                <w:szCs w:val="24"/>
              </w:rPr>
              <w:t>: Répartition des ménages en pourcentage suivant la pauvreté monétaire selon le sexe et la taille du ménage</w:t>
            </w:r>
          </w:p>
        </w:tc>
      </w:tr>
      <w:tr w:rsidR="007F1584" w:rsidRPr="00B00C17" w:rsidTr="00D67551">
        <w:tc>
          <w:tcPr>
            <w:tcW w:w="2987" w:type="dxa"/>
            <w:tcBorders>
              <w:top w:val="double" w:sz="4" w:space="0" w:color="auto"/>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rPr>
            </w:pPr>
          </w:p>
        </w:tc>
        <w:tc>
          <w:tcPr>
            <w:tcW w:w="6191" w:type="dxa"/>
            <w:gridSpan w:val="2"/>
            <w:tcBorders>
              <w:top w:val="double" w:sz="4" w:space="0" w:color="auto"/>
              <w:left w:val="nil"/>
              <w:bottom w:val="single" w:sz="4" w:space="0" w:color="000000"/>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Incidence de la pauvreté</w:t>
            </w:r>
          </w:p>
        </w:tc>
      </w:tr>
      <w:tr w:rsidR="007F1584" w:rsidRPr="00B00C17" w:rsidTr="00D67551">
        <w:tc>
          <w:tcPr>
            <w:tcW w:w="2987" w:type="dxa"/>
            <w:tcBorders>
              <w:top w:val="nil"/>
              <w:left w:val="nil"/>
              <w:bottom w:val="single" w:sz="4" w:space="0" w:color="000000"/>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p>
        </w:tc>
        <w:tc>
          <w:tcPr>
            <w:tcW w:w="3095" w:type="dxa"/>
            <w:tcBorders>
              <w:top w:val="single" w:sz="4" w:space="0" w:color="000000"/>
              <w:left w:val="nil"/>
              <w:bottom w:val="single" w:sz="4" w:space="0" w:color="000000"/>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Homme</w:t>
            </w:r>
          </w:p>
        </w:tc>
        <w:tc>
          <w:tcPr>
            <w:tcW w:w="3096" w:type="dxa"/>
            <w:tcBorders>
              <w:top w:val="single" w:sz="4" w:space="0" w:color="000000"/>
              <w:left w:val="nil"/>
              <w:bottom w:val="single" w:sz="4" w:space="0" w:color="000000"/>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Femme</w:t>
            </w:r>
          </w:p>
        </w:tc>
      </w:tr>
      <w:tr w:rsidR="007F1584" w:rsidRPr="00B00C17" w:rsidTr="00481686">
        <w:tc>
          <w:tcPr>
            <w:tcW w:w="2987" w:type="dxa"/>
            <w:tcBorders>
              <w:top w:val="single" w:sz="4" w:space="0" w:color="000000"/>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Moins 3 personnes</w:t>
            </w:r>
          </w:p>
        </w:tc>
        <w:tc>
          <w:tcPr>
            <w:tcW w:w="3095" w:type="dxa"/>
            <w:tcBorders>
              <w:top w:val="single" w:sz="4" w:space="0" w:color="000000"/>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0</w:t>
            </w:r>
            <w:r w:rsidRPr="00922551">
              <w:rPr>
                <w:rFonts w:ascii="Times New Roman" w:eastAsia="Arial Unicode MS" w:hAnsi="Times New Roman"/>
                <w:sz w:val="24"/>
                <w:szCs w:val="24"/>
                <w:lang w:val="en-US"/>
              </w:rPr>
              <w:t>,9</w:t>
            </w:r>
          </w:p>
        </w:tc>
        <w:tc>
          <w:tcPr>
            <w:tcW w:w="3096" w:type="dxa"/>
            <w:tcBorders>
              <w:top w:val="single" w:sz="4" w:space="0" w:color="000000"/>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1,1</w:t>
            </w:r>
          </w:p>
        </w:tc>
      </w:tr>
      <w:tr w:rsidR="007F1584" w:rsidRPr="00B00C17" w:rsidTr="00481686">
        <w:tc>
          <w:tcPr>
            <w:tcW w:w="2987" w:type="dxa"/>
            <w:tcBorders>
              <w:top w:val="nil"/>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3 à 4 personnes</w:t>
            </w:r>
          </w:p>
        </w:tc>
        <w:tc>
          <w:tcPr>
            <w:tcW w:w="3095"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10,2</w:t>
            </w:r>
          </w:p>
        </w:tc>
        <w:tc>
          <w:tcPr>
            <w:tcW w:w="3096"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14,8</w:t>
            </w:r>
          </w:p>
        </w:tc>
      </w:tr>
      <w:tr w:rsidR="007F1584" w:rsidRPr="00B00C17" w:rsidTr="00481686">
        <w:tc>
          <w:tcPr>
            <w:tcW w:w="2987" w:type="dxa"/>
            <w:tcBorders>
              <w:top w:val="nil"/>
              <w:left w:val="nil"/>
              <w:bottom w:val="nil"/>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5 à 7 personnes</w:t>
            </w:r>
          </w:p>
        </w:tc>
        <w:tc>
          <w:tcPr>
            <w:tcW w:w="3095"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31,8</w:t>
            </w:r>
          </w:p>
        </w:tc>
        <w:tc>
          <w:tcPr>
            <w:tcW w:w="3096" w:type="dxa"/>
            <w:tcBorders>
              <w:top w:val="nil"/>
              <w:left w:val="nil"/>
              <w:bottom w:val="nil"/>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40,6</w:t>
            </w:r>
          </w:p>
        </w:tc>
      </w:tr>
      <w:tr w:rsidR="007F1584" w:rsidRPr="00B00C17" w:rsidTr="00481686">
        <w:tc>
          <w:tcPr>
            <w:tcW w:w="2987" w:type="dxa"/>
            <w:tcBorders>
              <w:top w:val="nil"/>
              <w:left w:val="nil"/>
              <w:bottom w:val="single" w:sz="4" w:space="0" w:color="000000"/>
              <w:right w:val="nil"/>
            </w:tcBorders>
            <w:shd w:val="clear" w:color="auto" w:fill="DAEEF3" w:themeFill="accent5" w:themeFillTint="33"/>
          </w:tcPr>
          <w:p w:rsidR="007F1584" w:rsidRPr="00B00C17" w:rsidRDefault="007F1584" w:rsidP="00224AD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8 personnes et plus</w:t>
            </w:r>
          </w:p>
        </w:tc>
        <w:tc>
          <w:tcPr>
            <w:tcW w:w="3095" w:type="dxa"/>
            <w:tcBorders>
              <w:top w:val="nil"/>
              <w:left w:val="nil"/>
              <w:bottom w:val="single" w:sz="4" w:space="0" w:color="000000"/>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60,0</w:t>
            </w:r>
          </w:p>
        </w:tc>
        <w:tc>
          <w:tcPr>
            <w:tcW w:w="3096" w:type="dxa"/>
            <w:tcBorders>
              <w:top w:val="nil"/>
              <w:left w:val="nil"/>
              <w:bottom w:val="single" w:sz="4" w:space="0" w:color="000000"/>
              <w:right w:val="nil"/>
            </w:tcBorders>
            <w:shd w:val="clear" w:color="auto" w:fill="DAEEF3" w:themeFill="accent5" w:themeFillTint="33"/>
          </w:tcPr>
          <w:p w:rsidR="007F1584" w:rsidRDefault="007F1584" w:rsidP="00224ADE">
            <w:pPr>
              <w:spacing w:line="276" w:lineRule="auto"/>
              <w:jc w:val="center"/>
              <w:rPr>
                <w:rFonts w:ascii="Times New Roman" w:eastAsia="Arial Unicode MS" w:hAnsi="Times New Roman"/>
                <w:sz w:val="24"/>
                <w:szCs w:val="24"/>
                <w:lang w:val="en-US"/>
              </w:rPr>
            </w:pPr>
            <w:r w:rsidRPr="00922551">
              <w:rPr>
                <w:rFonts w:ascii="Times New Roman" w:eastAsia="Arial Unicode MS" w:hAnsi="Times New Roman"/>
                <w:sz w:val="24"/>
                <w:szCs w:val="24"/>
                <w:lang w:val="en-US"/>
              </w:rPr>
              <w:t>48,0</w:t>
            </w:r>
          </w:p>
        </w:tc>
      </w:tr>
      <w:tr w:rsidR="007F1584" w:rsidRPr="00481686" w:rsidTr="00481686">
        <w:tc>
          <w:tcPr>
            <w:tcW w:w="2987" w:type="dxa"/>
            <w:tcBorders>
              <w:top w:val="single" w:sz="4" w:space="0" w:color="000000"/>
              <w:left w:val="nil"/>
              <w:bottom w:val="double" w:sz="4" w:space="0" w:color="auto"/>
              <w:right w:val="nil"/>
            </w:tcBorders>
            <w:shd w:val="clear" w:color="auto" w:fill="DAEEF3" w:themeFill="accent5" w:themeFillTint="33"/>
          </w:tcPr>
          <w:p w:rsidR="007F1584" w:rsidRPr="00481686" w:rsidRDefault="007F1584" w:rsidP="00224ADE">
            <w:pPr>
              <w:spacing w:line="276" w:lineRule="auto"/>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Ensemble</w:t>
            </w:r>
          </w:p>
        </w:tc>
        <w:tc>
          <w:tcPr>
            <w:tcW w:w="3095" w:type="dxa"/>
            <w:tcBorders>
              <w:top w:val="single" w:sz="4" w:space="0" w:color="000000"/>
              <w:left w:val="nil"/>
              <w:bottom w:val="double" w:sz="4" w:space="0" w:color="auto"/>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38,0</w:t>
            </w:r>
          </w:p>
        </w:tc>
        <w:tc>
          <w:tcPr>
            <w:tcW w:w="3096" w:type="dxa"/>
            <w:tcBorders>
              <w:top w:val="single" w:sz="4" w:space="0" w:color="000000"/>
              <w:left w:val="nil"/>
              <w:bottom w:val="double" w:sz="4" w:space="0" w:color="auto"/>
              <w:right w:val="nil"/>
            </w:tcBorders>
            <w:shd w:val="clear" w:color="auto" w:fill="DAEEF3" w:themeFill="accent5" w:themeFillTint="33"/>
          </w:tcPr>
          <w:p w:rsidR="007F1584" w:rsidRPr="00481686" w:rsidRDefault="007F1584" w:rsidP="00224ADE">
            <w:pPr>
              <w:spacing w:line="276" w:lineRule="auto"/>
              <w:jc w:val="center"/>
              <w:rPr>
                <w:rFonts w:ascii="Times New Roman" w:eastAsia="Arial Unicode MS" w:hAnsi="Times New Roman"/>
                <w:sz w:val="24"/>
                <w:szCs w:val="24"/>
                <w:lang w:val="en-US"/>
              </w:rPr>
            </w:pPr>
            <w:r w:rsidRPr="00481686">
              <w:rPr>
                <w:rFonts w:ascii="Times New Roman" w:eastAsia="Arial Unicode MS" w:hAnsi="Times New Roman"/>
                <w:sz w:val="24"/>
                <w:szCs w:val="24"/>
                <w:lang w:val="en-US"/>
              </w:rPr>
              <w:t>27,6</w:t>
            </w:r>
          </w:p>
        </w:tc>
      </w:tr>
      <w:tr w:rsidR="00481686" w:rsidRPr="00B00C17" w:rsidTr="00481686">
        <w:tc>
          <w:tcPr>
            <w:tcW w:w="9178" w:type="dxa"/>
            <w:gridSpan w:val="3"/>
            <w:tcBorders>
              <w:top w:val="double" w:sz="4" w:space="0" w:color="auto"/>
              <w:left w:val="nil"/>
              <w:bottom w:val="nil"/>
              <w:right w:val="nil"/>
            </w:tcBorders>
            <w:shd w:val="clear" w:color="auto" w:fill="DAEEF3" w:themeFill="accent5" w:themeFillTint="33"/>
          </w:tcPr>
          <w:p w:rsidR="00481686" w:rsidRPr="00481686" w:rsidRDefault="00481686" w:rsidP="00481686">
            <w:pPr>
              <w:spacing w:line="276" w:lineRule="auto"/>
              <w:rPr>
                <w:rFonts w:ascii="Times New Roman" w:eastAsia="Arial Unicode MS" w:hAnsi="Times New Roman"/>
                <w:sz w:val="24"/>
                <w:szCs w:val="24"/>
              </w:rPr>
            </w:pPr>
            <w:r>
              <w:rPr>
                <w:rFonts w:ascii="Times New Roman" w:eastAsia="Arial Unicode MS" w:hAnsi="Times New Roman"/>
                <w:sz w:val="24"/>
                <w:szCs w:val="24"/>
              </w:rPr>
              <w:t>Source : INSAE, EMICoV, 2011</w:t>
            </w:r>
          </w:p>
        </w:tc>
      </w:tr>
    </w:tbl>
    <w:p w:rsidR="00481686" w:rsidRDefault="00481686" w:rsidP="007F1584">
      <w:pPr>
        <w:spacing w:line="276" w:lineRule="auto"/>
        <w:rPr>
          <w:rFonts w:ascii="Times New Roman" w:eastAsia="Arial Unicode MS" w:hAnsi="Times New Roman"/>
          <w:sz w:val="24"/>
          <w:szCs w:val="24"/>
        </w:rPr>
      </w:pPr>
    </w:p>
    <w:p w:rsidR="007F1584" w:rsidRDefault="007F1584" w:rsidP="007F1584">
      <w:pPr>
        <w:spacing w:line="276" w:lineRule="auto"/>
        <w:rPr>
          <w:rFonts w:ascii="Times New Roman" w:eastAsia="Arial Unicode MS" w:hAnsi="Times New Roman"/>
          <w:sz w:val="24"/>
          <w:szCs w:val="24"/>
        </w:rPr>
      </w:pPr>
      <w:r w:rsidRPr="00AC2DB1">
        <w:rPr>
          <w:rFonts w:ascii="Times New Roman" w:eastAsia="Arial Unicode MS" w:hAnsi="Times New Roman"/>
          <w:sz w:val="24"/>
          <w:szCs w:val="24"/>
        </w:rPr>
        <w:t xml:space="preserve">Aussi, convient-il de mentionner que </w:t>
      </w:r>
      <w:r w:rsidR="000B14DA">
        <w:rPr>
          <w:rFonts w:ascii="Times New Roman" w:eastAsia="Arial Unicode MS" w:hAnsi="Times New Roman"/>
          <w:sz w:val="24"/>
          <w:szCs w:val="24"/>
        </w:rPr>
        <w:t xml:space="preserve">de </w:t>
      </w:r>
      <w:r w:rsidRPr="00AC2DB1">
        <w:rPr>
          <w:rFonts w:ascii="Times New Roman" w:eastAsia="Arial Unicode MS" w:hAnsi="Times New Roman"/>
          <w:sz w:val="24"/>
          <w:szCs w:val="24"/>
        </w:rPr>
        <w:t>plus en plus les femmes bénéficient d’opportunités à effet direct sur le niveau de vie telles que l’accès au crédit (ex du Programme Micro-crédit aux Plus Pauvres (MCPP)) qui peuvent contribuer au développement ou à la diversification d’activités génératrices de revenu</w:t>
      </w:r>
      <w:r>
        <w:rPr>
          <w:rFonts w:ascii="Times New Roman" w:eastAsia="Arial Unicode MS" w:hAnsi="Times New Roman"/>
          <w:sz w:val="24"/>
          <w:szCs w:val="24"/>
        </w:rPr>
        <w:t>.</w:t>
      </w:r>
    </w:p>
    <w:p w:rsidR="007F1584" w:rsidRPr="00332215" w:rsidRDefault="007F1584" w:rsidP="007F1584">
      <w:pPr>
        <w:spacing w:line="276" w:lineRule="auto"/>
        <w:rPr>
          <w:rFonts w:ascii="Times New Roman" w:eastAsia="Arial Unicode MS" w:hAnsi="Times New Roman"/>
          <w:sz w:val="12"/>
          <w:szCs w:val="12"/>
        </w:rPr>
      </w:pPr>
    </w:p>
    <w:p w:rsidR="007F1584" w:rsidRPr="00C2389B" w:rsidRDefault="007F1584" w:rsidP="007F1584">
      <w:pPr>
        <w:spacing w:line="276" w:lineRule="auto"/>
        <w:rPr>
          <w:rFonts w:ascii="Times New Roman" w:hAnsi="Times New Roman"/>
          <w:sz w:val="24"/>
          <w:szCs w:val="24"/>
        </w:rPr>
      </w:pPr>
      <w:r w:rsidRPr="00C2389B">
        <w:rPr>
          <w:rFonts w:ascii="Times New Roman" w:hAnsi="Times New Roman"/>
          <w:sz w:val="24"/>
          <w:szCs w:val="24"/>
        </w:rPr>
        <w:t xml:space="preserve">En ce qui concerne l’interaction entre la pauvreté et la branche d’activité du chef de ménage, il ressort que la participation au marché du travail n’est pas considérée comme un facteur clé dans l’explication de la pauvreté au Bénin. </w:t>
      </w:r>
      <w:r>
        <w:rPr>
          <w:rFonts w:ascii="Times New Roman" w:hAnsi="Times New Roman"/>
          <w:sz w:val="24"/>
          <w:szCs w:val="24"/>
        </w:rPr>
        <w:t>L</w:t>
      </w:r>
      <w:r w:rsidRPr="00C2389B">
        <w:rPr>
          <w:rFonts w:ascii="Times New Roman" w:hAnsi="Times New Roman"/>
          <w:sz w:val="24"/>
          <w:szCs w:val="24"/>
        </w:rPr>
        <w:t>a question</w:t>
      </w:r>
      <w:r>
        <w:rPr>
          <w:rFonts w:ascii="Times New Roman" w:hAnsi="Times New Roman"/>
          <w:sz w:val="24"/>
          <w:szCs w:val="24"/>
        </w:rPr>
        <w:t xml:space="preserve"> fondamentale est relative à</w:t>
      </w:r>
      <w:r w:rsidRPr="00C2389B">
        <w:rPr>
          <w:rFonts w:ascii="Times New Roman" w:hAnsi="Times New Roman"/>
          <w:sz w:val="24"/>
          <w:szCs w:val="24"/>
        </w:rPr>
        <w:t xml:space="preserve"> la qualité </w:t>
      </w:r>
      <w:r>
        <w:rPr>
          <w:rFonts w:ascii="Times New Roman" w:hAnsi="Times New Roman"/>
          <w:sz w:val="24"/>
          <w:szCs w:val="24"/>
        </w:rPr>
        <w:t xml:space="preserve">et la productivité </w:t>
      </w:r>
      <w:r w:rsidRPr="00C2389B">
        <w:rPr>
          <w:rFonts w:ascii="Times New Roman" w:hAnsi="Times New Roman"/>
          <w:sz w:val="24"/>
          <w:szCs w:val="24"/>
        </w:rPr>
        <w:t>de l’emploi</w:t>
      </w:r>
      <w:r w:rsidR="000B14DA">
        <w:rPr>
          <w:rFonts w:ascii="Times New Roman" w:hAnsi="Times New Roman"/>
          <w:sz w:val="24"/>
          <w:szCs w:val="24"/>
        </w:rPr>
        <w:t>,</w:t>
      </w:r>
      <w:r w:rsidRPr="00C2389B">
        <w:rPr>
          <w:rFonts w:ascii="Times New Roman" w:hAnsi="Times New Roman"/>
          <w:sz w:val="24"/>
          <w:szCs w:val="24"/>
        </w:rPr>
        <w:t xml:space="preserve"> étant donné que le taux de salarisation est faible (10%) et que plus de la moitié de la population active occupée au Bénin est caractérisé</w:t>
      </w:r>
      <w:r w:rsidR="000B14DA">
        <w:rPr>
          <w:rFonts w:ascii="Times New Roman" w:hAnsi="Times New Roman"/>
          <w:sz w:val="24"/>
          <w:szCs w:val="24"/>
        </w:rPr>
        <w:t>e</w:t>
      </w:r>
      <w:r w:rsidRPr="00C2389B">
        <w:rPr>
          <w:rFonts w:ascii="Times New Roman" w:hAnsi="Times New Roman"/>
          <w:sz w:val="24"/>
          <w:szCs w:val="24"/>
        </w:rPr>
        <w:t xml:space="preserve"> par le sous-emploi</w:t>
      </w:r>
      <w:r>
        <w:rPr>
          <w:rFonts w:ascii="Times New Roman" w:hAnsi="Times New Roman"/>
          <w:sz w:val="24"/>
          <w:szCs w:val="24"/>
        </w:rPr>
        <w:t xml:space="preserve"> lié à la productivité et à la durée du travail. </w:t>
      </w:r>
    </w:p>
    <w:p w:rsidR="007F1584" w:rsidRDefault="007F1584" w:rsidP="007F1584">
      <w:pPr>
        <w:spacing w:line="276" w:lineRule="auto"/>
        <w:rPr>
          <w:rFonts w:ascii="Times New Roman" w:hAnsi="Times New Roman"/>
          <w:sz w:val="24"/>
          <w:szCs w:val="24"/>
          <w:highlight w:val="yellow"/>
        </w:rPr>
      </w:pPr>
    </w:p>
    <w:p w:rsidR="00854AEF" w:rsidRDefault="007F1584" w:rsidP="007F1584">
      <w:pPr>
        <w:spacing w:line="276" w:lineRule="auto"/>
        <w:rPr>
          <w:rFonts w:ascii="Times New Roman" w:hAnsi="Times New Roman"/>
          <w:sz w:val="24"/>
          <w:szCs w:val="24"/>
        </w:rPr>
      </w:pPr>
      <w:r w:rsidRPr="00A24674">
        <w:rPr>
          <w:rFonts w:ascii="Times New Roman" w:eastAsia="Arial Unicode MS" w:hAnsi="Times New Roman"/>
          <w:b/>
          <w:sz w:val="24"/>
          <w:szCs w:val="24"/>
        </w:rPr>
        <w:t xml:space="preserve">La pauvreté au Bénin s’apparente principalement à un phénomène transitoire. </w:t>
      </w:r>
      <w:r w:rsidRPr="007B43D0">
        <w:rPr>
          <w:rFonts w:ascii="Times New Roman" w:hAnsi="Times New Roman"/>
          <w:sz w:val="24"/>
          <w:szCs w:val="24"/>
        </w:rPr>
        <w:t xml:space="preserve">En effet, 41,2% </w:t>
      </w:r>
      <w:r>
        <w:rPr>
          <w:rFonts w:ascii="Times New Roman" w:hAnsi="Times New Roman"/>
          <w:sz w:val="24"/>
          <w:szCs w:val="24"/>
        </w:rPr>
        <w:t xml:space="preserve">d’individus sont </w:t>
      </w:r>
      <w:r w:rsidRPr="007B43D0">
        <w:rPr>
          <w:rFonts w:ascii="Times New Roman" w:hAnsi="Times New Roman"/>
          <w:sz w:val="24"/>
          <w:szCs w:val="24"/>
        </w:rPr>
        <w:t>en situation de pauvreté temporaire (22,3% des individus entrant dans la pauvreté en 2009 et 18,9% sortant dans la pauvreté en 2009)</w:t>
      </w:r>
      <w:r>
        <w:rPr>
          <w:rFonts w:ascii="Times New Roman" w:hAnsi="Times New Roman"/>
          <w:sz w:val="24"/>
          <w:szCs w:val="24"/>
        </w:rPr>
        <w:t xml:space="preserve"> contre </w:t>
      </w:r>
      <w:r w:rsidRPr="007B43D0">
        <w:rPr>
          <w:rFonts w:ascii="Times New Roman" w:hAnsi="Times New Roman"/>
          <w:sz w:val="24"/>
          <w:szCs w:val="24"/>
        </w:rPr>
        <w:t>15,5% d</w:t>
      </w:r>
      <w:r>
        <w:rPr>
          <w:rFonts w:ascii="Times New Roman" w:hAnsi="Times New Roman"/>
          <w:sz w:val="24"/>
          <w:szCs w:val="24"/>
        </w:rPr>
        <w:t>’</w:t>
      </w:r>
      <w:r w:rsidRPr="007B43D0">
        <w:rPr>
          <w:rFonts w:ascii="Times New Roman" w:hAnsi="Times New Roman"/>
          <w:sz w:val="24"/>
          <w:szCs w:val="24"/>
        </w:rPr>
        <w:t xml:space="preserve">individus </w:t>
      </w:r>
      <w:r>
        <w:rPr>
          <w:rFonts w:ascii="Times New Roman" w:hAnsi="Times New Roman"/>
          <w:sz w:val="24"/>
          <w:szCs w:val="24"/>
        </w:rPr>
        <w:t xml:space="preserve">qui </w:t>
      </w:r>
      <w:r w:rsidRPr="007B43D0">
        <w:rPr>
          <w:rFonts w:ascii="Times New Roman" w:hAnsi="Times New Roman"/>
          <w:sz w:val="24"/>
          <w:szCs w:val="24"/>
        </w:rPr>
        <w:t>sont en situation de pauvreté permanente</w:t>
      </w:r>
      <w:r>
        <w:rPr>
          <w:rFonts w:ascii="Times New Roman" w:hAnsi="Times New Roman"/>
          <w:sz w:val="24"/>
          <w:szCs w:val="24"/>
        </w:rPr>
        <w:t xml:space="preserve">. </w:t>
      </w:r>
      <w:r w:rsidRPr="0076542D">
        <w:rPr>
          <w:rFonts w:ascii="Times New Roman" w:hAnsi="Times New Roman"/>
          <w:sz w:val="24"/>
          <w:szCs w:val="24"/>
        </w:rPr>
        <w:t>L</w:t>
      </w:r>
      <w:r w:rsidRPr="0076542D">
        <w:rPr>
          <w:rFonts w:ascii="Times New Roman" w:eastAsia="Arial Unicode MS" w:hAnsi="Times New Roman"/>
          <w:sz w:val="24"/>
          <w:szCs w:val="24"/>
        </w:rPr>
        <w:t xml:space="preserve">es </w:t>
      </w:r>
      <w:r w:rsidRPr="0076542D">
        <w:rPr>
          <w:rFonts w:ascii="Times New Roman" w:hAnsi="Times New Roman"/>
          <w:sz w:val="24"/>
          <w:szCs w:val="24"/>
        </w:rPr>
        <w:t xml:space="preserve">ménages sortis de la pauvreté sont ceux qui sont en général des ménages de niveau de vie initial élevé, qui vivent en milieu urbain, sont de taille réduite et dirigés par des femmes ou souvent des jeunes (moins de 30 ans). Ce groupe se traduit par un meilleur  statut dans l’emploi du chef de ménage (patron et cadre supérieur, employé ou ouvrier qualifié), exerçant une activité relevant du secteur secondaire ou tertiaire. </w:t>
      </w:r>
    </w:p>
    <w:p w:rsidR="00854AEF" w:rsidRDefault="00854AEF" w:rsidP="007F1584">
      <w:pPr>
        <w:spacing w:line="276" w:lineRule="auto"/>
        <w:rPr>
          <w:rFonts w:ascii="Times New Roman" w:hAnsi="Times New Roman"/>
          <w:sz w:val="24"/>
          <w:szCs w:val="24"/>
        </w:rPr>
      </w:pPr>
    </w:p>
    <w:p w:rsidR="007F1584" w:rsidRDefault="007F1584" w:rsidP="007F1584">
      <w:pPr>
        <w:spacing w:line="276" w:lineRule="auto"/>
        <w:rPr>
          <w:rFonts w:ascii="Times New Roman" w:eastAsia="Arial Unicode MS" w:hAnsi="Times New Roman"/>
          <w:sz w:val="24"/>
          <w:szCs w:val="24"/>
        </w:rPr>
      </w:pPr>
      <w:r>
        <w:rPr>
          <w:rFonts w:ascii="Times New Roman" w:hAnsi="Times New Roman"/>
          <w:sz w:val="24"/>
          <w:szCs w:val="24"/>
        </w:rPr>
        <w:t xml:space="preserve">En ce qui </w:t>
      </w:r>
      <w:r w:rsidRPr="0076542D">
        <w:rPr>
          <w:rFonts w:ascii="Times New Roman" w:hAnsi="Times New Roman"/>
          <w:sz w:val="24"/>
          <w:szCs w:val="24"/>
        </w:rPr>
        <w:t xml:space="preserve">concerne les ménages qui sont entrés dans la pauvreté ou qui </w:t>
      </w:r>
      <w:r w:rsidR="000B14DA">
        <w:rPr>
          <w:rFonts w:ascii="Times New Roman" w:hAnsi="Times New Roman"/>
          <w:sz w:val="24"/>
          <w:szCs w:val="24"/>
        </w:rPr>
        <w:t xml:space="preserve">sont </w:t>
      </w:r>
      <w:r w:rsidRPr="0076542D">
        <w:rPr>
          <w:rFonts w:ascii="Times New Roman" w:hAnsi="Times New Roman"/>
          <w:sz w:val="24"/>
          <w:szCs w:val="24"/>
        </w:rPr>
        <w:t>restés toujours pauvres</w:t>
      </w:r>
      <w:r w:rsidR="000B14DA">
        <w:rPr>
          <w:rFonts w:ascii="Times New Roman" w:hAnsi="Times New Roman"/>
          <w:sz w:val="24"/>
          <w:szCs w:val="24"/>
        </w:rPr>
        <w:t>,</w:t>
      </w:r>
      <w:r w:rsidRPr="0076542D">
        <w:rPr>
          <w:rFonts w:ascii="Times New Roman" w:hAnsi="Times New Roman"/>
          <w:sz w:val="24"/>
          <w:szCs w:val="24"/>
        </w:rPr>
        <w:t xml:space="preserve"> </w:t>
      </w:r>
      <w:r w:rsidR="000B14DA">
        <w:rPr>
          <w:rFonts w:ascii="Times New Roman" w:hAnsi="Times New Roman"/>
          <w:sz w:val="24"/>
          <w:szCs w:val="24"/>
        </w:rPr>
        <w:t xml:space="preserve">ce </w:t>
      </w:r>
      <w:r w:rsidRPr="0076542D">
        <w:rPr>
          <w:rFonts w:ascii="Times New Roman" w:hAnsi="Times New Roman"/>
          <w:sz w:val="24"/>
          <w:szCs w:val="24"/>
        </w:rPr>
        <w:t>sont ceux vivant en milieu rural, ils sont généralement de grande taille et ayant un niveau de vie initial faible, dirigés par des hommes, en général âgés et travaillant dans le secteur primaire (Agriculture, Elevage et Pêche) pour compte propre ou en tant que manœuvre ou apprentis. Ces ménages ont connu une baisse du nombre d’actif occupés et ont subi les chocs biophysiques (inondations/sécheresses) entre 2006 et 2009. En somme, les variables sociodémographiques et socio-économiques qui influencent différemment la transition dans la pauvreté sont :</w:t>
      </w:r>
      <w:r>
        <w:rPr>
          <w:rFonts w:ascii="Times New Roman" w:hAnsi="Times New Roman"/>
          <w:sz w:val="24"/>
          <w:szCs w:val="24"/>
        </w:rPr>
        <w:t xml:space="preserve"> le niveau de vie initial, </w:t>
      </w:r>
      <w:r w:rsidRPr="0076542D">
        <w:rPr>
          <w:rFonts w:ascii="Times New Roman" w:hAnsi="Times New Roman"/>
          <w:sz w:val="24"/>
          <w:szCs w:val="24"/>
        </w:rPr>
        <w:t xml:space="preserve"> le cycle de vie, le niveau d’instruction du chef de ménage, </w:t>
      </w:r>
      <w:r>
        <w:rPr>
          <w:rFonts w:ascii="Times New Roman" w:hAnsi="Times New Roman"/>
          <w:sz w:val="24"/>
          <w:szCs w:val="24"/>
        </w:rPr>
        <w:t xml:space="preserve">le sexe du chef de ménage, </w:t>
      </w:r>
      <w:r w:rsidRPr="0076542D">
        <w:rPr>
          <w:rFonts w:ascii="Times New Roman" w:hAnsi="Times New Roman"/>
          <w:sz w:val="24"/>
          <w:szCs w:val="24"/>
        </w:rPr>
        <w:t>l’accès à l’emploi,</w:t>
      </w:r>
      <w:r>
        <w:rPr>
          <w:rFonts w:ascii="Times New Roman" w:hAnsi="Times New Roman"/>
          <w:sz w:val="24"/>
          <w:szCs w:val="24"/>
        </w:rPr>
        <w:t xml:space="preserve"> la situation sur le marché du travail, </w:t>
      </w:r>
      <w:r w:rsidRPr="0076542D">
        <w:rPr>
          <w:rFonts w:ascii="Times New Roman" w:hAnsi="Times New Roman"/>
          <w:sz w:val="24"/>
          <w:szCs w:val="24"/>
        </w:rPr>
        <w:t xml:space="preserve"> la taille du ménage, le milieu de résidence, l’accessibilité économique aux biens sociaux (le logement, la santé, l’éduc</w:t>
      </w:r>
      <w:r>
        <w:rPr>
          <w:rFonts w:ascii="Times New Roman" w:hAnsi="Times New Roman"/>
          <w:sz w:val="24"/>
          <w:szCs w:val="24"/>
        </w:rPr>
        <w:t>a</w:t>
      </w:r>
      <w:r w:rsidRPr="0076542D">
        <w:rPr>
          <w:rFonts w:ascii="Times New Roman" w:hAnsi="Times New Roman"/>
          <w:sz w:val="24"/>
          <w:szCs w:val="24"/>
        </w:rPr>
        <w:t xml:space="preserve">tion et la communication) et l’exposition aux  chocs biophysiques et </w:t>
      </w:r>
      <w:r w:rsidRPr="0076542D">
        <w:rPr>
          <w:rFonts w:ascii="Times New Roman" w:eastAsia="Arial Unicode MS" w:hAnsi="Times New Roman"/>
          <w:sz w:val="24"/>
          <w:szCs w:val="24"/>
        </w:rPr>
        <w:t>sociaux</w:t>
      </w:r>
      <w:r>
        <w:rPr>
          <w:rFonts w:ascii="Times New Roman" w:eastAsia="Arial Unicode MS" w:hAnsi="Times New Roman"/>
          <w:sz w:val="24"/>
          <w:szCs w:val="24"/>
        </w:rPr>
        <w:t xml:space="preserve">. </w:t>
      </w:r>
    </w:p>
    <w:p w:rsidR="007F1584" w:rsidRPr="00332215" w:rsidRDefault="007F1584" w:rsidP="007F1584">
      <w:pPr>
        <w:spacing w:line="276" w:lineRule="auto"/>
        <w:rPr>
          <w:rFonts w:ascii="Times New Roman" w:eastAsia="Arial Unicode MS" w:hAnsi="Times New Roman"/>
          <w:sz w:val="12"/>
          <w:szCs w:val="12"/>
        </w:rPr>
      </w:pPr>
    </w:p>
    <w:p w:rsidR="007F1584" w:rsidRDefault="007F1584" w:rsidP="007F1584">
      <w:pPr>
        <w:spacing w:after="200" w:line="276" w:lineRule="auto"/>
        <w:rPr>
          <w:rFonts w:ascii="Times New Roman" w:eastAsia="Arial Unicode MS" w:hAnsi="Times New Roman"/>
          <w:sz w:val="24"/>
          <w:szCs w:val="24"/>
        </w:rPr>
      </w:pPr>
      <w:r>
        <w:rPr>
          <w:rFonts w:ascii="Times New Roman" w:eastAsia="Arial Unicode MS" w:hAnsi="Times New Roman"/>
          <w:sz w:val="24"/>
          <w:szCs w:val="24"/>
        </w:rPr>
        <w:t xml:space="preserve">En particulier, l’influence prédominante de la taille du ménage pose un défi important en termes de création de richesse </w:t>
      </w:r>
      <w:r w:rsidRPr="00922551">
        <w:rPr>
          <w:rFonts w:ascii="Times New Roman" w:eastAsia="Arial Unicode MS" w:hAnsi="Times New Roman"/>
          <w:sz w:val="24"/>
          <w:szCs w:val="24"/>
        </w:rPr>
        <w:t>lorsqu’on se réfère à la croissance continue de la population</w:t>
      </w:r>
      <w:r>
        <w:rPr>
          <w:rFonts w:ascii="Times New Roman" w:eastAsia="Arial Unicode MS" w:hAnsi="Times New Roman"/>
          <w:sz w:val="24"/>
          <w:szCs w:val="24"/>
        </w:rPr>
        <w:t>. En effet, l</w:t>
      </w:r>
      <w:r w:rsidRPr="00922551">
        <w:rPr>
          <w:rFonts w:ascii="Times New Roman" w:eastAsia="Arial Unicode MS" w:hAnsi="Times New Roman"/>
          <w:sz w:val="24"/>
          <w:szCs w:val="24"/>
        </w:rPr>
        <w:t>e taux d’accroissement de la population béninoise</w:t>
      </w:r>
      <w:r w:rsidRPr="004857E9">
        <w:rPr>
          <w:rFonts w:ascii="Times New Roman" w:eastAsia="Arial Unicode MS" w:hAnsi="Times New Roman"/>
          <w:sz w:val="24"/>
          <w:szCs w:val="24"/>
          <w:vertAlign w:val="superscript"/>
        </w:rPr>
        <w:footnoteReference w:id="4"/>
      </w:r>
      <w:r w:rsidRPr="00922551">
        <w:rPr>
          <w:rFonts w:ascii="Times New Roman" w:eastAsia="Arial Unicode MS" w:hAnsi="Times New Roman"/>
          <w:sz w:val="24"/>
          <w:szCs w:val="24"/>
        </w:rPr>
        <w:t xml:space="preserve"> est passé de 2,8% entre 1979 et 1992, à 3,2% entre 1992 et 2002 </w:t>
      </w:r>
      <w:r>
        <w:rPr>
          <w:rFonts w:ascii="Times New Roman" w:eastAsia="Arial Unicode MS" w:hAnsi="Times New Roman"/>
          <w:sz w:val="24"/>
          <w:szCs w:val="24"/>
        </w:rPr>
        <w:t xml:space="preserve"> et 3,5% entre 2002 et 2013. </w:t>
      </w:r>
      <w:r w:rsidRPr="00922551">
        <w:rPr>
          <w:rFonts w:ascii="Times New Roman" w:eastAsia="Arial Unicode MS" w:hAnsi="Times New Roman"/>
          <w:sz w:val="24"/>
          <w:szCs w:val="24"/>
        </w:rPr>
        <w:t xml:space="preserve">Cette croissance démographique </w:t>
      </w:r>
      <w:r>
        <w:rPr>
          <w:rFonts w:ascii="Times New Roman" w:eastAsia="Arial Unicode MS" w:hAnsi="Times New Roman"/>
          <w:sz w:val="24"/>
          <w:szCs w:val="24"/>
        </w:rPr>
        <w:t>d</w:t>
      </w:r>
      <w:r w:rsidR="00223D89">
        <w:rPr>
          <w:rFonts w:ascii="Times New Roman" w:eastAsia="Arial Unicode MS" w:hAnsi="Times New Roman"/>
          <w:sz w:val="24"/>
          <w:szCs w:val="24"/>
        </w:rPr>
        <w:t xml:space="preserve">evrait </w:t>
      </w:r>
      <w:r w:rsidRPr="00922551">
        <w:rPr>
          <w:rFonts w:ascii="Times New Roman" w:eastAsia="Arial Unicode MS" w:hAnsi="Times New Roman"/>
          <w:sz w:val="24"/>
          <w:szCs w:val="24"/>
        </w:rPr>
        <w:t>induir</w:t>
      </w:r>
      <w:r>
        <w:rPr>
          <w:rFonts w:ascii="Times New Roman" w:eastAsia="Arial Unicode MS" w:hAnsi="Times New Roman"/>
          <w:sz w:val="24"/>
          <w:szCs w:val="24"/>
        </w:rPr>
        <w:t xml:space="preserve">e </w:t>
      </w:r>
      <w:r w:rsidRPr="00922551">
        <w:rPr>
          <w:rFonts w:ascii="Times New Roman" w:eastAsia="Arial Unicode MS" w:hAnsi="Times New Roman"/>
          <w:sz w:val="24"/>
          <w:szCs w:val="24"/>
        </w:rPr>
        <w:t xml:space="preserve">une demande sociale élevée face à une croissance économique encore faible. </w:t>
      </w:r>
      <w:r w:rsidR="001064B7" w:rsidRPr="001064B7">
        <w:rPr>
          <w:rFonts w:ascii="Times New Roman" w:eastAsia="Arial Unicode MS" w:hAnsi="Times New Roman"/>
          <w:sz w:val="24"/>
          <w:szCs w:val="24"/>
        </w:rPr>
        <w:t>Ainsi, si cette évolution démographique est de nature à inhiber et étouffer les efforts de développement non encore soutenus, elle favorisera en conséquence un taux de pauvreté plus élevé.</w:t>
      </w:r>
    </w:p>
    <w:p w:rsidR="007F1584" w:rsidRPr="0032261E" w:rsidRDefault="00223D89" w:rsidP="007F1584">
      <w:pPr>
        <w:spacing w:line="276" w:lineRule="auto"/>
        <w:rPr>
          <w:rFonts w:ascii="Times New Roman" w:hAnsi="Times New Roman"/>
          <w:sz w:val="24"/>
          <w:szCs w:val="24"/>
        </w:rPr>
      </w:pPr>
      <w:r>
        <w:rPr>
          <w:rFonts w:ascii="Times New Roman" w:eastAsia="Arial Unicode MS" w:hAnsi="Times New Roman"/>
          <w:sz w:val="24"/>
          <w:szCs w:val="24"/>
        </w:rPr>
        <w:t>Il est noté</w:t>
      </w:r>
      <w:r w:rsidR="007F1584">
        <w:rPr>
          <w:rFonts w:ascii="Times New Roman" w:eastAsia="Arial Unicode MS" w:hAnsi="Times New Roman"/>
          <w:sz w:val="24"/>
          <w:szCs w:val="24"/>
        </w:rPr>
        <w:t xml:space="preserve"> que </w:t>
      </w:r>
      <w:r w:rsidR="007F1584" w:rsidRPr="0032261E">
        <w:rPr>
          <w:rFonts w:ascii="Times New Roman" w:hAnsi="Times New Roman"/>
          <w:sz w:val="24"/>
          <w:szCs w:val="24"/>
        </w:rPr>
        <w:t>les individus dont les chefs de ménages sont des chômeurs sont plus affectés par la pauvreté persistante et que la quasi-totalité des ménages entrant dans la pauvreté et de ceux toujours pauvres ont à leur tête des personnes qui travaillent dans l’informel et une part relativement importante de ces derniers sont en situation de sous-emploi.</w:t>
      </w:r>
    </w:p>
    <w:p w:rsidR="007F1584" w:rsidRDefault="007F1584" w:rsidP="007F1584">
      <w:pPr>
        <w:spacing w:line="276" w:lineRule="auto"/>
        <w:rPr>
          <w:rFonts w:ascii="Times New Roman" w:hAnsi="Times New Roman"/>
          <w:sz w:val="24"/>
          <w:szCs w:val="24"/>
        </w:rPr>
      </w:pPr>
    </w:p>
    <w:p w:rsidR="007F1584" w:rsidRPr="00670743" w:rsidRDefault="007F1584" w:rsidP="00670743">
      <w:pPr>
        <w:pStyle w:val="Titre2"/>
        <w:spacing w:before="0" w:line="276" w:lineRule="auto"/>
        <w:rPr>
          <w:rFonts w:ascii="Times New Roman" w:hAnsi="Times New Roman" w:cs="Times New Roman"/>
          <w:i w:val="0"/>
          <w:color w:val="31849B" w:themeColor="accent5" w:themeShade="BF"/>
        </w:rPr>
      </w:pPr>
      <w:bookmarkStart w:id="8" w:name="_Toc382322900"/>
      <w:r w:rsidRPr="00670743">
        <w:rPr>
          <w:rFonts w:ascii="Times New Roman" w:hAnsi="Times New Roman" w:cs="Times New Roman"/>
          <w:i w:val="0"/>
          <w:color w:val="31849B" w:themeColor="accent5" w:themeShade="BF"/>
        </w:rPr>
        <w:t>Corrélation entre croissance et pauvreté</w:t>
      </w:r>
      <w:bookmarkEnd w:id="8"/>
    </w:p>
    <w:p w:rsidR="007F1584" w:rsidRPr="00332215" w:rsidRDefault="007F1584" w:rsidP="007F1584">
      <w:pPr>
        <w:spacing w:line="276" w:lineRule="auto"/>
        <w:rPr>
          <w:rFonts w:ascii="Times New Roman" w:hAnsi="Times New Roman"/>
          <w:sz w:val="12"/>
          <w:szCs w:val="12"/>
        </w:rPr>
      </w:pPr>
    </w:p>
    <w:p w:rsidR="007F1584" w:rsidRDefault="007F1584" w:rsidP="007F1584">
      <w:pPr>
        <w:tabs>
          <w:tab w:val="left" w:pos="1335"/>
        </w:tabs>
        <w:spacing w:line="276" w:lineRule="auto"/>
        <w:rPr>
          <w:rFonts w:ascii="Times New Roman" w:hAnsi="Times New Roman"/>
          <w:sz w:val="24"/>
          <w:szCs w:val="24"/>
        </w:rPr>
      </w:pPr>
      <w:r w:rsidRPr="00D16513">
        <w:rPr>
          <w:rFonts w:ascii="Times New Roman" w:hAnsi="Times New Roman"/>
          <w:b/>
          <w:sz w:val="24"/>
          <w:szCs w:val="24"/>
        </w:rPr>
        <w:t xml:space="preserve">Les  pôles de croissance identifiés par le Gouvernement dans sa Stratégie de Croissance </w:t>
      </w:r>
      <w:r w:rsidR="00A25FB1">
        <w:rPr>
          <w:rFonts w:ascii="Times New Roman" w:hAnsi="Times New Roman"/>
          <w:b/>
          <w:sz w:val="24"/>
          <w:szCs w:val="24"/>
        </w:rPr>
        <w:t xml:space="preserve">pour la </w:t>
      </w:r>
      <w:r w:rsidRPr="00D16513">
        <w:rPr>
          <w:rFonts w:ascii="Times New Roman" w:hAnsi="Times New Roman"/>
          <w:b/>
          <w:sz w:val="24"/>
          <w:szCs w:val="24"/>
        </w:rPr>
        <w:t>Réduction de la Pauvreté (SCRP) ciblent la majorité des pauvres mais les résultats en termes de réduction de la pauvreté sont limités</w:t>
      </w:r>
      <w:r w:rsidR="00432093">
        <w:rPr>
          <w:rFonts w:ascii="Times New Roman" w:hAnsi="Times New Roman"/>
          <w:b/>
          <w:sz w:val="24"/>
          <w:szCs w:val="24"/>
        </w:rPr>
        <w:t>,</w:t>
      </w:r>
      <w:r w:rsidRPr="00D16513">
        <w:rPr>
          <w:rFonts w:ascii="Times New Roman" w:hAnsi="Times New Roman"/>
          <w:b/>
          <w:sz w:val="24"/>
          <w:szCs w:val="24"/>
        </w:rPr>
        <w:t xml:space="preserve"> voire négatifs malgré les performances notées au niveau de ces secteurs</w:t>
      </w:r>
      <w:r w:rsidRPr="00D16513">
        <w:rPr>
          <w:rFonts w:ascii="Times New Roman" w:hAnsi="Times New Roman"/>
          <w:sz w:val="24"/>
          <w:szCs w:val="24"/>
        </w:rPr>
        <w:t xml:space="preserve">. </w:t>
      </w:r>
      <w:r>
        <w:rPr>
          <w:rFonts w:ascii="Times New Roman" w:hAnsi="Times New Roman"/>
          <w:sz w:val="24"/>
          <w:szCs w:val="24"/>
        </w:rPr>
        <w:t>En effet, en 2011 l</w:t>
      </w:r>
      <w:r w:rsidRPr="00D16513">
        <w:rPr>
          <w:rFonts w:ascii="Times New Roman" w:hAnsi="Times New Roman"/>
          <w:sz w:val="24"/>
          <w:szCs w:val="24"/>
        </w:rPr>
        <w:t>es quatre pôles prioritaires ont occupé environ 8</w:t>
      </w:r>
      <w:r w:rsidR="007912A4">
        <w:rPr>
          <w:rFonts w:ascii="Times New Roman" w:hAnsi="Times New Roman"/>
          <w:sz w:val="24"/>
          <w:szCs w:val="24"/>
        </w:rPr>
        <w:t>2</w:t>
      </w:r>
      <w:r w:rsidRPr="00D16513">
        <w:rPr>
          <w:rFonts w:ascii="Times New Roman" w:hAnsi="Times New Roman"/>
          <w:sz w:val="24"/>
          <w:szCs w:val="24"/>
        </w:rPr>
        <w:t xml:space="preserve">% de la </w:t>
      </w:r>
      <w:r>
        <w:rPr>
          <w:rFonts w:ascii="Times New Roman" w:hAnsi="Times New Roman"/>
          <w:sz w:val="24"/>
          <w:szCs w:val="24"/>
        </w:rPr>
        <w:t xml:space="preserve">population et ont contribué à </w:t>
      </w:r>
      <w:r w:rsidR="007912A4">
        <w:rPr>
          <w:rFonts w:ascii="Times New Roman" w:hAnsi="Times New Roman"/>
          <w:sz w:val="24"/>
          <w:szCs w:val="24"/>
        </w:rPr>
        <w:t>87</w:t>
      </w:r>
      <w:r w:rsidRPr="00D16513">
        <w:rPr>
          <w:rFonts w:ascii="Times New Roman" w:hAnsi="Times New Roman"/>
          <w:sz w:val="24"/>
          <w:szCs w:val="24"/>
        </w:rPr>
        <w:t>% de la pauvreté nationale</w:t>
      </w:r>
      <w:r w:rsidR="007912A4">
        <w:rPr>
          <w:rFonts w:ascii="Times New Roman" w:hAnsi="Times New Roman"/>
          <w:sz w:val="24"/>
          <w:szCs w:val="24"/>
        </w:rPr>
        <w:t xml:space="preserve"> contre respectivement 82</w:t>
      </w:r>
      <w:r>
        <w:rPr>
          <w:rFonts w:ascii="Times New Roman" w:hAnsi="Times New Roman"/>
          <w:sz w:val="24"/>
          <w:szCs w:val="24"/>
        </w:rPr>
        <w:t xml:space="preserve">%  et </w:t>
      </w:r>
      <w:r w:rsidR="007912A4">
        <w:rPr>
          <w:rFonts w:ascii="Times New Roman" w:hAnsi="Times New Roman"/>
          <w:sz w:val="24"/>
          <w:szCs w:val="24"/>
        </w:rPr>
        <w:t>78,4</w:t>
      </w:r>
      <w:r>
        <w:rPr>
          <w:rFonts w:ascii="Times New Roman" w:hAnsi="Times New Roman"/>
          <w:sz w:val="24"/>
          <w:szCs w:val="24"/>
        </w:rPr>
        <w:t xml:space="preserve">% en 2006. Ceci montre ainsi l’importance que représentent ces  secteurs en particulier le secteur agricole dans les stratégies de réduction de la pauvreté. Mais, </w:t>
      </w:r>
      <w:r w:rsidRPr="00D16513">
        <w:rPr>
          <w:rFonts w:ascii="Times New Roman" w:hAnsi="Times New Roman"/>
          <w:sz w:val="24"/>
          <w:szCs w:val="24"/>
        </w:rPr>
        <w:t>comme le montre</w:t>
      </w:r>
      <w:r>
        <w:rPr>
          <w:rFonts w:ascii="Times New Roman" w:hAnsi="Times New Roman"/>
          <w:sz w:val="24"/>
          <w:szCs w:val="24"/>
        </w:rPr>
        <w:t xml:space="preserve"> le graphique ci-dessous, dans la majorité de ces</w:t>
      </w:r>
      <w:r w:rsidRPr="00D16513">
        <w:rPr>
          <w:rFonts w:ascii="Times New Roman" w:hAnsi="Times New Roman"/>
          <w:sz w:val="24"/>
          <w:szCs w:val="24"/>
        </w:rPr>
        <w:t xml:space="preserve"> secteurs, les épisodes de croissance soutenue observés se sont plutôt soldés par une accentuation de la pauvreté (agriculture, commerce et logistique). Ces résultats suggèrent que le degré de variation de la pauvreté ne semble pas être lié au rythme de la croissance sectorielle. </w:t>
      </w:r>
      <w:r>
        <w:rPr>
          <w:rFonts w:ascii="Times New Roman" w:hAnsi="Times New Roman"/>
          <w:sz w:val="24"/>
          <w:szCs w:val="24"/>
        </w:rPr>
        <w:t xml:space="preserve">Aussi, suggèrent-ils que dans les secteurs ci-dessus mentionnés, la croissance n’a pas été favorable aux ménages pauvres ni même aux vulnérables. D’où la nécessité </w:t>
      </w:r>
      <w:r w:rsidRPr="002D569B">
        <w:rPr>
          <w:rFonts w:ascii="Times New Roman" w:hAnsi="Times New Roman"/>
          <w:sz w:val="24"/>
          <w:szCs w:val="24"/>
        </w:rPr>
        <w:t>de savoir à quelle frange de la population les épisodes de croissance enregistrés au niveau de certains de</w:t>
      </w:r>
      <w:r>
        <w:rPr>
          <w:rFonts w:ascii="Times New Roman" w:hAnsi="Times New Roman"/>
          <w:sz w:val="24"/>
          <w:szCs w:val="24"/>
        </w:rPr>
        <w:t>s</w:t>
      </w:r>
      <w:r w:rsidRPr="002D569B">
        <w:rPr>
          <w:rFonts w:ascii="Times New Roman" w:hAnsi="Times New Roman"/>
          <w:sz w:val="24"/>
          <w:szCs w:val="24"/>
        </w:rPr>
        <w:t xml:space="preserve"> pôles de croissanc</w:t>
      </w:r>
      <w:r>
        <w:rPr>
          <w:rFonts w:ascii="Times New Roman" w:hAnsi="Times New Roman"/>
          <w:sz w:val="24"/>
          <w:szCs w:val="24"/>
        </w:rPr>
        <w:t>e</w:t>
      </w:r>
      <w:r w:rsidRPr="002D569B">
        <w:rPr>
          <w:rFonts w:ascii="Times New Roman" w:hAnsi="Times New Roman"/>
          <w:sz w:val="24"/>
          <w:szCs w:val="24"/>
        </w:rPr>
        <w:t xml:space="preserve"> ont profité bien qu’</w:t>
      </w:r>
      <w:r>
        <w:rPr>
          <w:rFonts w:ascii="Times New Roman" w:hAnsi="Times New Roman"/>
          <w:sz w:val="24"/>
          <w:szCs w:val="24"/>
        </w:rPr>
        <w:t>i</w:t>
      </w:r>
      <w:r w:rsidRPr="002D569B">
        <w:rPr>
          <w:rFonts w:ascii="Times New Roman" w:hAnsi="Times New Roman"/>
          <w:sz w:val="24"/>
          <w:szCs w:val="24"/>
        </w:rPr>
        <w:t xml:space="preserve">ls soient de faible portée. </w:t>
      </w:r>
      <w:r w:rsidRPr="00D16513">
        <w:rPr>
          <w:rFonts w:ascii="Times New Roman" w:hAnsi="Times New Roman"/>
          <w:sz w:val="24"/>
          <w:szCs w:val="24"/>
        </w:rPr>
        <w:t>Toutefois, il est aussi probable</w:t>
      </w:r>
      <w:r>
        <w:rPr>
          <w:rFonts w:ascii="Times New Roman" w:hAnsi="Times New Roman"/>
          <w:sz w:val="24"/>
          <w:szCs w:val="24"/>
        </w:rPr>
        <w:t xml:space="preserve"> de noter que </w:t>
      </w:r>
      <w:r w:rsidRPr="00D16513">
        <w:rPr>
          <w:rFonts w:ascii="Times New Roman" w:hAnsi="Times New Roman"/>
          <w:sz w:val="24"/>
          <w:szCs w:val="24"/>
        </w:rPr>
        <w:t xml:space="preserve">cette évolution </w:t>
      </w:r>
      <w:r>
        <w:rPr>
          <w:rFonts w:ascii="Times New Roman" w:hAnsi="Times New Roman"/>
          <w:sz w:val="24"/>
          <w:szCs w:val="24"/>
        </w:rPr>
        <w:t>peut traduire</w:t>
      </w:r>
      <w:r w:rsidRPr="00D16513">
        <w:rPr>
          <w:rFonts w:ascii="Times New Roman" w:hAnsi="Times New Roman"/>
          <w:sz w:val="24"/>
          <w:szCs w:val="24"/>
        </w:rPr>
        <w:t xml:space="preserve"> dans une certaine mesure, des difficultés de mesure</w:t>
      </w:r>
      <w:r w:rsidRPr="00D16513">
        <w:rPr>
          <w:rStyle w:val="Appelnotedebasdep"/>
          <w:rFonts w:ascii="Times New Roman" w:hAnsi="Times New Roman"/>
          <w:sz w:val="24"/>
          <w:szCs w:val="24"/>
        </w:rPr>
        <w:footnoteReference w:id="5"/>
      </w:r>
      <w:r w:rsidRPr="00D16513">
        <w:rPr>
          <w:rFonts w:ascii="Times New Roman" w:hAnsi="Times New Roman"/>
          <w:sz w:val="24"/>
          <w:szCs w:val="24"/>
        </w:rPr>
        <w:t xml:space="preserve"> (Sala-i-Martin et Pinkovskiy (2010), Young (2010).</w:t>
      </w:r>
    </w:p>
    <w:p w:rsidR="007F1584" w:rsidRDefault="007F1584" w:rsidP="007F1584">
      <w:pPr>
        <w:tabs>
          <w:tab w:val="left" w:pos="1335"/>
        </w:tabs>
        <w:spacing w:line="276" w:lineRule="auto"/>
        <w:rPr>
          <w:rFonts w:ascii="Times New Roman" w:hAnsi="Times New Roman"/>
          <w:sz w:val="24"/>
          <w:szCs w:val="24"/>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9078"/>
      </w:tblGrid>
      <w:tr w:rsidR="00E6625F" w:rsidRPr="001D556B" w:rsidTr="00D67551">
        <w:trPr>
          <w:trHeight w:val="436"/>
        </w:trPr>
        <w:tc>
          <w:tcPr>
            <w:tcW w:w="9078" w:type="dxa"/>
            <w:shd w:val="clear" w:color="auto" w:fill="92CDDC" w:themeFill="accent5" w:themeFillTint="99"/>
          </w:tcPr>
          <w:p w:rsidR="00E6625F" w:rsidRPr="001D556B" w:rsidRDefault="001D556B" w:rsidP="00D67551">
            <w:pPr>
              <w:tabs>
                <w:tab w:val="left" w:pos="1335"/>
              </w:tabs>
              <w:spacing w:before="120" w:line="276" w:lineRule="auto"/>
              <w:rPr>
                <w:rFonts w:ascii="Times New Roman" w:hAnsi="Times New Roman"/>
                <w:sz w:val="24"/>
                <w:szCs w:val="24"/>
              </w:rPr>
            </w:pPr>
            <w:r w:rsidRPr="001D556B">
              <w:rPr>
                <w:rFonts w:ascii="Times New Roman" w:hAnsi="Times New Roman"/>
                <w:sz w:val="24"/>
                <w:szCs w:val="24"/>
              </w:rPr>
              <w:t>Graphique 0.2</w:t>
            </w:r>
            <w:r w:rsidR="00E6625F" w:rsidRPr="001D556B">
              <w:rPr>
                <w:rFonts w:ascii="Times New Roman" w:hAnsi="Times New Roman"/>
                <w:sz w:val="24"/>
                <w:szCs w:val="24"/>
              </w:rPr>
              <w:t>: Corrélation entre croissance</w:t>
            </w:r>
            <w:r w:rsidR="00E6625F" w:rsidRPr="001D556B">
              <w:rPr>
                <w:rStyle w:val="Appelnotedebasdep"/>
                <w:rFonts w:ascii="Times New Roman" w:hAnsi="Times New Roman"/>
                <w:sz w:val="24"/>
                <w:szCs w:val="24"/>
              </w:rPr>
              <w:footnoteReference w:id="6"/>
            </w:r>
            <w:r w:rsidR="00E6625F" w:rsidRPr="001D556B">
              <w:rPr>
                <w:rFonts w:ascii="Times New Roman" w:hAnsi="Times New Roman"/>
                <w:sz w:val="24"/>
                <w:szCs w:val="24"/>
              </w:rPr>
              <w:t xml:space="preserve"> et pauvreté entre 2006 et 2009</w:t>
            </w:r>
          </w:p>
        </w:tc>
      </w:tr>
      <w:tr w:rsidR="00E6625F" w:rsidTr="00D67551">
        <w:trPr>
          <w:trHeight w:val="4612"/>
        </w:trPr>
        <w:tc>
          <w:tcPr>
            <w:tcW w:w="9078" w:type="dxa"/>
            <w:shd w:val="clear" w:color="auto" w:fill="DAEEF3" w:themeFill="accent5" w:themeFillTint="33"/>
          </w:tcPr>
          <w:p w:rsidR="00E6625F" w:rsidRPr="00C91E80" w:rsidRDefault="00E6625F" w:rsidP="00D67551">
            <w:pPr>
              <w:spacing w:line="276" w:lineRule="auto"/>
              <w:rPr>
                <w:rFonts w:ascii="Times New Roman" w:hAnsi="Times New Roman"/>
                <w:sz w:val="12"/>
                <w:szCs w:val="12"/>
              </w:rPr>
            </w:pPr>
          </w:p>
          <w:p w:rsidR="00E6625F" w:rsidRDefault="00651B9D" w:rsidP="00D67551">
            <w:pPr>
              <w:spacing w:line="276" w:lineRule="auto"/>
              <w:rPr>
                <w:rFonts w:ascii="Times New Roman" w:hAnsi="Times New Roman"/>
                <w:sz w:val="24"/>
                <w:szCs w:val="24"/>
              </w:rPr>
            </w:pPr>
            <w:r w:rsidRPr="00651B9D">
              <w:rPr>
                <w:rFonts w:ascii="Times New Roman" w:hAnsi="Times New Roman"/>
                <w:noProof/>
                <w:sz w:val="24"/>
                <w:szCs w:val="24"/>
                <w:lang w:eastAsia="fr-FR"/>
              </w:rPr>
              <w:drawing>
                <wp:inline distT="0" distB="0" distL="0" distR="0" wp14:anchorId="6834103D" wp14:editId="305FE168">
                  <wp:extent cx="5553075" cy="2552700"/>
                  <wp:effectExtent l="19050" t="0" r="9525" b="0"/>
                  <wp:docPr id="3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6625F" w:rsidRPr="00C91E80" w:rsidRDefault="00E6625F" w:rsidP="00D67551">
            <w:pPr>
              <w:spacing w:line="276" w:lineRule="auto"/>
              <w:rPr>
                <w:rFonts w:ascii="Times New Roman" w:hAnsi="Times New Roman"/>
                <w:sz w:val="20"/>
                <w:szCs w:val="20"/>
              </w:rPr>
            </w:pPr>
            <w:r w:rsidRPr="00C91E80">
              <w:rPr>
                <w:rFonts w:ascii="Times New Roman" w:hAnsi="Times New Roman"/>
                <w:sz w:val="20"/>
                <w:szCs w:val="20"/>
              </w:rPr>
              <w:t>Source : INSAE</w:t>
            </w:r>
            <w:r>
              <w:rPr>
                <w:rFonts w:ascii="Times New Roman" w:hAnsi="Times New Roman"/>
                <w:sz w:val="20"/>
                <w:szCs w:val="20"/>
              </w:rPr>
              <w:t>,</w:t>
            </w:r>
            <w:r w:rsidRPr="00C91E80">
              <w:rPr>
                <w:rFonts w:ascii="Times New Roman" w:hAnsi="Times New Roman"/>
                <w:sz w:val="20"/>
                <w:szCs w:val="20"/>
              </w:rPr>
              <w:t xml:space="preserve"> 2013</w:t>
            </w:r>
          </w:p>
        </w:tc>
      </w:tr>
    </w:tbl>
    <w:p w:rsidR="00E6625F" w:rsidRDefault="00E6625F" w:rsidP="00E6625F">
      <w:pPr>
        <w:tabs>
          <w:tab w:val="left" w:pos="1335"/>
        </w:tabs>
        <w:spacing w:line="276" w:lineRule="auto"/>
        <w:rPr>
          <w:rFonts w:ascii="Times New Roman" w:hAnsi="Times New Roman"/>
          <w:sz w:val="24"/>
          <w:szCs w:val="24"/>
        </w:rPr>
      </w:pPr>
    </w:p>
    <w:p w:rsidR="007F1584" w:rsidRPr="003238E3" w:rsidRDefault="007F1584" w:rsidP="007F1584">
      <w:pPr>
        <w:spacing w:line="276" w:lineRule="auto"/>
        <w:rPr>
          <w:rFonts w:ascii="Times New Roman" w:eastAsia="Times New Roman" w:hAnsi="Times New Roman"/>
          <w:bCs/>
          <w:color w:val="000000"/>
          <w:sz w:val="24"/>
          <w:szCs w:val="24"/>
          <w:lang w:eastAsia="fr-FR"/>
        </w:rPr>
      </w:pPr>
      <w:r w:rsidRPr="003238E3">
        <w:rPr>
          <w:rFonts w:ascii="Times New Roman" w:eastAsia="Times New Roman" w:hAnsi="Times New Roman"/>
          <w:b/>
          <w:bCs/>
          <w:color w:val="000000"/>
          <w:sz w:val="24"/>
          <w:szCs w:val="24"/>
          <w:lang w:eastAsia="fr-FR"/>
        </w:rPr>
        <w:t>La  connexion entre la croissance économique et la pauvreté est effective</w:t>
      </w:r>
      <w:r>
        <w:rPr>
          <w:rFonts w:ascii="Times New Roman" w:eastAsia="Times New Roman" w:hAnsi="Times New Roman"/>
          <w:b/>
          <w:bCs/>
          <w:color w:val="000000"/>
          <w:sz w:val="24"/>
          <w:szCs w:val="24"/>
          <w:lang w:eastAsia="fr-FR"/>
        </w:rPr>
        <w:t xml:space="preserve"> mais concerne essentiellement les ménages les plus pauvres. </w:t>
      </w:r>
      <w:r w:rsidRPr="003238E3">
        <w:rPr>
          <w:rFonts w:ascii="Times New Roman" w:hAnsi="Times New Roman"/>
          <w:sz w:val="24"/>
          <w:szCs w:val="24"/>
        </w:rPr>
        <w:t xml:space="preserve">Au niveau national, </w:t>
      </w:r>
      <w:r w:rsidRPr="003238E3">
        <w:rPr>
          <w:rFonts w:ascii="Times New Roman" w:eastAsia="Times New Roman" w:hAnsi="Times New Roman"/>
          <w:bCs/>
          <w:color w:val="000000"/>
          <w:sz w:val="24"/>
          <w:szCs w:val="24"/>
          <w:lang w:eastAsia="fr-FR"/>
        </w:rPr>
        <w:t xml:space="preserve">les niveaux de vie des populations les plus pauvres ont plus fortement augmenté qu’en moyenne. Ainsi, la croissance économique a été relativement pro-pauvre. Cependant, le taux de pauvreté a peu diminué car cette évolution favorable concerne environ les deux premiers déciles. </w:t>
      </w:r>
    </w:p>
    <w:p w:rsidR="007F1584" w:rsidRDefault="007F1584" w:rsidP="007F1584">
      <w:pPr>
        <w:spacing w:line="276" w:lineRule="auto"/>
        <w:rPr>
          <w:rFonts w:ascii="Times New Roman" w:eastAsia="Times New Roman" w:hAnsi="Times New Roman"/>
          <w:b/>
          <w:bCs/>
          <w:color w:val="000000"/>
          <w:sz w:val="24"/>
          <w:szCs w:val="24"/>
          <w:lang w:eastAsia="fr-FR"/>
        </w:rPr>
      </w:pPr>
    </w:p>
    <w:p w:rsidR="00DA5BAE" w:rsidRDefault="00DA5BAE" w:rsidP="007F1584">
      <w:pPr>
        <w:spacing w:line="276" w:lineRule="auto"/>
        <w:rPr>
          <w:rFonts w:ascii="Times New Roman" w:eastAsia="Times New Roman" w:hAnsi="Times New Roman"/>
          <w:b/>
          <w:bCs/>
          <w:color w:val="000000"/>
          <w:sz w:val="24"/>
          <w:szCs w:val="24"/>
          <w:lang w:eastAsia="fr-FR"/>
        </w:rPr>
      </w:pPr>
    </w:p>
    <w:p w:rsidR="00DA5BAE" w:rsidRDefault="00DA5BAE" w:rsidP="007F1584">
      <w:pPr>
        <w:spacing w:line="276" w:lineRule="auto"/>
        <w:rPr>
          <w:rFonts w:ascii="Times New Roman" w:eastAsia="Times New Roman" w:hAnsi="Times New Roman"/>
          <w:b/>
          <w:bCs/>
          <w:color w:val="000000"/>
          <w:sz w:val="24"/>
          <w:szCs w:val="24"/>
          <w:lang w:eastAsia="fr-FR"/>
        </w:rPr>
      </w:pPr>
    </w:p>
    <w:p w:rsidR="00DA5BAE" w:rsidRDefault="00DA5BAE" w:rsidP="007F1584">
      <w:pPr>
        <w:spacing w:line="276" w:lineRule="auto"/>
        <w:rPr>
          <w:rFonts w:ascii="Times New Roman" w:eastAsia="Times New Roman" w:hAnsi="Times New Roman"/>
          <w:b/>
          <w:bCs/>
          <w:color w:val="000000"/>
          <w:sz w:val="24"/>
          <w:szCs w:val="24"/>
          <w:lang w:eastAsia="fr-FR"/>
        </w:rPr>
      </w:pPr>
    </w:p>
    <w:p w:rsidR="00DA5BAE" w:rsidRDefault="00DA5BAE" w:rsidP="007F1584">
      <w:pPr>
        <w:spacing w:line="276" w:lineRule="auto"/>
        <w:rPr>
          <w:rFonts w:ascii="Times New Roman" w:eastAsia="Times New Roman" w:hAnsi="Times New Roman"/>
          <w:b/>
          <w:bCs/>
          <w:color w:val="000000"/>
          <w:sz w:val="24"/>
          <w:szCs w:val="24"/>
          <w:lang w:eastAsia="fr-FR"/>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9258"/>
      </w:tblGrid>
      <w:tr w:rsidR="009E4C1C" w:rsidTr="009E4C1C">
        <w:trPr>
          <w:trHeight w:val="606"/>
        </w:trPr>
        <w:tc>
          <w:tcPr>
            <w:tcW w:w="9258" w:type="dxa"/>
            <w:shd w:val="clear" w:color="auto" w:fill="92CDDC" w:themeFill="accent5" w:themeFillTint="99"/>
          </w:tcPr>
          <w:p w:rsidR="009E4C1C" w:rsidRPr="009E4C1C" w:rsidRDefault="009E4C1C" w:rsidP="009E4C1C">
            <w:pPr>
              <w:spacing w:line="240" w:lineRule="auto"/>
              <w:rPr>
                <w:rFonts w:ascii="Times New Roman" w:hAnsi="Times New Roman"/>
                <w:sz w:val="24"/>
                <w:szCs w:val="24"/>
              </w:rPr>
            </w:pPr>
            <w:r w:rsidRPr="009E4C1C">
              <w:rPr>
                <w:rFonts w:ascii="Times New Roman" w:hAnsi="Times New Roman"/>
                <w:sz w:val="24"/>
                <w:szCs w:val="24"/>
              </w:rPr>
              <w:t xml:space="preserve">Graphique 0.3: Courbes de croissance de la pauvreté (2006-2009) </w:t>
            </w:r>
            <w:r>
              <w:rPr>
                <w:rFonts w:ascii="Times New Roman" w:hAnsi="Times New Roman"/>
                <w:sz w:val="24"/>
                <w:szCs w:val="24"/>
              </w:rPr>
              <w:t xml:space="preserve">au niveau national et   selon </w:t>
            </w:r>
            <w:r w:rsidRPr="009E4C1C">
              <w:rPr>
                <w:rFonts w:ascii="Times New Roman" w:hAnsi="Times New Roman"/>
                <w:sz w:val="24"/>
                <w:szCs w:val="24"/>
              </w:rPr>
              <w:t>les milieux de résidence</w:t>
            </w:r>
          </w:p>
        </w:tc>
      </w:tr>
      <w:tr w:rsidR="00D67551" w:rsidTr="00332215">
        <w:trPr>
          <w:trHeight w:val="4612"/>
        </w:trPr>
        <w:tc>
          <w:tcPr>
            <w:tcW w:w="9258" w:type="dxa"/>
            <w:shd w:val="clear" w:color="auto" w:fill="DAEEF3" w:themeFill="accent5" w:themeFillTint="33"/>
          </w:tcPr>
          <w:p w:rsidR="00D67551" w:rsidRPr="00C91E80" w:rsidRDefault="00D67551" w:rsidP="00D67551">
            <w:pPr>
              <w:spacing w:line="276" w:lineRule="auto"/>
              <w:rPr>
                <w:rFonts w:ascii="Times New Roman" w:hAnsi="Times New Roman"/>
                <w:sz w:val="12"/>
                <w:szCs w:val="12"/>
              </w:rPr>
            </w:pPr>
          </w:p>
          <w:p w:rsidR="00D67551" w:rsidRDefault="00504665" w:rsidP="00D67551">
            <w:pPr>
              <w:spacing w:line="276" w:lineRule="auto"/>
              <w:rPr>
                <w:rFonts w:ascii="Times New Roman" w:hAnsi="Times New Roman"/>
                <w:sz w:val="24"/>
                <w:szCs w:val="24"/>
              </w:rPr>
            </w:pPr>
            <w:r w:rsidRPr="00C15C6F">
              <w:rPr>
                <w:rFonts w:ascii="Times New Roman" w:hAnsi="Times New Roman"/>
                <w:noProof/>
                <w:sz w:val="24"/>
                <w:szCs w:val="24"/>
                <w:lang w:eastAsia="fr-FR"/>
              </w:rPr>
              <w:drawing>
                <wp:inline distT="0" distB="0" distL="0" distR="0" wp14:anchorId="6957262D" wp14:editId="4F606C8E">
                  <wp:extent cx="5543550" cy="3409950"/>
                  <wp:effectExtent l="0" t="0" r="0" b="0"/>
                  <wp:docPr id="5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5543550" cy="3409950"/>
                          </a:xfrm>
                          <a:prstGeom prst="rect">
                            <a:avLst/>
                          </a:prstGeom>
                          <a:noFill/>
                          <a:ln w="9525">
                            <a:noFill/>
                            <a:miter lim="800000"/>
                            <a:headEnd/>
                            <a:tailEnd/>
                          </a:ln>
                        </pic:spPr>
                      </pic:pic>
                    </a:graphicData>
                  </a:graphic>
                </wp:inline>
              </w:drawing>
            </w:r>
          </w:p>
          <w:p w:rsidR="00D67551" w:rsidRPr="00E35C7A" w:rsidRDefault="00D67551" w:rsidP="00D67551">
            <w:pPr>
              <w:spacing w:line="276" w:lineRule="auto"/>
              <w:rPr>
                <w:rFonts w:ascii="Times New Roman" w:eastAsia="Times New Roman" w:hAnsi="Times New Roman"/>
                <w:bCs/>
                <w:color w:val="000000"/>
                <w:sz w:val="20"/>
                <w:szCs w:val="20"/>
                <w:lang w:eastAsia="fr-FR"/>
              </w:rPr>
            </w:pPr>
            <w:r w:rsidRPr="00E35C7A">
              <w:rPr>
                <w:rFonts w:ascii="Times New Roman" w:eastAsia="Times New Roman" w:hAnsi="Times New Roman"/>
                <w:bCs/>
                <w:color w:val="000000"/>
                <w:sz w:val="20"/>
                <w:szCs w:val="20"/>
                <w:lang w:eastAsia="fr-FR"/>
              </w:rPr>
              <w:t>Source : INSAE, EMICOV 2006 et 2009</w:t>
            </w:r>
          </w:p>
        </w:tc>
      </w:tr>
    </w:tbl>
    <w:p w:rsidR="00A25FB1" w:rsidRDefault="00A25FB1" w:rsidP="007F1584">
      <w:pPr>
        <w:spacing w:line="276" w:lineRule="auto"/>
        <w:rPr>
          <w:rFonts w:ascii="Times New Roman" w:eastAsia="Times New Roman" w:hAnsi="Times New Roman"/>
          <w:b/>
          <w:bCs/>
          <w:color w:val="000000"/>
          <w:sz w:val="24"/>
          <w:szCs w:val="24"/>
          <w:lang w:eastAsia="fr-FR"/>
        </w:rPr>
      </w:pPr>
    </w:p>
    <w:p w:rsidR="007F1584" w:rsidRDefault="007F1584" w:rsidP="007F1584">
      <w:pPr>
        <w:spacing w:line="276" w:lineRule="auto"/>
        <w:rPr>
          <w:rFonts w:ascii="Times New Roman" w:eastAsia="Times New Roman" w:hAnsi="Times New Roman"/>
          <w:bCs/>
          <w:color w:val="000000"/>
          <w:sz w:val="24"/>
          <w:szCs w:val="24"/>
          <w:lang w:eastAsia="fr-FR"/>
        </w:rPr>
      </w:pPr>
      <w:r w:rsidRPr="000963C0">
        <w:rPr>
          <w:rFonts w:ascii="Times New Roman" w:eastAsia="Times New Roman" w:hAnsi="Times New Roman"/>
          <w:bCs/>
          <w:color w:val="000000"/>
          <w:sz w:val="24"/>
          <w:szCs w:val="24"/>
          <w:lang w:eastAsia="fr-FR"/>
        </w:rPr>
        <w:t>Que ce soit en milieu urbain ou en milieu rural, la croissance économique a été relativement pro-pauvre</w:t>
      </w:r>
      <w:r>
        <w:rPr>
          <w:rFonts w:ascii="Times New Roman" w:eastAsia="Times New Roman" w:hAnsi="Times New Roman"/>
          <w:bCs/>
          <w:color w:val="000000"/>
          <w:sz w:val="24"/>
          <w:szCs w:val="24"/>
          <w:lang w:eastAsia="fr-FR"/>
        </w:rPr>
        <w:t>. L</w:t>
      </w:r>
      <w:r>
        <w:rPr>
          <w:rFonts w:ascii="Times New Roman" w:hAnsi="Times New Roman"/>
          <w:sz w:val="24"/>
          <w:szCs w:val="24"/>
        </w:rPr>
        <w:t>es pauvres ont ainsi bénéficié proportionnellement plus que les non pauvres des gains de la croissance et l’inégalité a diminué. Par contre en termes absolus, c’est seulement en milieu urbain que la croissance a été pro-pauvre. En effet,  en milieu urbain, l’</w:t>
      </w:r>
      <w:r>
        <w:rPr>
          <w:rFonts w:ascii="Times New Roman" w:eastAsia="Times New Roman" w:hAnsi="Times New Roman"/>
          <w:bCs/>
          <w:color w:val="000000"/>
          <w:sz w:val="24"/>
          <w:szCs w:val="24"/>
          <w:lang w:eastAsia="fr-FR"/>
        </w:rPr>
        <w:t xml:space="preserve">amélioration du niveau de vie est notée </w:t>
      </w:r>
      <w:r>
        <w:rPr>
          <w:rFonts w:ascii="Times New Roman" w:hAnsi="Times New Roman"/>
          <w:sz w:val="24"/>
          <w:szCs w:val="24"/>
        </w:rPr>
        <w:t>pour tous les percentiles de la distribution des dépenses de consommation. Ceci expliquerait la baisse de l’incidence de la pauvreté non</w:t>
      </w:r>
      <w:r w:rsidR="00432093">
        <w:rPr>
          <w:rFonts w:ascii="Times New Roman" w:hAnsi="Times New Roman"/>
          <w:sz w:val="24"/>
          <w:szCs w:val="24"/>
        </w:rPr>
        <w:t xml:space="preserve"> </w:t>
      </w:r>
      <w:r>
        <w:rPr>
          <w:rFonts w:ascii="Times New Roman" w:hAnsi="Times New Roman"/>
          <w:sz w:val="24"/>
          <w:szCs w:val="24"/>
        </w:rPr>
        <w:t xml:space="preserve">monétaire de 5,3 points entre 2006 et 2009, puisque le niveau de vie de toute la population a augmenté. En revanche, en milieu rural, la croissance a plus profité aux ménages se situant au bas niveau de la distribution qu’aux ménages dont </w:t>
      </w:r>
      <w:r>
        <w:rPr>
          <w:rFonts w:ascii="Times New Roman" w:eastAsia="Times New Roman" w:hAnsi="Times New Roman"/>
          <w:bCs/>
          <w:color w:val="000000"/>
          <w:sz w:val="24"/>
          <w:szCs w:val="24"/>
          <w:lang w:eastAsia="fr-FR"/>
        </w:rPr>
        <w:t>la consommation par tête est proche du seuil de pauvreté, ce qui a fait que la baisse de l’incidence de la pauvreté est restée négligeable.</w:t>
      </w:r>
    </w:p>
    <w:p w:rsidR="007F1584" w:rsidRDefault="007F1584" w:rsidP="007F1584">
      <w:pPr>
        <w:spacing w:line="276" w:lineRule="auto"/>
        <w:rPr>
          <w:rFonts w:ascii="Times New Roman" w:eastAsia="Times New Roman" w:hAnsi="Times New Roman"/>
          <w:bCs/>
          <w:color w:val="000000"/>
          <w:sz w:val="24"/>
          <w:szCs w:val="24"/>
          <w:lang w:eastAsia="fr-FR"/>
        </w:rPr>
      </w:pPr>
    </w:p>
    <w:p w:rsidR="007F1584" w:rsidRDefault="007F1584" w:rsidP="007F1584">
      <w:pPr>
        <w:spacing w:line="276" w:lineRule="auto"/>
        <w:rPr>
          <w:rFonts w:ascii="Times New Roman" w:eastAsia="Times New Roman" w:hAnsi="Times New Roman"/>
          <w:bCs/>
          <w:color w:val="000000"/>
          <w:sz w:val="24"/>
          <w:szCs w:val="24"/>
          <w:lang w:eastAsia="fr-FR"/>
        </w:rPr>
      </w:pPr>
      <w:r w:rsidRPr="000963C0">
        <w:rPr>
          <w:rFonts w:ascii="Times New Roman" w:eastAsia="Times New Roman" w:hAnsi="Times New Roman"/>
          <w:bCs/>
          <w:color w:val="000000"/>
          <w:sz w:val="24"/>
          <w:szCs w:val="24"/>
          <w:lang w:eastAsia="fr-FR"/>
        </w:rPr>
        <w:t>Au niveau sectoriel, la croissance économique a été relativement pro-pauvre au niveau de l’agriculture, du coton-textile, de l’artisanat, culture et tourisme</w:t>
      </w:r>
      <w:r w:rsidR="00592812">
        <w:rPr>
          <w:rFonts w:ascii="Times New Roman" w:eastAsia="Times New Roman" w:hAnsi="Times New Roman"/>
          <w:bCs/>
          <w:color w:val="000000"/>
          <w:sz w:val="24"/>
          <w:szCs w:val="24"/>
          <w:lang w:eastAsia="fr-FR"/>
        </w:rPr>
        <w:t>,  des bâtiments et travaux publics</w:t>
      </w:r>
      <w:r w:rsidRPr="000963C0">
        <w:rPr>
          <w:rFonts w:ascii="Times New Roman" w:eastAsia="Times New Roman" w:hAnsi="Times New Roman"/>
          <w:bCs/>
          <w:color w:val="000000"/>
          <w:sz w:val="24"/>
          <w:szCs w:val="24"/>
          <w:lang w:eastAsia="fr-FR"/>
        </w:rPr>
        <w:t>. Elle est accompagnée d’une baisse de l’inégalité.</w:t>
      </w:r>
      <w:r w:rsidRPr="00EE7FC8">
        <w:rPr>
          <w:rFonts w:ascii="Times New Roman" w:eastAsia="Times New Roman" w:hAnsi="Times New Roman"/>
          <w:bCs/>
          <w:color w:val="000000"/>
          <w:sz w:val="24"/>
          <w:szCs w:val="24"/>
          <w:lang w:eastAsia="fr-FR"/>
        </w:rPr>
        <w:t xml:space="preserve"> P</w:t>
      </w:r>
      <w:r>
        <w:rPr>
          <w:rFonts w:ascii="Times New Roman" w:eastAsia="Times New Roman" w:hAnsi="Times New Roman"/>
          <w:bCs/>
          <w:color w:val="000000"/>
          <w:sz w:val="24"/>
          <w:szCs w:val="24"/>
          <w:lang w:eastAsia="fr-FR"/>
        </w:rPr>
        <w:t xml:space="preserve">our ces secteurs, </w:t>
      </w:r>
      <w:r w:rsidRPr="00CC1D4A">
        <w:rPr>
          <w:rFonts w:ascii="Times New Roman" w:eastAsia="Times New Roman" w:hAnsi="Times New Roman"/>
          <w:bCs/>
          <w:color w:val="000000"/>
          <w:sz w:val="24"/>
          <w:szCs w:val="24"/>
          <w:lang w:eastAsia="fr-FR"/>
        </w:rPr>
        <w:t>les pauvres</w:t>
      </w:r>
      <w:r w:rsidR="005E5426">
        <w:rPr>
          <w:rFonts w:ascii="Times New Roman" w:eastAsia="Times New Roman" w:hAnsi="Times New Roman"/>
          <w:bCs/>
          <w:color w:val="000000"/>
          <w:sz w:val="24"/>
          <w:szCs w:val="24"/>
          <w:lang w:eastAsia="fr-FR"/>
        </w:rPr>
        <w:t xml:space="preserve"> </w:t>
      </w:r>
      <w:r w:rsidRPr="00CC1D4A">
        <w:rPr>
          <w:rFonts w:ascii="Times New Roman" w:eastAsia="Times New Roman" w:hAnsi="Times New Roman"/>
          <w:bCs/>
          <w:color w:val="000000"/>
          <w:sz w:val="24"/>
          <w:szCs w:val="24"/>
          <w:lang w:eastAsia="fr-FR"/>
        </w:rPr>
        <w:t xml:space="preserve">ont bénéficié proportionnellement </w:t>
      </w:r>
      <w:r>
        <w:rPr>
          <w:rFonts w:ascii="Times New Roman" w:eastAsia="Times New Roman" w:hAnsi="Times New Roman"/>
          <w:bCs/>
          <w:color w:val="000000"/>
          <w:sz w:val="24"/>
          <w:szCs w:val="24"/>
          <w:lang w:eastAsia="fr-FR"/>
        </w:rPr>
        <w:t xml:space="preserve">plus </w:t>
      </w:r>
      <w:r w:rsidRPr="00CC1D4A">
        <w:rPr>
          <w:rFonts w:ascii="Times New Roman" w:eastAsia="Times New Roman" w:hAnsi="Times New Roman"/>
          <w:bCs/>
          <w:color w:val="000000"/>
          <w:sz w:val="24"/>
          <w:szCs w:val="24"/>
          <w:lang w:eastAsia="fr-FR"/>
        </w:rPr>
        <w:t xml:space="preserve">que les non pauvres des gains de la croissance et l’inégalité a diminué. </w:t>
      </w:r>
      <w:r w:rsidRPr="00C4490A">
        <w:rPr>
          <w:rFonts w:ascii="Times New Roman" w:eastAsia="Times New Roman" w:hAnsi="Times New Roman"/>
          <w:bCs/>
          <w:color w:val="000000"/>
          <w:sz w:val="24"/>
          <w:szCs w:val="24"/>
          <w:lang w:eastAsia="fr-FR"/>
        </w:rPr>
        <w:t xml:space="preserve">Toutefois en termes absolus, </w:t>
      </w:r>
      <w:r>
        <w:rPr>
          <w:rFonts w:ascii="Times New Roman" w:eastAsia="Times New Roman" w:hAnsi="Times New Roman"/>
          <w:bCs/>
          <w:color w:val="000000"/>
          <w:sz w:val="24"/>
          <w:szCs w:val="24"/>
          <w:lang w:eastAsia="fr-FR"/>
        </w:rPr>
        <w:t xml:space="preserve">contrairement aux secteurs « coton-textile » et « l’artisanat, culture, tourisme », </w:t>
      </w:r>
      <w:r w:rsidRPr="00E94516">
        <w:rPr>
          <w:rFonts w:ascii="Times New Roman" w:eastAsia="Times New Roman" w:hAnsi="Times New Roman"/>
          <w:bCs/>
          <w:color w:val="000000"/>
          <w:sz w:val="24"/>
          <w:szCs w:val="24"/>
          <w:lang w:eastAsia="fr-FR"/>
        </w:rPr>
        <w:t>la croissance n’a pas été pro-pauvre dans le secteur de l’agriculture. En effet, dans ce secteur, seuls les ménages pauvres du premier décile ont connu une amélioration de leur niveau de vie. Ainsi, l’aggravation de la pauvreté observée s’expliquerait par la dégradation du niveau de vie des ménages dont la consommation par tête est proche du seuil de pauvreté.</w:t>
      </w:r>
    </w:p>
    <w:p w:rsidR="007F1584" w:rsidRDefault="007F1584" w:rsidP="007F1584">
      <w:pPr>
        <w:spacing w:line="276" w:lineRule="auto"/>
        <w:rPr>
          <w:rFonts w:ascii="Times New Roman" w:eastAsia="Times New Roman" w:hAnsi="Times New Roman"/>
          <w:bCs/>
          <w:color w:val="000000"/>
          <w:sz w:val="24"/>
          <w:szCs w:val="24"/>
          <w:lang w:eastAsia="fr-FR"/>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9288"/>
      </w:tblGrid>
      <w:tr w:rsidR="009E4C1C" w:rsidTr="009E4C1C">
        <w:trPr>
          <w:trHeight w:val="748"/>
        </w:trPr>
        <w:tc>
          <w:tcPr>
            <w:tcW w:w="9288" w:type="dxa"/>
            <w:shd w:val="clear" w:color="auto" w:fill="92CDDC" w:themeFill="accent5" w:themeFillTint="99"/>
          </w:tcPr>
          <w:p w:rsidR="009E4C1C" w:rsidRPr="009E4C1C" w:rsidRDefault="009E4C1C" w:rsidP="009E4C1C">
            <w:pPr>
              <w:spacing w:line="240" w:lineRule="auto"/>
              <w:rPr>
                <w:rFonts w:ascii="Times New Roman" w:hAnsi="Times New Roman"/>
                <w:sz w:val="24"/>
                <w:szCs w:val="24"/>
              </w:rPr>
            </w:pPr>
            <w:r w:rsidRPr="009E4C1C">
              <w:rPr>
                <w:rFonts w:ascii="Times New Roman" w:hAnsi="Times New Roman"/>
                <w:sz w:val="24"/>
                <w:szCs w:val="24"/>
              </w:rPr>
              <w:t>Graphique 0.4: Courbes de croissance de la pauvreté (2006-2009) selon les pôles de   croissance.</w:t>
            </w:r>
          </w:p>
        </w:tc>
      </w:tr>
      <w:tr w:rsidR="00D67551" w:rsidTr="009E4C1C">
        <w:trPr>
          <w:trHeight w:val="4612"/>
        </w:trPr>
        <w:tc>
          <w:tcPr>
            <w:tcW w:w="9288" w:type="dxa"/>
            <w:shd w:val="clear" w:color="auto" w:fill="DAEEF3" w:themeFill="accent5" w:themeFillTint="33"/>
          </w:tcPr>
          <w:p w:rsidR="00D67551" w:rsidRPr="00C91E80" w:rsidRDefault="00D67551" w:rsidP="00D67551">
            <w:pPr>
              <w:spacing w:line="276" w:lineRule="auto"/>
              <w:rPr>
                <w:rFonts w:ascii="Times New Roman" w:hAnsi="Times New Roman"/>
                <w:sz w:val="12"/>
                <w:szCs w:val="12"/>
              </w:rPr>
            </w:pPr>
          </w:p>
          <w:p w:rsidR="00D67551" w:rsidRDefault="00504665" w:rsidP="00D67551">
            <w:pPr>
              <w:spacing w:line="276" w:lineRule="auto"/>
              <w:rPr>
                <w:rFonts w:ascii="Times New Roman" w:hAnsi="Times New Roman"/>
                <w:sz w:val="24"/>
                <w:szCs w:val="24"/>
              </w:rPr>
            </w:pPr>
            <w:r w:rsidRPr="00C15C6F">
              <w:rPr>
                <w:rFonts w:ascii="Times New Roman" w:hAnsi="Times New Roman"/>
                <w:noProof/>
                <w:sz w:val="24"/>
                <w:szCs w:val="24"/>
                <w:lang w:eastAsia="fr-FR"/>
              </w:rPr>
              <w:drawing>
                <wp:inline distT="0" distB="0" distL="0" distR="0" wp14:anchorId="44CB5BC6" wp14:editId="488C8E40">
                  <wp:extent cx="5429250" cy="3743325"/>
                  <wp:effectExtent l="0" t="0" r="0" b="0"/>
                  <wp:docPr id="5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5429250" cy="3743325"/>
                          </a:xfrm>
                          <a:prstGeom prst="rect">
                            <a:avLst/>
                          </a:prstGeom>
                          <a:noFill/>
                          <a:ln w="9525">
                            <a:noFill/>
                            <a:miter lim="800000"/>
                            <a:headEnd/>
                            <a:tailEnd/>
                          </a:ln>
                        </pic:spPr>
                      </pic:pic>
                    </a:graphicData>
                  </a:graphic>
                </wp:inline>
              </w:drawing>
            </w:r>
          </w:p>
          <w:p w:rsidR="00D67551" w:rsidRPr="00E35C7A" w:rsidRDefault="00D67551" w:rsidP="00D67551">
            <w:pPr>
              <w:spacing w:line="276" w:lineRule="auto"/>
              <w:rPr>
                <w:rFonts w:ascii="Times New Roman" w:eastAsia="Times New Roman" w:hAnsi="Times New Roman"/>
                <w:bCs/>
                <w:color w:val="000000"/>
                <w:sz w:val="20"/>
                <w:szCs w:val="20"/>
                <w:lang w:eastAsia="fr-FR"/>
              </w:rPr>
            </w:pPr>
            <w:r w:rsidRPr="00E35C7A">
              <w:rPr>
                <w:rFonts w:ascii="Times New Roman" w:eastAsia="Times New Roman" w:hAnsi="Times New Roman"/>
                <w:bCs/>
                <w:color w:val="000000"/>
                <w:sz w:val="20"/>
                <w:szCs w:val="20"/>
                <w:lang w:eastAsia="fr-FR"/>
              </w:rPr>
              <w:t>Source : INSAE, EMICOV 2006 et 2009</w:t>
            </w:r>
          </w:p>
        </w:tc>
      </w:tr>
    </w:tbl>
    <w:p w:rsidR="00D67551" w:rsidRPr="00E35C7A" w:rsidRDefault="00D67551" w:rsidP="00D67551">
      <w:pPr>
        <w:spacing w:line="276" w:lineRule="auto"/>
        <w:rPr>
          <w:rFonts w:ascii="Times New Roman" w:eastAsia="Times New Roman" w:hAnsi="Times New Roman"/>
          <w:bCs/>
          <w:color w:val="000000"/>
          <w:sz w:val="12"/>
          <w:szCs w:val="12"/>
          <w:lang w:eastAsia="fr-FR"/>
        </w:rPr>
      </w:pPr>
    </w:p>
    <w:p w:rsidR="00D67551" w:rsidRPr="00571D85" w:rsidRDefault="00D67551" w:rsidP="00D67551">
      <w:pPr>
        <w:spacing w:line="276" w:lineRule="auto"/>
        <w:rPr>
          <w:rFonts w:ascii="Times New Roman" w:eastAsia="Times New Roman" w:hAnsi="Times New Roman"/>
          <w:bCs/>
          <w:color w:val="000000"/>
          <w:sz w:val="12"/>
          <w:szCs w:val="12"/>
          <w:lang w:eastAsia="fr-FR"/>
        </w:rPr>
      </w:pPr>
    </w:p>
    <w:p w:rsidR="007F1584" w:rsidRDefault="007F1584" w:rsidP="007F1584">
      <w:pPr>
        <w:spacing w:line="276" w:lineRule="auto"/>
        <w:rPr>
          <w:rFonts w:ascii="Times New Roman" w:hAnsi="Times New Roman"/>
          <w:sz w:val="24"/>
          <w:szCs w:val="24"/>
        </w:rPr>
      </w:pPr>
      <w:r w:rsidRPr="00CE2434">
        <w:rPr>
          <w:rFonts w:ascii="Times New Roman" w:eastAsia="Times New Roman" w:hAnsi="Times New Roman"/>
          <w:bCs/>
          <w:color w:val="000000"/>
          <w:sz w:val="24"/>
          <w:szCs w:val="24"/>
          <w:lang w:eastAsia="fr-FR"/>
        </w:rPr>
        <w:t xml:space="preserve">En l’état, </w:t>
      </w:r>
      <w:r>
        <w:rPr>
          <w:rFonts w:ascii="Times New Roman" w:eastAsia="Times New Roman" w:hAnsi="Times New Roman"/>
          <w:bCs/>
          <w:color w:val="000000"/>
          <w:sz w:val="24"/>
          <w:szCs w:val="24"/>
          <w:lang w:eastAsia="fr-FR"/>
        </w:rPr>
        <w:t xml:space="preserve">la croissance est susceptible de contribuer davantage à la réduction de la </w:t>
      </w:r>
      <w:r w:rsidR="00544EB5">
        <w:rPr>
          <w:rFonts w:ascii="Times New Roman" w:eastAsia="Times New Roman" w:hAnsi="Times New Roman"/>
          <w:bCs/>
          <w:color w:val="000000"/>
          <w:sz w:val="24"/>
          <w:szCs w:val="24"/>
          <w:lang w:eastAsia="fr-FR"/>
        </w:rPr>
        <w:t>extrême pauvreté</w:t>
      </w:r>
      <w:r>
        <w:rPr>
          <w:rFonts w:ascii="Times New Roman" w:eastAsia="Times New Roman" w:hAnsi="Times New Roman"/>
          <w:bCs/>
          <w:color w:val="000000"/>
          <w:sz w:val="24"/>
          <w:szCs w:val="24"/>
          <w:lang w:eastAsia="fr-FR"/>
        </w:rPr>
        <w:t xml:space="preserve"> et </w:t>
      </w:r>
      <w:r w:rsidRPr="00CE2434">
        <w:rPr>
          <w:rFonts w:ascii="Times New Roman" w:eastAsia="Times New Roman" w:hAnsi="Times New Roman"/>
          <w:bCs/>
          <w:color w:val="000000"/>
          <w:sz w:val="24"/>
          <w:szCs w:val="24"/>
          <w:lang w:eastAsia="fr-FR"/>
        </w:rPr>
        <w:t>non à une réduction conséquente du taux de pauvreté monétaire.</w:t>
      </w:r>
      <w:r>
        <w:rPr>
          <w:rFonts w:ascii="Times New Roman" w:eastAsia="Times New Roman" w:hAnsi="Times New Roman"/>
          <w:bCs/>
          <w:color w:val="000000"/>
          <w:sz w:val="24"/>
          <w:szCs w:val="24"/>
          <w:lang w:eastAsia="fr-FR"/>
        </w:rPr>
        <w:t xml:space="preserve"> Pour atteindre ce dernier résultat, i</w:t>
      </w:r>
      <w:r w:rsidRPr="00CE2434">
        <w:rPr>
          <w:rFonts w:ascii="Times New Roman" w:eastAsia="Times New Roman" w:hAnsi="Times New Roman"/>
          <w:bCs/>
          <w:color w:val="000000"/>
          <w:sz w:val="24"/>
          <w:szCs w:val="24"/>
          <w:lang w:eastAsia="fr-FR"/>
        </w:rPr>
        <w:t xml:space="preserve">l est donc nécessaire que la croissance profite </w:t>
      </w:r>
      <w:r>
        <w:rPr>
          <w:rFonts w:ascii="Times New Roman" w:eastAsia="Times New Roman" w:hAnsi="Times New Roman"/>
          <w:bCs/>
          <w:color w:val="000000"/>
          <w:sz w:val="24"/>
          <w:szCs w:val="24"/>
          <w:lang w:eastAsia="fr-FR"/>
        </w:rPr>
        <w:t>à l’ensemble des populations pauvres mais également à une frange des populations vulnérables</w:t>
      </w:r>
      <w:r w:rsidR="00432093">
        <w:rPr>
          <w:rFonts w:ascii="Times New Roman" w:eastAsia="Times New Roman" w:hAnsi="Times New Roman"/>
          <w:bCs/>
          <w:color w:val="000000"/>
          <w:sz w:val="24"/>
          <w:szCs w:val="24"/>
          <w:lang w:eastAsia="fr-FR"/>
        </w:rPr>
        <w:t>,</w:t>
      </w:r>
      <w:r>
        <w:rPr>
          <w:rFonts w:ascii="Times New Roman" w:eastAsia="Times New Roman" w:hAnsi="Times New Roman"/>
          <w:bCs/>
          <w:color w:val="000000"/>
          <w:sz w:val="24"/>
          <w:szCs w:val="24"/>
          <w:lang w:eastAsia="fr-FR"/>
        </w:rPr>
        <w:t xml:space="preserve"> notamment ceux dont les dépenses de consommation par tête sont proches du seuil de pauvreté et qui sont susceptibles de tomber dans la pauvreté. Ainsi, une</w:t>
      </w:r>
      <w:r w:rsidRPr="00A92947">
        <w:rPr>
          <w:rFonts w:ascii="Times New Roman" w:eastAsia="Times New Roman" w:hAnsi="Times New Roman"/>
          <w:bCs/>
          <w:color w:val="000000"/>
          <w:sz w:val="24"/>
          <w:szCs w:val="24"/>
          <w:lang w:eastAsia="fr-FR"/>
        </w:rPr>
        <w:t xml:space="preserve"> réduction </w:t>
      </w:r>
      <w:r>
        <w:rPr>
          <w:rFonts w:ascii="Times New Roman" w:eastAsia="Times New Roman" w:hAnsi="Times New Roman"/>
          <w:bCs/>
          <w:color w:val="000000"/>
          <w:sz w:val="24"/>
          <w:szCs w:val="24"/>
          <w:lang w:eastAsia="fr-FR"/>
        </w:rPr>
        <w:t xml:space="preserve">substantielle </w:t>
      </w:r>
      <w:r w:rsidRPr="00A92947">
        <w:rPr>
          <w:rFonts w:ascii="Times New Roman" w:eastAsia="Times New Roman" w:hAnsi="Times New Roman"/>
          <w:bCs/>
          <w:color w:val="000000"/>
          <w:sz w:val="24"/>
          <w:szCs w:val="24"/>
          <w:lang w:eastAsia="fr-FR"/>
        </w:rPr>
        <w:t>de la pauvreté doit passer impérativement par le développement des opportunités de relèvement des revenus pour une large frange de la population</w:t>
      </w:r>
      <w:r w:rsidR="00432093">
        <w:rPr>
          <w:rFonts w:ascii="Times New Roman" w:eastAsia="Times New Roman" w:hAnsi="Times New Roman"/>
          <w:bCs/>
          <w:color w:val="000000"/>
          <w:sz w:val="24"/>
          <w:szCs w:val="24"/>
          <w:lang w:eastAsia="fr-FR"/>
        </w:rPr>
        <w:t>,</w:t>
      </w:r>
      <w:r w:rsidRPr="00A92947">
        <w:rPr>
          <w:rFonts w:ascii="Times New Roman" w:eastAsia="Times New Roman" w:hAnsi="Times New Roman"/>
          <w:bCs/>
          <w:color w:val="000000"/>
          <w:sz w:val="24"/>
          <w:szCs w:val="24"/>
          <w:lang w:eastAsia="fr-FR"/>
        </w:rPr>
        <w:t xml:space="preserve"> notamment les ménages pauvres et les vulnérables (revenus proches du seuil de pauvreté). </w:t>
      </w:r>
      <w:r>
        <w:rPr>
          <w:rFonts w:ascii="Times New Roman" w:eastAsia="Times New Roman" w:hAnsi="Times New Roman"/>
          <w:bCs/>
          <w:color w:val="000000"/>
          <w:sz w:val="24"/>
          <w:szCs w:val="24"/>
          <w:lang w:eastAsia="fr-FR"/>
        </w:rPr>
        <w:t xml:space="preserve">Ceci suppose que </w:t>
      </w:r>
      <w:r w:rsidRPr="00A92947">
        <w:rPr>
          <w:rFonts w:ascii="Times New Roman" w:eastAsia="Times New Roman" w:hAnsi="Times New Roman"/>
          <w:bCs/>
          <w:color w:val="000000"/>
          <w:sz w:val="24"/>
          <w:szCs w:val="24"/>
          <w:lang w:eastAsia="fr-FR"/>
        </w:rPr>
        <w:t xml:space="preserve">le choix de l’option d’une croissance économique pro-pauvre devrait plutôt privilégier les secteurs les plus pourvoyeurs d’emplois pour les pauvres. A l’examen des résultats, les pôles de croissance identifiés par le </w:t>
      </w:r>
      <w:r w:rsidR="00432093">
        <w:rPr>
          <w:rFonts w:ascii="Times New Roman" w:eastAsia="Times New Roman" w:hAnsi="Times New Roman"/>
          <w:bCs/>
          <w:color w:val="000000"/>
          <w:sz w:val="24"/>
          <w:szCs w:val="24"/>
          <w:lang w:eastAsia="fr-FR"/>
        </w:rPr>
        <w:t>G</w:t>
      </w:r>
      <w:r w:rsidR="00432093" w:rsidRPr="00A92947">
        <w:rPr>
          <w:rFonts w:ascii="Times New Roman" w:eastAsia="Times New Roman" w:hAnsi="Times New Roman"/>
          <w:bCs/>
          <w:color w:val="000000"/>
          <w:sz w:val="24"/>
          <w:szCs w:val="24"/>
          <w:lang w:eastAsia="fr-FR"/>
        </w:rPr>
        <w:t xml:space="preserve">ouvernement </w:t>
      </w:r>
      <w:r w:rsidRPr="00A92947">
        <w:rPr>
          <w:rFonts w:ascii="Times New Roman" w:eastAsia="Times New Roman" w:hAnsi="Times New Roman"/>
          <w:bCs/>
          <w:color w:val="000000"/>
          <w:sz w:val="24"/>
          <w:szCs w:val="24"/>
          <w:lang w:eastAsia="fr-FR"/>
        </w:rPr>
        <w:t>peuvent efficacement contribu</w:t>
      </w:r>
      <w:r>
        <w:rPr>
          <w:rFonts w:ascii="Times New Roman" w:eastAsia="Times New Roman" w:hAnsi="Times New Roman"/>
          <w:bCs/>
          <w:color w:val="000000"/>
          <w:sz w:val="24"/>
          <w:szCs w:val="24"/>
          <w:lang w:eastAsia="fr-FR"/>
        </w:rPr>
        <w:t xml:space="preserve">er à l’atteinte de ce résultat. Toutefois, </w:t>
      </w:r>
      <w:r w:rsidRPr="00C87813">
        <w:rPr>
          <w:rFonts w:ascii="Times New Roman" w:hAnsi="Times New Roman"/>
          <w:sz w:val="24"/>
          <w:szCs w:val="24"/>
        </w:rPr>
        <w:t>l’agriculture (en particulier l’agriculture vivrière)</w:t>
      </w:r>
      <w:r>
        <w:rPr>
          <w:rFonts w:ascii="Times New Roman" w:hAnsi="Times New Roman"/>
          <w:sz w:val="24"/>
          <w:szCs w:val="24"/>
        </w:rPr>
        <w:t>,</w:t>
      </w:r>
      <w:r w:rsidR="005E5426">
        <w:rPr>
          <w:rFonts w:ascii="Times New Roman" w:hAnsi="Times New Roman"/>
          <w:sz w:val="24"/>
          <w:szCs w:val="24"/>
        </w:rPr>
        <w:t xml:space="preserve"> </w:t>
      </w:r>
      <w:r>
        <w:rPr>
          <w:rFonts w:ascii="Times New Roman" w:hAnsi="Times New Roman"/>
          <w:sz w:val="24"/>
          <w:szCs w:val="24"/>
        </w:rPr>
        <w:t xml:space="preserve">qui </w:t>
      </w:r>
      <w:r w:rsidRPr="00C87813">
        <w:rPr>
          <w:rFonts w:ascii="Times New Roman" w:hAnsi="Times New Roman"/>
          <w:sz w:val="24"/>
          <w:szCs w:val="24"/>
        </w:rPr>
        <w:t xml:space="preserve">reste de loin le secteur qui </w:t>
      </w:r>
      <w:r>
        <w:rPr>
          <w:rFonts w:ascii="Times New Roman" w:hAnsi="Times New Roman"/>
          <w:sz w:val="24"/>
          <w:szCs w:val="24"/>
        </w:rPr>
        <w:t>regorge plus de pauvres ne parvient pas encore à réaliser le taux de croissance requis en vue de réaliser les objectifs du Millé</w:t>
      </w:r>
      <w:r w:rsidRPr="001C221E">
        <w:rPr>
          <w:rFonts w:ascii="Times New Roman" w:hAnsi="Times New Roman"/>
          <w:sz w:val="24"/>
          <w:szCs w:val="24"/>
        </w:rPr>
        <w:t xml:space="preserve">naire pour le Développement. Cette tendance semble mettre davantage en exergue la faible productivité des agriculteurs comme le montre le tableau ci-dessous. </w:t>
      </w:r>
    </w:p>
    <w:p w:rsidR="000549CA" w:rsidRDefault="000549CA" w:rsidP="007F1584">
      <w:pPr>
        <w:spacing w:line="276" w:lineRule="auto"/>
        <w:rPr>
          <w:rFonts w:ascii="Times New Roman" w:hAnsi="Times New Roman"/>
          <w:sz w:val="24"/>
          <w:szCs w:val="24"/>
        </w:rPr>
      </w:pPr>
    </w:p>
    <w:p w:rsidR="000549CA" w:rsidRPr="001C221E" w:rsidRDefault="000549CA" w:rsidP="007F1584">
      <w:pPr>
        <w:spacing w:line="276" w:lineRule="auto"/>
        <w:rPr>
          <w:rFonts w:ascii="Times New Roman" w:hAnsi="Times New Roman"/>
          <w:sz w:val="24"/>
          <w:szCs w:val="24"/>
        </w:rPr>
      </w:pPr>
    </w:p>
    <w:p w:rsidR="007F1584" w:rsidRPr="001C221E" w:rsidRDefault="007F1584" w:rsidP="007F1584">
      <w:pPr>
        <w:spacing w:line="276" w:lineRule="auto"/>
        <w:rPr>
          <w:rFonts w:ascii="Times New Roman" w:hAnsi="Times New Roman"/>
          <w:sz w:val="24"/>
          <w:szCs w:val="24"/>
        </w:rPr>
      </w:pPr>
    </w:p>
    <w:tbl>
      <w:tblPr>
        <w:tblW w:w="9174" w:type="dxa"/>
        <w:tblInd w:w="56" w:type="dxa"/>
        <w:tblCellMar>
          <w:left w:w="70" w:type="dxa"/>
          <w:right w:w="70" w:type="dxa"/>
        </w:tblCellMar>
        <w:tblLook w:val="04A0" w:firstRow="1" w:lastRow="0" w:firstColumn="1" w:lastColumn="0" w:noHBand="0" w:noVBand="1"/>
      </w:tblPr>
      <w:tblGrid>
        <w:gridCol w:w="3600"/>
        <w:gridCol w:w="3785"/>
        <w:gridCol w:w="1789"/>
      </w:tblGrid>
      <w:tr w:rsidR="00DA01AA" w:rsidRPr="001C221E" w:rsidTr="0019377C">
        <w:trPr>
          <w:trHeight w:val="319"/>
        </w:trPr>
        <w:tc>
          <w:tcPr>
            <w:tcW w:w="9174" w:type="dxa"/>
            <w:gridSpan w:val="3"/>
            <w:tcBorders>
              <w:left w:val="nil"/>
              <w:bottom w:val="double" w:sz="4" w:space="0" w:color="auto"/>
              <w:right w:val="nil"/>
            </w:tcBorders>
            <w:shd w:val="clear" w:color="auto" w:fill="92CDDC" w:themeFill="accent5" w:themeFillTint="99"/>
            <w:noWrap/>
            <w:vAlign w:val="bottom"/>
            <w:hideMark/>
          </w:tcPr>
          <w:p w:rsidR="00DA01AA" w:rsidRPr="001C221E" w:rsidRDefault="00DA01AA" w:rsidP="00DA01AA">
            <w:pPr>
              <w:jc w:val="left"/>
              <w:rPr>
                <w:rFonts w:ascii="Times New Roman" w:hAnsi="Times New Roman"/>
                <w:sz w:val="24"/>
                <w:szCs w:val="24"/>
              </w:rPr>
            </w:pPr>
            <w:r w:rsidRPr="00D67551">
              <w:rPr>
                <w:rFonts w:ascii="Times New Roman" w:hAnsi="Times New Roman"/>
                <w:sz w:val="24"/>
                <w:szCs w:val="24"/>
              </w:rPr>
              <w:t xml:space="preserve">Tableau 0. </w:t>
            </w:r>
            <w:r w:rsidR="00182C97" w:rsidRPr="00D67551">
              <w:rPr>
                <w:rFonts w:ascii="Times New Roman" w:hAnsi="Times New Roman"/>
                <w:sz w:val="24"/>
                <w:szCs w:val="24"/>
              </w:rPr>
              <w:fldChar w:fldCharType="begin"/>
            </w:r>
            <w:r w:rsidRPr="00D67551">
              <w:rPr>
                <w:rFonts w:ascii="Times New Roman" w:hAnsi="Times New Roman"/>
                <w:sz w:val="24"/>
                <w:szCs w:val="24"/>
              </w:rPr>
              <w:instrText xml:space="preserve"> SEQ Tableau_0. \* ARABIC </w:instrText>
            </w:r>
            <w:r w:rsidR="00182C97" w:rsidRPr="00D67551">
              <w:rPr>
                <w:rFonts w:ascii="Times New Roman" w:hAnsi="Times New Roman"/>
                <w:sz w:val="24"/>
                <w:szCs w:val="24"/>
              </w:rPr>
              <w:fldChar w:fldCharType="separate"/>
            </w:r>
            <w:r w:rsidR="00AB1967">
              <w:rPr>
                <w:rFonts w:ascii="Times New Roman" w:hAnsi="Times New Roman"/>
                <w:noProof/>
                <w:sz w:val="24"/>
                <w:szCs w:val="24"/>
              </w:rPr>
              <w:t>3</w:t>
            </w:r>
            <w:r w:rsidR="00182C97" w:rsidRPr="00D67551">
              <w:rPr>
                <w:rFonts w:ascii="Times New Roman" w:hAnsi="Times New Roman"/>
                <w:sz w:val="24"/>
                <w:szCs w:val="24"/>
              </w:rPr>
              <w:fldChar w:fldCharType="end"/>
            </w:r>
            <w:r w:rsidRPr="00D67551">
              <w:rPr>
                <w:rFonts w:ascii="Times New Roman" w:eastAsia="Arial Unicode MS" w:hAnsi="Times New Roman"/>
                <w:sz w:val="24"/>
                <w:szCs w:val="24"/>
              </w:rPr>
              <w:t>:</w:t>
            </w:r>
            <w:r w:rsidRPr="001C221E">
              <w:rPr>
                <w:rFonts w:ascii="Times New Roman" w:hAnsi="Times New Roman"/>
                <w:sz w:val="24"/>
                <w:szCs w:val="24"/>
              </w:rPr>
              <w:t>Croissance de la productivité globale des facteurs entre 1983 et 2008</w:t>
            </w:r>
          </w:p>
        </w:tc>
      </w:tr>
      <w:tr w:rsidR="007F1584" w:rsidRPr="001C221E" w:rsidTr="0019377C">
        <w:trPr>
          <w:trHeight w:val="388"/>
        </w:trPr>
        <w:tc>
          <w:tcPr>
            <w:tcW w:w="3600" w:type="dxa"/>
            <w:tcBorders>
              <w:top w:val="double" w:sz="4" w:space="0" w:color="auto"/>
              <w:left w:val="nil"/>
              <w:bottom w:val="nil"/>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Secteur formel</w:t>
            </w:r>
          </w:p>
        </w:tc>
        <w:tc>
          <w:tcPr>
            <w:tcW w:w="3785" w:type="dxa"/>
            <w:tcBorders>
              <w:top w:val="double" w:sz="4" w:space="0" w:color="auto"/>
              <w:left w:val="nil"/>
              <w:bottom w:val="nil"/>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Agriculture</w:t>
            </w:r>
          </w:p>
        </w:tc>
        <w:tc>
          <w:tcPr>
            <w:tcW w:w="1788" w:type="dxa"/>
            <w:tcBorders>
              <w:top w:val="double" w:sz="4" w:space="0" w:color="auto"/>
              <w:left w:val="nil"/>
              <w:bottom w:val="nil"/>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-0,1</w:t>
            </w:r>
          </w:p>
        </w:tc>
      </w:tr>
      <w:tr w:rsidR="007F1584" w:rsidRPr="001C221E" w:rsidTr="0019377C">
        <w:trPr>
          <w:trHeight w:val="388"/>
        </w:trPr>
        <w:tc>
          <w:tcPr>
            <w:tcW w:w="3600" w:type="dxa"/>
            <w:tcBorders>
              <w:top w:val="nil"/>
              <w:left w:val="nil"/>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p>
        </w:tc>
        <w:tc>
          <w:tcPr>
            <w:tcW w:w="3785" w:type="dxa"/>
            <w:tcBorders>
              <w:top w:val="nil"/>
              <w:left w:val="nil"/>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Industrie manufacturière</w:t>
            </w:r>
          </w:p>
        </w:tc>
        <w:tc>
          <w:tcPr>
            <w:tcW w:w="1788" w:type="dxa"/>
            <w:tcBorders>
              <w:top w:val="nil"/>
              <w:left w:val="nil"/>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-0,02</w:t>
            </w:r>
          </w:p>
        </w:tc>
      </w:tr>
      <w:tr w:rsidR="007F1584" w:rsidRPr="001C221E" w:rsidTr="0019377C">
        <w:trPr>
          <w:trHeight w:val="388"/>
        </w:trPr>
        <w:tc>
          <w:tcPr>
            <w:tcW w:w="3600" w:type="dxa"/>
            <w:tcBorders>
              <w:top w:val="nil"/>
              <w:left w:val="nil"/>
              <w:bottom w:val="nil"/>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p>
        </w:tc>
        <w:tc>
          <w:tcPr>
            <w:tcW w:w="3785" w:type="dxa"/>
            <w:tcBorders>
              <w:top w:val="nil"/>
              <w:left w:val="nil"/>
              <w:bottom w:val="nil"/>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Industrie hors manufacture</w:t>
            </w:r>
          </w:p>
        </w:tc>
        <w:tc>
          <w:tcPr>
            <w:tcW w:w="1788" w:type="dxa"/>
            <w:tcBorders>
              <w:top w:val="nil"/>
              <w:left w:val="nil"/>
              <w:bottom w:val="nil"/>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-0,03</w:t>
            </w:r>
          </w:p>
        </w:tc>
      </w:tr>
      <w:tr w:rsidR="007F1584" w:rsidRPr="001C221E" w:rsidTr="0019377C">
        <w:trPr>
          <w:trHeight w:val="388"/>
        </w:trPr>
        <w:tc>
          <w:tcPr>
            <w:tcW w:w="3600" w:type="dxa"/>
            <w:tcBorders>
              <w:top w:val="nil"/>
              <w:left w:val="nil"/>
              <w:bottom w:val="nil"/>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p>
        </w:tc>
        <w:tc>
          <w:tcPr>
            <w:tcW w:w="3785" w:type="dxa"/>
            <w:tcBorders>
              <w:top w:val="nil"/>
              <w:left w:val="nil"/>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Tertiaire marchand</w:t>
            </w:r>
          </w:p>
        </w:tc>
        <w:tc>
          <w:tcPr>
            <w:tcW w:w="1788" w:type="dxa"/>
            <w:tcBorders>
              <w:top w:val="nil"/>
              <w:left w:val="nil"/>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-0,12</w:t>
            </w:r>
          </w:p>
        </w:tc>
      </w:tr>
      <w:tr w:rsidR="007F1584" w:rsidRPr="001C221E" w:rsidTr="0019377C">
        <w:trPr>
          <w:trHeight w:val="388"/>
        </w:trPr>
        <w:tc>
          <w:tcPr>
            <w:tcW w:w="3600" w:type="dxa"/>
            <w:tcBorders>
              <w:top w:val="nil"/>
              <w:left w:val="nil"/>
              <w:bottom w:val="single" w:sz="4" w:space="0" w:color="auto"/>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p>
        </w:tc>
        <w:tc>
          <w:tcPr>
            <w:tcW w:w="3785" w:type="dxa"/>
            <w:tcBorders>
              <w:top w:val="nil"/>
              <w:left w:val="nil"/>
              <w:bottom w:val="single" w:sz="4" w:space="0" w:color="auto"/>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Tertiaire non marchand</w:t>
            </w:r>
          </w:p>
        </w:tc>
        <w:tc>
          <w:tcPr>
            <w:tcW w:w="1788" w:type="dxa"/>
            <w:tcBorders>
              <w:top w:val="nil"/>
              <w:left w:val="nil"/>
              <w:bottom w:val="single" w:sz="4" w:space="0" w:color="auto"/>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-0,08</w:t>
            </w:r>
          </w:p>
        </w:tc>
      </w:tr>
      <w:tr w:rsidR="007F1584" w:rsidRPr="001C221E" w:rsidTr="0019377C">
        <w:trPr>
          <w:trHeight w:val="388"/>
        </w:trPr>
        <w:tc>
          <w:tcPr>
            <w:tcW w:w="3600" w:type="dxa"/>
            <w:tcBorders>
              <w:top w:val="single" w:sz="4" w:space="0" w:color="auto"/>
              <w:left w:val="nil"/>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Secteur informel</w:t>
            </w:r>
          </w:p>
        </w:tc>
        <w:tc>
          <w:tcPr>
            <w:tcW w:w="3785" w:type="dxa"/>
            <w:tcBorders>
              <w:top w:val="single" w:sz="4" w:space="0" w:color="auto"/>
              <w:left w:val="nil"/>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Agriculture</w:t>
            </w:r>
          </w:p>
        </w:tc>
        <w:tc>
          <w:tcPr>
            <w:tcW w:w="1788" w:type="dxa"/>
            <w:tcBorders>
              <w:top w:val="single" w:sz="4" w:space="0" w:color="auto"/>
              <w:left w:val="nil"/>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-0,09</w:t>
            </w:r>
          </w:p>
        </w:tc>
      </w:tr>
      <w:tr w:rsidR="007F1584" w:rsidRPr="001C221E" w:rsidTr="0019377C">
        <w:trPr>
          <w:trHeight w:val="388"/>
        </w:trPr>
        <w:tc>
          <w:tcPr>
            <w:tcW w:w="3600" w:type="dxa"/>
            <w:tcBorders>
              <w:top w:val="nil"/>
              <w:left w:val="nil"/>
              <w:bottom w:val="single" w:sz="4" w:space="0" w:color="auto"/>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p>
        </w:tc>
        <w:tc>
          <w:tcPr>
            <w:tcW w:w="3785" w:type="dxa"/>
            <w:tcBorders>
              <w:top w:val="nil"/>
              <w:left w:val="nil"/>
              <w:bottom w:val="single" w:sz="4" w:space="0" w:color="auto"/>
              <w:right w:val="nil"/>
            </w:tcBorders>
            <w:shd w:val="clear" w:color="auto" w:fill="DAEEF3" w:themeFill="accent5" w:themeFillTint="33"/>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 xml:space="preserve">Non agricole </w:t>
            </w:r>
          </w:p>
        </w:tc>
        <w:tc>
          <w:tcPr>
            <w:tcW w:w="1788" w:type="dxa"/>
            <w:tcBorders>
              <w:top w:val="nil"/>
              <w:left w:val="nil"/>
              <w:bottom w:val="single" w:sz="4" w:space="0" w:color="auto"/>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-0,11</w:t>
            </w:r>
          </w:p>
        </w:tc>
      </w:tr>
      <w:tr w:rsidR="007F1584" w:rsidRPr="001C221E" w:rsidTr="0019377C">
        <w:trPr>
          <w:trHeight w:val="319"/>
        </w:trPr>
        <w:tc>
          <w:tcPr>
            <w:tcW w:w="3600" w:type="dxa"/>
            <w:tcBorders>
              <w:top w:val="single" w:sz="4" w:space="0" w:color="auto"/>
              <w:left w:val="nil"/>
              <w:bottom w:val="double" w:sz="4" w:space="0" w:color="auto"/>
              <w:right w:val="nil"/>
            </w:tcBorders>
            <w:shd w:val="clear" w:color="auto" w:fill="DAEEF3" w:themeFill="accent5" w:themeFillTint="33"/>
            <w:noWrap/>
            <w:vAlign w:val="center"/>
            <w:hideMark/>
          </w:tcPr>
          <w:p w:rsidR="007F1584" w:rsidRPr="001C221E" w:rsidRDefault="007F1584" w:rsidP="00DA01AA">
            <w:pPr>
              <w:spacing w:line="240" w:lineRule="auto"/>
              <w:jc w:val="left"/>
              <w:rPr>
                <w:rFonts w:ascii="Times New Roman" w:hAnsi="Times New Roman"/>
                <w:sz w:val="24"/>
                <w:szCs w:val="24"/>
              </w:rPr>
            </w:pPr>
            <w:r w:rsidRPr="001C221E">
              <w:rPr>
                <w:rFonts w:ascii="Times New Roman" w:hAnsi="Times New Roman"/>
                <w:sz w:val="24"/>
                <w:szCs w:val="24"/>
              </w:rPr>
              <w:t>Ensemble</w:t>
            </w:r>
          </w:p>
        </w:tc>
        <w:tc>
          <w:tcPr>
            <w:tcW w:w="3785" w:type="dxa"/>
            <w:tcBorders>
              <w:top w:val="single" w:sz="4" w:space="0" w:color="auto"/>
              <w:left w:val="nil"/>
              <w:bottom w:val="double" w:sz="4" w:space="0" w:color="auto"/>
              <w:right w:val="nil"/>
            </w:tcBorders>
            <w:shd w:val="clear" w:color="auto" w:fill="DAEEF3" w:themeFill="accent5" w:themeFillTint="33"/>
            <w:hideMark/>
          </w:tcPr>
          <w:p w:rsidR="007F1584" w:rsidRPr="001C221E" w:rsidRDefault="007F1584" w:rsidP="00224ADE">
            <w:pPr>
              <w:spacing w:line="240" w:lineRule="auto"/>
              <w:rPr>
                <w:rFonts w:ascii="Times New Roman" w:hAnsi="Times New Roman"/>
                <w:sz w:val="24"/>
                <w:szCs w:val="24"/>
              </w:rPr>
            </w:pPr>
          </w:p>
        </w:tc>
        <w:tc>
          <w:tcPr>
            <w:tcW w:w="1788" w:type="dxa"/>
            <w:tcBorders>
              <w:top w:val="single" w:sz="4" w:space="0" w:color="auto"/>
              <w:left w:val="nil"/>
              <w:bottom w:val="double" w:sz="4" w:space="0" w:color="auto"/>
              <w:right w:val="nil"/>
            </w:tcBorders>
            <w:shd w:val="clear" w:color="auto" w:fill="DAEEF3" w:themeFill="accent5" w:themeFillTint="33"/>
            <w:noWrap/>
            <w:vAlign w:val="center"/>
            <w:hideMark/>
          </w:tcPr>
          <w:p w:rsidR="007F1584" w:rsidRPr="001C221E" w:rsidRDefault="007F1584" w:rsidP="00DA01AA">
            <w:pPr>
              <w:spacing w:line="240" w:lineRule="auto"/>
              <w:jc w:val="right"/>
              <w:rPr>
                <w:rFonts w:ascii="Times New Roman" w:hAnsi="Times New Roman"/>
                <w:sz w:val="24"/>
                <w:szCs w:val="24"/>
              </w:rPr>
            </w:pPr>
            <w:r w:rsidRPr="001C221E">
              <w:rPr>
                <w:rFonts w:ascii="Times New Roman" w:hAnsi="Times New Roman"/>
                <w:sz w:val="24"/>
                <w:szCs w:val="24"/>
              </w:rPr>
              <w:t>-0,36</w:t>
            </w:r>
          </w:p>
        </w:tc>
      </w:tr>
      <w:tr w:rsidR="00481686" w:rsidRPr="001C221E" w:rsidTr="0019377C">
        <w:trPr>
          <w:trHeight w:val="319"/>
        </w:trPr>
        <w:tc>
          <w:tcPr>
            <w:tcW w:w="9174" w:type="dxa"/>
            <w:gridSpan w:val="3"/>
            <w:tcBorders>
              <w:top w:val="double" w:sz="4" w:space="0" w:color="auto"/>
              <w:left w:val="nil"/>
              <w:right w:val="nil"/>
            </w:tcBorders>
            <w:shd w:val="clear" w:color="auto" w:fill="DAEEF3" w:themeFill="accent5" w:themeFillTint="33"/>
            <w:noWrap/>
            <w:vAlign w:val="center"/>
            <w:hideMark/>
          </w:tcPr>
          <w:p w:rsidR="00481686" w:rsidRPr="001C221E" w:rsidRDefault="00481686" w:rsidP="00481686">
            <w:pPr>
              <w:autoSpaceDE w:val="0"/>
              <w:autoSpaceDN w:val="0"/>
              <w:adjustRightInd w:val="0"/>
              <w:spacing w:line="240" w:lineRule="auto"/>
              <w:rPr>
                <w:rFonts w:ascii="Times New Roman" w:hAnsi="Times New Roman"/>
                <w:sz w:val="24"/>
                <w:szCs w:val="24"/>
              </w:rPr>
            </w:pPr>
            <w:r w:rsidRPr="001C221E">
              <w:rPr>
                <w:rFonts w:ascii="Times New Roman" w:hAnsi="Times New Roman"/>
                <w:sz w:val="24"/>
                <w:szCs w:val="24"/>
              </w:rPr>
              <w:t>Source : Balaro et al (2010)</w:t>
            </w:r>
          </w:p>
        </w:tc>
      </w:tr>
    </w:tbl>
    <w:p w:rsidR="007F1584" w:rsidRPr="001C221E" w:rsidRDefault="007F1584" w:rsidP="007F1584">
      <w:pPr>
        <w:autoSpaceDE w:val="0"/>
        <w:autoSpaceDN w:val="0"/>
        <w:adjustRightInd w:val="0"/>
        <w:spacing w:line="240" w:lineRule="auto"/>
        <w:rPr>
          <w:rFonts w:ascii="Times New Roman" w:hAnsi="Times New Roman"/>
          <w:sz w:val="24"/>
          <w:szCs w:val="24"/>
        </w:rPr>
      </w:pPr>
    </w:p>
    <w:p w:rsidR="005E5426" w:rsidRDefault="00F751AC" w:rsidP="005E5426">
      <w:pPr>
        <w:spacing w:line="276" w:lineRule="auto"/>
        <w:rPr>
          <w:rFonts w:ascii="Times New Roman" w:hAnsi="Times New Roman"/>
          <w:sz w:val="24"/>
          <w:szCs w:val="24"/>
        </w:rPr>
      </w:pPr>
      <w:r>
        <w:rPr>
          <w:rFonts w:ascii="Times New Roman" w:hAnsi="Times New Roman"/>
          <w:sz w:val="24"/>
          <w:szCs w:val="24"/>
        </w:rPr>
        <w:t>Ces résultats</w:t>
      </w:r>
      <w:r w:rsidR="007F1584" w:rsidRPr="001C221E">
        <w:rPr>
          <w:rFonts w:ascii="Times New Roman" w:hAnsi="Times New Roman"/>
          <w:sz w:val="24"/>
          <w:szCs w:val="24"/>
        </w:rPr>
        <w:t xml:space="preserve"> traduisent une contribution négative de la productivité globale des facteurs à la croissance</w:t>
      </w:r>
      <w:r w:rsidR="007F1584" w:rsidRPr="001C221E">
        <w:rPr>
          <w:rStyle w:val="Appelnotedebasdep"/>
          <w:rFonts w:ascii="Times New Roman" w:hAnsi="Times New Roman"/>
          <w:sz w:val="24"/>
          <w:szCs w:val="24"/>
        </w:rPr>
        <w:footnoteReference w:id="7"/>
      </w:r>
      <w:r w:rsidR="007F1584" w:rsidRPr="001C221E">
        <w:rPr>
          <w:rFonts w:ascii="Times New Roman" w:hAnsi="Times New Roman"/>
          <w:sz w:val="24"/>
          <w:szCs w:val="24"/>
        </w:rPr>
        <w:t xml:space="preserve"> aussi bien au niveau global que sectoriel</w:t>
      </w:r>
      <w:r w:rsidR="007F1584" w:rsidRPr="001C221E">
        <w:rPr>
          <w:rStyle w:val="Appelnotedebasdep"/>
          <w:rFonts w:ascii="Times New Roman" w:hAnsi="Times New Roman"/>
          <w:sz w:val="24"/>
          <w:szCs w:val="24"/>
        </w:rPr>
        <w:footnoteReference w:id="8"/>
      </w:r>
      <w:r w:rsidR="007F1584" w:rsidRPr="001C221E">
        <w:rPr>
          <w:rFonts w:ascii="Times New Roman" w:hAnsi="Times New Roman"/>
          <w:sz w:val="24"/>
          <w:szCs w:val="24"/>
        </w:rPr>
        <w:t xml:space="preserve"> sur la période 1983-2008 (Balaro et al, 2010), indiquant ainsi une perte d’efficience de l’économie et en particulier du secteur agricole, ce qui contribuerait à expliquer le niveau relativement </w:t>
      </w:r>
      <w:r w:rsidR="0091243F">
        <w:rPr>
          <w:rFonts w:ascii="Times New Roman" w:hAnsi="Times New Roman"/>
          <w:sz w:val="24"/>
          <w:szCs w:val="24"/>
        </w:rPr>
        <w:t xml:space="preserve">élevé </w:t>
      </w:r>
      <w:r w:rsidR="007F1584" w:rsidRPr="001C221E">
        <w:rPr>
          <w:rFonts w:ascii="Times New Roman" w:hAnsi="Times New Roman"/>
          <w:sz w:val="24"/>
          <w:szCs w:val="24"/>
        </w:rPr>
        <w:t xml:space="preserve">de la pauvreté au Bénin et en particulier dans le secteur agricole. </w:t>
      </w:r>
      <w:r w:rsidR="007C3299" w:rsidRPr="00CA6CB2">
        <w:rPr>
          <w:rFonts w:ascii="Times New Roman" w:hAnsi="Times New Roman"/>
          <w:sz w:val="24"/>
          <w:szCs w:val="24"/>
        </w:rPr>
        <w:t>C</w:t>
      </w:r>
      <w:r w:rsidR="00CA6CB2" w:rsidRPr="00CA6CB2">
        <w:rPr>
          <w:rFonts w:ascii="Times New Roman" w:hAnsi="Times New Roman"/>
          <w:sz w:val="24"/>
          <w:szCs w:val="24"/>
        </w:rPr>
        <w:t xml:space="preserve">ette perte ou faible productivité est illustrée par le graphique ci-dessous. </w:t>
      </w:r>
      <w:r w:rsidR="005E5426">
        <w:rPr>
          <w:rFonts w:ascii="Times New Roman" w:hAnsi="Times New Roman"/>
          <w:sz w:val="24"/>
          <w:szCs w:val="24"/>
        </w:rPr>
        <w:t xml:space="preserve">Il </w:t>
      </w:r>
      <w:r w:rsidR="005E5426" w:rsidRPr="00CA6CB2">
        <w:rPr>
          <w:rFonts w:ascii="Times New Roman" w:hAnsi="Times New Roman"/>
          <w:sz w:val="24"/>
          <w:szCs w:val="24"/>
        </w:rPr>
        <w:t>montre une corrélation positive entre la production et la superficie emblavée</w:t>
      </w:r>
      <w:r w:rsidR="005E5426">
        <w:rPr>
          <w:rStyle w:val="Appelnotedebasdep"/>
          <w:rFonts w:ascii="Times New Roman" w:hAnsi="Times New Roman"/>
          <w:sz w:val="24"/>
          <w:szCs w:val="24"/>
        </w:rPr>
        <w:footnoteReference w:id="9"/>
      </w:r>
      <w:r w:rsidR="005E5426" w:rsidRPr="00CA6CB2">
        <w:rPr>
          <w:rFonts w:ascii="Times New Roman" w:hAnsi="Times New Roman"/>
          <w:sz w:val="24"/>
          <w:szCs w:val="24"/>
        </w:rPr>
        <w:t>. Le cas du coton est plus perceptible et met en relief la nécessité de redéfinir les priorités dans la politique agricole au Bénin.</w:t>
      </w:r>
      <w:r w:rsidR="005E5426">
        <w:rPr>
          <w:rFonts w:ascii="Times New Roman" w:hAnsi="Times New Roman"/>
          <w:sz w:val="24"/>
          <w:szCs w:val="24"/>
        </w:rPr>
        <w:t xml:space="preserve"> Ainsi, ces résultats suggèrent que </w:t>
      </w:r>
      <w:r w:rsidR="005E5426" w:rsidRPr="003655EA">
        <w:rPr>
          <w:rFonts w:ascii="Times New Roman" w:hAnsi="Times New Roman"/>
          <w:sz w:val="24"/>
          <w:szCs w:val="24"/>
        </w:rPr>
        <w:t>pour réduire la pauvreté, il faut mettre plus d’emphase sur la productivité et non pas seulement sur le niveau de production agricole de sorte que la croissance agricole vienne d’une augmentation de la productivité et non seulement d’une augmentation de la superficie emblavée</w:t>
      </w:r>
      <w:r w:rsidR="005E5426">
        <w:rPr>
          <w:rFonts w:ascii="Times New Roman" w:hAnsi="Times New Roman"/>
          <w:sz w:val="24"/>
          <w:szCs w:val="24"/>
        </w:rPr>
        <w:t>.</w:t>
      </w:r>
    </w:p>
    <w:p w:rsidR="00644643" w:rsidRDefault="00644643" w:rsidP="005E5426">
      <w:pPr>
        <w:spacing w:line="276" w:lineRule="auto"/>
        <w:rPr>
          <w:rFonts w:ascii="Times New Roman" w:hAnsi="Times New Roman"/>
          <w:sz w:val="24"/>
          <w:szCs w:val="24"/>
        </w:rPr>
      </w:pPr>
    </w:p>
    <w:p w:rsidR="00644643" w:rsidRDefault="00644643" w:rsidP="005E5426">
      <w:pPr>
        <w:spacing w:line="276" w:lineRule="auto"/>
        <w:rPr>
          <w:rFonts w:ascii="Times New Roman" w:hAnsi="Times New Roman"/>
          <w:sz w:val="24"/>
          <w:szCs w:val="24"/>
        </w:rPr>
      </w:pPr>
    </w:p>
    <w:p w:rsidR="00A251AB" w:rsidRDefault="00A251AB" w:rsidP="005E5426">
      <w:pPr>
        <w:spacing w:line="276" w:lineRule="auto"/>
        <w:rPr>
          <w:rFonts w:ascii="Times New Roman" w:hAnsi="Times New Roman"/>
          <w:sz w:val="24"/>
          <w:szCs w:val="24"/>
        </w:rPr>
      </w:pPr>
    </w:p>
    <w:p w:rsidR="00A251AB" w:rsidRDefault="00A251AB" w:rsidP="005E5426">
      <w:pPr>
        <w:spacing w:line="276" w:lineRule="auto"/>
        <w:rPr>
          <w:rFonts w:ascii="Times New Roman" w:hAnsi="Times New Roman"/>
          <w:sz w:val="24"/>
          <w:szCs w:val="24"/>
        </w:rPr>
      </w:pPr>
    </w:p>
    <w:p w:rsidR="00A251AB" w:rsidRDefault="00A251AB" w:rsidP="005E5426">
      <w:pPr>
        <w:spacing w:line="276" w:lineRule="auto"/>
        <w:rPr>
          <w:rFonts w:ascii="Times New Roman" w:hAnsi="Times New Roman"/>
          <w:sz w:val="24"/>
          <w:szCs w:val="24"/>
        </w:rPr>
      </w:pPr>
    </w:p>
    <w:p w:rsidR="00A251AB" w:rsidRDefault="00A251AB" w:rsidP="005E5426">
      <w:pPr>
        <w:spacing w:line="276" w:lineRule="auto"/>
        <w:rPr>
          <w:rFonts w:ascii="Times New Roman" w:hAnsi="Times New Roman"/>
          <w:sz w:val="24"/>
          <w:szCs w:val="24"/>
        </w:rPr>
      </w:pPr>
    </w:p>
    <w:p w:rsidR="00644643" w:rsidRDefault="00644643" w:rsidP="005E5426">
      <w:pPr>
        <w:spacing w:line="276" w:lineRule="auto"/>
        <w:rPr>
          <w:rFonts w:ascii="Times New Roman" w:hAnsi="Times New Roman"/>
          <w:sz w:val="24"/>
          <w:szCs w:val="24"/>
        </w:rPr>
      </w:pPr>
    </w:p>
    <w:p w:rsidR="00644643" w:rsidRDefault="00644643" w:rsidP="005E5426">
      <w:pPr>
        <w:spacing w:line="276" w:lineRule="auto"/>
        <w:rPr>
          <w:rFonts w:ascii="Times New Roman" w:hAnsi="Times New Roman"/>
          <w:sz w:val="24"/>
          <w:szCs w:val="24"/>
        </w:rPr>
      </w:pPr>
    </w:p>
    <w:p w:rsidR="00644643" w:rsidRDefault="00644643" w:rsidP="005E5426">
      <w:pPr>
        <w:spacing w:line="276" w:lineRule="auto"/>
        <w:rPr>
          <w:rFonts w:ascii="Times New Roman" w:hAnsi="Times New Roman"/>
          <w:sz w:val="24"/>
          <w:szCs w:val="24"/>
        </w:rPr>
      </w:pPr>
    </w:p>
    <w:p w:rsidR="00592812" w:rsidRDefault="00592812" w:rsidP="005E5426">
      <w:pPr>
        <w:spacing w:line="276" w:lineRule="auto"/>
        <w:rPr>
          <w:rFonts w:ascii="Times New Roman" w:hAnsi="Times New Roman"/>
          <w:sz w:val="24"/>
          <w:szCs w:val="24"/>
        </w:rPr>
      </w:pPr>
    </w:p>
    <w:p w:rsidR="00592812" w:rsidRDefault="00592812" w:rsidP="005E5426">
      <w:pPr>
        <w:spacing w:line="276" w:lineRule="auto"/>
        <w:rPr>
          <w:rFonts w:ascii="Times New Roman" w:hAnsi="Times New Roman"/>
          <w:sz w:val="24"/>
          <w:szCs w:val="24"/>
        </w:rPr>
      </w:pPr>
    </w:p>
    <w:p w:rsidR="00592812" w:rsidRDefault="00592812" w:rsidP="005E5426">
      <w:pPr>
        <w:spacing w:line="276" w:lineRule="auto"/>
        <w:rPr>
          <w:rFonts w:ascii="Times New Roman" w:hAnsi="Times New Roman"/>
          <w:sz w:val="24"/>
          <w:szCs w:val="24"/>
        </w:rPr>
      </w:pPr>
    </w:p>
    <w:p w:rsidR="00592812" w:rsidRDefault="00592812" w:rsidP="005E5426">
      <w:pPr>
        <w:spacing w:line="276" w:lineRule="auto"/>
        <w:rPr>
          <w:rFonts w:ascii="Times New Roman" w:hAnsi="Times New Roman"/>
          <w:sz w:val="24"/>
          <w:szCs w:val="24"/>
        </w:rPr>
      </w:pPr>
    </w:p>
    <w:p w:rsidR="00A0652D" w:rsidRDefault="00A0652D" w:rsidP="005E5426">
      <w:pPr>
        <w:spacing w:line="276" w:lineRule="auto"/>
        <w:rPr>
          <w:sz w:val="16"/>
          <w:szCs w:val="16"/>
        </w:rPr>
      </w:pPr>
    </w:p>
    <w:p w:rsidR="00B622BB" w:rsidRDefault="00B622BB"/>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9126"/>
      </w:tblGrid>
      <w:tr w:rsidR="00B622BB" w:rsidRPr="00B622BB" w:rsidTr="009E4C1C">
        <w:trPr>
          <w:trHeight w:val="427"/>
        </w:trPr>
        <w:tc>
          <w:tcPr>
            <w:tcW w:w="9126" w:type="dxa"/>
            <w:tcBorders>
              <w:top w:val="nil"/>
              <w:bottom w:val="nil"/>
            </w:tcBorders>
            <w:shd w:val="clear" w:color="auto" w:fill="92CDDC" w:themeFill="accent5" w:themeFillTint="99"/>
          </w:tcPr>
          <w:p w:rsidR="00B622BB" w:rsidRPr="00B622BB" w:rsidRDefault="00B622BB" w:rsidP="0016388F">
            <w:pPr>
              <w:spacing w:line="276" w:lineRule="auto"/>
              <w:rPr>
                <w:rFonts w:ascii="Times New Roman" w:hAnsi="Times New Roman"/>
                <w:sz w:val="24"/>
                <w:szCs w:val="24"/>
              </w:rPr>
            </w:pPr>
            <w:r w:rsidRPr="00B622BB">
              <w:rPr>
                <w:rFonts w:ascii="Times New Roman" w:hAnsi="Times New Roman"/>
                <w:sz w:val="24"/>
                <w:szCs w:val="24"/>
              </w:rPr>
              <w:t xml:space="preserve">Figure 0. </w:t>
            </w:r>
            <w:r w:rsidR="00182C97" w:rsidRPr="00B622BB">
              <w:rPr>
                <w:rFonts w:ascii="Times New Roman" w:hAnsi="Times New Roman"/>
                <w:sz w:val="24"/>
                <w:szCs w:val="24"/>
              </w:rPr>
              <w:fldChar w:fldCharType="begin"/>
            </w:r>
            <w:r w:rsidRPr="00B622BB">
              <w:rPr>
                <w:rFonts w:ascii="Times New Roman" w:eastAsia="Times New Roman" w:hAnsi="Times New Roman"/>
                <w:bCs/>
                <w:sz w:val="24"/>
                <w:szCs w:val="24"/>
              </w:rPr>
              <w:instrText xml:space="preserve"> SEQ Figure_0. \* ARABIC </w:instrText>
            </w:r>
            <w:r w:rsidR="00182C97" w:rsidRPr="00B622BB">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1</w:t>
            </w:r>
            <w:r w:rsidR="00182C97" w:rsidRPr="00B622BB">
              <w:rPr>
                <w:rFonts w:ascii="Times New Roman" w:eastAsia="Times New Roman" w:hAnsi="Times New Roman"/>
                <w:bCs/>
                <w:sz w:val="24"/>
                <w:szCs w:val="24"/>
              </w:rPr>
              <w:fldChar w:fldCharType="end"/>
            </w:r>
            <w:r w:rsidRPr="00B622BB">
              <w:rPr>
                <w:rFonts w:ascii="Times New Roman" w:eastAsia="Times New Roman" w:hAnsi="Times New Roman"/>
                <w:bCs/>
                <w:sz w:val="24"/>
                <w:szCs w:val="24"/>
              </w:rPr>
              <w:t>: Evolution de la production agricole et des superficies emblavées de 2001 à 2012</w:t>
            </w:r>
          </w:p>
        </w:tc>
      </w:tr>
      <w:tr w:rsidR="00A0652D" w:rsidTr="00B622BB">
        <w:trPr>
          <w:trHeight w:val="427"/>
        </w:trPr>
        <w:tc>
          <w:tcPr>
            <w:tcW w:w="9126" w:type="dxa"/>
            <w:tcBorders>
              <w:top w:val="nil"/>
              <w:bottom w:val="nil"/>
            </w:tcBorders>
            <w:shd w:val="clear" w:color="auto" w:fill="DAEEF3" w:themeFill="accent5" w:themeFillTint="33"/>
          </w:tcPr>
          <w:p w:rsidR="00A0652D" w:rsidRPr="00C91E80" w:rsidRDefault="00A0652D" w:rsidP="0016388F">
            <w:pPr>
              <w:spacing w:line="276" w:lineRule="auto"/>
              <w:rPr>
                <w:rFonts w:ascii="Times New Roman" w:hAnsi="Times New Roman"/>
                <w:sz w:val="12"/>
                <w:szCs w:val="12"/>
              </w:rPr>
            </w:pPr>
          </w:p>
          <w:p w:rsidR="00A0652D" w:rsidRPr="00E35C7A" w:rsidRDefault="00A0652D" w:rsidP="0016388F">
            <w:pPr>
              <w:spacing w:line="240" w:lineRule="auto"/>
              <w:jc w:val="left"/>
              <w:rPr>
                <w:rFonts w:ascii="Times New Roman" w:eastAsia="Times New Roman" w:hAnsi="Times New Roman"/>
                <w:bCs/>
                <w:color w:val="000000"/>
                <w:sz w:val="20"/>
                <w:szCs w:val="20"/>
                <w:lang w:eastAsia="fr-FR"/>
              </w:rPr>
            </w:pPr>
            <w:r>
              <w:rPr>
                <w:rFonts w:ascii="Times New Roman" w:eastAsia="Times New Roman" w:hAnsi="Times New Roman"/>
                <w:bCs/>
                <w:noProof/>
                <w:color w:val="000000"/>
                <w:sz w:val="20"/>
                <w:szCs w:val="20"/>
                <w:lang w:eastAsia="fr-FR"/>
              </w:rPr>
              <w:drawing>
                <wp:inline distT="0" distB="0" distL="0" distR="0" wp14:anchorId="5095C9CE" wp14:editId="1D6BD581">
                  <wp:extent cx="5630184" cy="2242159"/>
                  <wp:effectExtent l="19050" t="0" r="8616" b="0"/>
                  <wp:docPr id="2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629748" cy="2241985"/>
                          </a:xfrm>
                          <a:prstGeom prst="rect">
                            <a:avLst/>
                          </a:prstGeom>
                          <a:noFill/>
                          <a:ln w="9525">
                            <a:noFill/>
                            <a:miter lim="800000"/>
                            <a:headEnd/>
                            <a:tailEnd/>
                          </a:ln>
                        </pic:spPr>
                      </pic:pic>
                    </a:graphicData>
                  </a:graphic>
                </wp:inline>
              </w:drawing>
            </w:r>
          </w:p>
        </w:tc>
      </w:tr>
      <w:tr w:rsidR="00A0652D" w:rsidTr="00B622BB">
        <w:trPr>
          <w:trHeight w:val="272"/>
        </w:trPr>
        <w:tc>
          <w:tcPr>
            <w:tcW w:w="9126" w:type="dxa"/>
            <w:tcBorders>
              <w:top w:val="nil"/>
              <w:bottom w:val="single" w:sz="4" w:space="0" w:color="FFFFFF" w:themeColor="background1"/>
            </w:tcBorders>
            <w:shd w:val="clear" w:color="auto" w:fill="DAEEF3" w:themeFill="accent5" w:themeFillTint="33"/>
          </w:tcPr>
          <w:p w:rsidR="00A0652D" w:rsidRPr="00C91E80" w:rsidRDefault="00A0652D" w:rsidP="0016388F">
            <w:pPr>
              <w:spacing w:line="276" w:lineRule="auto"/>
              <w:rPr>
                <w:rFonts w:ascii="Times New Roman" w:hAnsi="Times New Roman"/>
                <w:sz w:val="12"/>
                <w:szCs w:val="12"/>
              </w:rPr>
            </w:pPr>
            <w:r w:rsidRPr="00E35C7A">
              <w:rPr>
                <w:rFonts w:ascii="Times New Roman" w:eastAsia="Times New Roman" w:hAnsi="Times New Roman"/>
                <w:bCs/>
                <w:color w:val="000000"/>
                <w:sz w:val="20"/>
                <w:szCs w:val="20"/>
                <w:lang w:eastAsia="fr-FR"/>
              </w:rPr>
              <w:t>Source : INSAE, EMICOV 2006 et 2009</w:t>
            </w:r>
          </w:p>
        </w:tc>
      </w:tr>
    </w:tbl>
    <w:p w:rsidR="00A0652D" w:rsidRDefault="00A0652D" w:rsidP="00A0652D">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r w:rsidRPr="001C221E">
        <w:rPr>
          <w:rFonts w:ascii="Times New Roman" w:hAnsi="Times New Roman"/>
          <w:sz w:val="24"/>
          <w:szCs w:val="24"/>
        </w:rPr>
        <w:t>Pour inverser cette tendance, la productivité agricole devrait constituer un impératif (FARA, 2006</w:t>
      </w:r>
      <w:r w:rsidRPr="00F07599">
        <w:rPr>
          <w:rFonts w:ascii="Times New Roman" w:hAnsi="Times New Roman"/>
          <w:sz w:val="24"/>
          <w:szCs w:val="24"/>
        </w:rPr>
        <w:t xml:space="preserve">). En effet, l’amélioration de la productivité dans l'agriculture devrait favoriser l’accroissement des revenus des ménages agricoles et la satisfaction des besoins non alimentaires (soins de santé, éducation et autres), l’amélioration des conditions d’emploi et d’existence en milieu rural ainsi que la contribution du secteur à la croissance de l’économie nationale. En conséquence, elle devrait conduire à une réduction substantielle de la pauvreté. </w:t>
      </w:r>
      <w:r w:rsidR="00F751AC">
        <w:rPr>
          <w:rFonts w:ascii="Times New Roman" w:hAnsi="Times New Roman"/>
          <w:sz w:val="24"/>
          <w:szCs w:val="24"/>
        </w:rPr>
        <w:t xml:space="preserve">Les réformes engagées par le Bénin dans le secteur agricole s’inscrivent dans cette lancée. En effet, </w:t>
      </w:r>
      <w:r w:rsidRPr="001C5A58">
        <w:rPr>
          <w:rFonts w:ascii="Times New Roman" w:hAnsi="Times New Roman"/>
          <w:sz w:val="24"/>
          <w:szCs w:val="24"/>
        </w:rPr>
        <w:t>le Bénin a retenu l’amélioration de la productivité et de la compétitivité du secteur agricole et rural comme un des deux défis majeurs</w:t>
      </w:r>
      <w:r w:rsidR="001064B7" w:rsidRPr="001064B7">
        <w:rPr>
          <w:rFonts w:ascii="Times New Roman" w:hAnsi="Times New Roman"/>
          <w:sz w:val="24"/>
          <w:szCs w:val="24"/>
          <w:vertAlign w:val="superscript"/>
        </w:rPr>
        <w:footnoteReference w:id="10"/>
      </w:r>
      <w:r w:rsidRPr="001C5A58">
        <w:rPr>
          <w:rFonts w:ascii="Times New Roman" w:hAnsi="Times New Roman"/>
          <w:sz w:val="24"/>
          <w:szCs w:val="24"/>
        </w:rPr>
        <w:t xml:space="preserve"> à l’horizon 2015. Cette mesure</w:t>
      </w:r>
      <w:r w:rsidR="00432093">
        <w:rPr>
          <w:rFonts w:ascii="Times New Roman" w:hAnsi="Times New Roman"/>
          <w:sz w:val="24"/>
          <w:szCs w:val="24"/>
        </w:rPr>
        <w:t>,</w:t>
      </w:r>
      <w:r w:rsidRPr="001C5A58">
        <w:rPr>
          <w:rFonts w:ascii="Times New Roman" w:hAnsi="Times New Roman"/>
          <w:sz w:val="24"/>
          <w:szCs w:val="24"/>
        </w:rPr>
        <w:t xml:space="preserve"> si elle </w:t>
      </w:r>
      <w:r w:rsidR="00BA4CA1">
        <w:rPr>
          <w:rFonts w:ascii="Times New Roman" w:hAnsi="Times New Roman"/>
          <w:sz w:val="24"/>
          <w:szCs w:val="24"/>
        </w:rPr>
        <w:t xml:space="preserve">est </w:t>
      </w:r>
      <w:r w:rsidRPr="001C5A58">
        <w:rPr>
          <w:rFonts w:ascii="Times New Roman" w:hAnsi="Times New Roman"/>
          <w:sz w:val="24"/>
          <w:szCs w:val="24"/>
        </w:rPr>
        <w:t>efficacement mise en œuvre</w:t>
      </w:r>
      <w:r w:rsidR="00432093">
        <w:rPr>
          <w:rFonts w:ascii="Times New Roman" w:hAnsi="Times New Roman"/>
          <w:sz w:val="24"/>
          <w:szCs w:val="24"/>
        </w:rPr>
        <w:t>,</w:t>
      </w:r>
      <w:r w:rsidRPr="001C5A58">
        <w:rPr>
          <w:rFonts w:ascii="Times New Roman" w:hAnsi="Times New Roman"/>
          <w:sz w:val="24"/>
          <w:szCs w:val="24"/>
        </w:rPr>
        <w:t xml:space="preserve"> devrait donc contribuer </w:t>
      </w:r>
      <w:r w:rsidR="00BA4CA1">
        <w:rPr>
          <w:rFonts w:ascii="Times New Roman" w:hAnsi="Times New Roman"/>
          <w:sz w:val="24"/>
          <w:szCs w:val="24"/>
        </w:rPr>
        <w:t>à</w:t>
      </w:r>
      <w:r w:rsidRPr="001C5A58">
        <w:rPr>
          <w:rFonts w:ascii="Times New Roman" w:hAnsi="Times New Roman"/>
          <w:sz w:val="24"/>
          <w:szCs w:val="24"/>
        </w:rPr>
        <w:t xml:space="preserve"> réduire la pauvreté au Bénin.</w:t>
      </w:r>
    </w:p>
    <w:p w:rsidR="007F1584" w:rsidRPr="00571D85" w:rsidRDefault="007F1584" w:rsidP="007F1584">
      <w:pPr>
        <w:spacing w:line="276" w:lineRule="auto"/>
        <w:rPr>
          <w:rFonts w:ascii="Times New Roman" w:hAnsi="Times New Roman"/>
          <w:sz w:val="12"/>
          <w:szCs w:val="12"/>
        </w:rPr>
      </w:pPr>
    </w:p>
    <w:p w:rsidR="007F1584" w:rsidRDefault="007F1584" w:rsidP="007F1584">
      <w:pPr>
        <w:spacing w:line="276" w:lineRule="auto"/>
        <w:rPr>
          <w:rFonts w:ascii="Times New Roman" w:hAnsi="Times New Roman"/>
          <w:sz w:val="24"/>
          <w:szCs w:val="24"/>
        </w:rPr>
      </w:pPr>
      <w:r>
        <w:rPr>
          <w:rFonts w:ascii="Times New Roman" w:eastAsia="Times New Roman" w:hAnsi="Times New Roman"/>
          <w:b/>
          <w:bCs/>
          <w:color w:val="000000"/>
          <w:sz w:val="24"/>
          <w:szCs w:val="24"/>
          <w:lang w:eastAsia="fr-FR"/>
        </w:rPr>
        <w:t>La réduction des i</w:t>
      </w:r>
      <w:r w:rsidRPr="00A83913">
        <w:rPr>
          <w:rFonts w:ascii="Times New Roman" w:eastAsia="Times New Roman" w:hAnsi="Times New Roman"/>
          <w:b/>
          <w:bCs/>
          <w:color w:val="000000"/>
          <w:sz w:val="24"/>
          <w:szCs w:val="24"/>
          <w:lang w:eastAsia="fr-FR"/>
        </w:rPr>
        <w:t>négalité</w:t>
      </w:r>
      <w:r>
        <w:rPr>
          <w:rFonts w:ascii="Times New Roman" w:eastAsia="Times New Roman" w:hAnsi="Times New Roman"/>
          <w:b/>
          <w:bCs/>
          <w:color w:val="000000"/>
          <w:sz w:val="24"/>
          <w:szCs w:val="24"/>
          <w:lang w:eastAsia="fr-FR"/>
        </w:rPr>
        <w:t xml:space="preserve">s apparait capitale </w:t>
      </w:r>
      <w:r w:rsidRPr="00A83913">
        <w:rPr>
          <w:rFonts w:ascii="Times New Roman" w:eastAsia="Times New Roman" w:hAnsi="Times New Roman"/>
          <w:b/>
          <w:bCs/>
          <w:color w:val="000000"/>
          <w:sz w:val="24"/>
          <w:szCs w:val="24"/>
          <w:lang w:eastAsia="fr-FR"/>
        </w:rPr>
        <w:t>dans la perspective d’une stratégie de réduction de la pauvreté basée sur une croissance pro-pauvre</w:t>
      </w:r>
      <w:r>
        <w:rPr>
          <w:rFonts w:ascii="Times New Roman" w:eastAsia="Times New Roman" w:hAnsi="Times New Roman"/>
          <w:bCs/>
          <w:color w:val="000000"/>
          <w:sz w:val="24"/>
          <w:szCs w:val="24"/>
          <w:lang w:eastAsia="fr-FR"/>
        </w:rPr>
        <w:t xml:space="preserve">. </w:t>
      </w:r>
      <w:r w:rsidRPr="00CE2434">
        <w:rPr>
          <w:rFonts w:ascii="Times New Roman" w:eastAsia="Times New Roman" w:hAnsi="Times New Roman"/>
          <w:bCs/>
          <w:color w:val="000000"/>
          <w:sz w:val="24"/>
          <w:szCs w:val="24"/>
          <w:lang w:eastAsia="fr-FR"/>
        </w:rPr>
        <w:t>En effet, l</w:t>
      </w:r>
      <w:r w:rsidRPr="007A6813">
        <w:rPr>
          <w:rFonts w:ascii="Times New Roman" w:eastAsia="Times New Roman" w:hAnsi="Times New Roman"/>
          <w:bCs/>
          <w:color w:val="000000"/>
          <w:sz w:val="24"/>
          <w:szCs w:val="24"/>
          <w:lang w:eastAsia="fr-FR"/>
        </w:rPr>
        <w:t>a baisse de l’incidence de la pauvreté notée entre 2006 et 2009</w:t>
      </w:r>
      <w:r w:rsidRPr="00CE2434">
        <w:rPr>
          <w:rFonts w:ascii="Times New Roman" w:eastAsia="Times New Roman" w:hAnsi="Times New Roman"/>
          <w:bCs/>
          <w:color w:val="000000"/>
          <w:sz w:val="24"/>
          <w:szCs w:val="24"/>
          <w:lang w:eastAsia="fr-FR"/>
        </w:rPr>
        <w:t xml:space="preserve"> s’explique essentiellement </w:t>
      </w:r>
      <w:r>
        <w:rPr>
          <w:rFonts w:ascii="Times New Roman" w:eastAsia="Times New Roman" w:hAnsi="Times New Roman"/>
          <w:bCs/>
          <w:color w:val="000000"/>
          <w:sz w:val="24"/>
          <w:szCs w:val="24"/>
          <w:lang w:eastAsia="fr-FR"/>
        </w:rPr>
        <w:t xml:space="preserve">par la réduction des inégalités à travers </w:t>
      </w:r>
      <w:r w:rsidRPr="00CE2434">
        <w:rPr>
          <w:rFonts w:ascii="Times New Roman" w:eastAsia="Times New Roman" w:hAnsi="Times New Roman"/>
          <w:bCs/>
          <w:color w:val="000000"/>
          <w:sz w:val="24"/>
          <w:szCs w:val="24"/>
          <w:lang w:eastAsia="fr-FR"/>
        </w:rPr>
        <w:t>les mesures de redistribution</w:t>
      </w:r>
      <w:r>
        <w:rPr>
          <w:rFonts w:ascii="Times New Roman" w:eastAsia="Times New Roman" w:hAnsi="Times New Roman"/>
          <w:bCs/>
          <w:color w:val="000000"/>
          <w:sz w:val="24"/>
          <w:szCs w:val="24"/>
          <w:lang w:eastAsia="fr-FR"/>
        </w:rPr>
        <w:t xml:space="preserve"> mises en œuvre</w:t>
      </w:r>
      <w:r w:rsidRPr="00CE2434">
        <w:rPr>
          <w:rFonts w:ascii="Times New Roman" w:eastAsia="Times New Roman" w:hAnsi="Times New Roman"/>
          <w:bCs/>
          <w:color w:val="000000"/>
          <w:sz w:val="24"/>
          <w:szCs w:val="24"/>
          <w:lang w:eastAsia="fr-FR"/>
        </w:rPr>
        <w:t xml:space="preserve">. </w:t>
      </w:r>
      <w:r>
        <w:rPr>
          <w:rFonts w:ascii="Times New Roman" w:hAnsi="Times New Roman"/>
          <w:sz w:val="24"/>
          <w:szCs w:val="24"/>
        </w:rPr>
        <w:t xml:space="preserve">De façon générale, il ressort que les épisodes de baisse de l’incidence de la pauvreté sont largement imputables à une diminution des inégalités. L’effet croissance s’est avéré plutôt négatif en raison de l’insuffisance de la croissance due à une contraction des dépenses de consommation par tête des ménages.  </w:t>
      </w:r>
    </w:p>
    <w:p w:rsidR="00644643" w:rsidRDefault="00644643" w:rsidP="00644643">
      <w:pPr>
        <w:spacing w:line="276" w:lineRule="auto"/>
        <w:rPr>
          <w:rFonts w:ascii="Times New Roman" w:hAnsi="Times New Roman"/>
          <w:sz w:val="24"/>
          <w:szCs w:val="24"/>
        </w:rPr>
      </w:pPr>
    </w:p>
    <w:p w:rsidR="00B622BB" w:rsidRDefault="00B622BB" w:rsidP="00644643">
      <w:pPr>
        <w:spacing w:line="276" w:lineRule="auto"/>
        <w:rPr>
          <w:rFonts w:ascii="Times New Roman" w:hAnsi="Times New Roman"/>
          <w:sz w:val="24"/>
          <w:szCs w:val="24"/>
        </w:rPr>
      </w:pPr>
    </w:p>
    <w:p w:rsidR="00DA5BAE" w:rsidRDefault="00DA5BAE" w:rsidP="00644643">
      <w:pPr>
        <w:spacing w:line="276" w:lineRule="auto"/>
        <w:rPr>
          <w:rFonts w:ascii="Times New Roman" w:hAnsi="Times New Roman"/>
          <w:sz w:val="24"/>
          <w:szCs w:val="24"/>
        </w:rPr>
      </w:pPr>
    </w:p>
    <w:p w:rsidR="00DA5BAE" w:rsidRDefault="00DA5BAE" w:rsidP="00644643">
      <w:pPr>
        <w:spacing w:line="276" w:lineRule="auto"/>
        <w:rPr>
          <w:rFonts w:ascii="Times New Roman" w:hAnsi="Times New Roman"/>
          <w:sz w:val="24"/>
          <w:szCs w:val="24"/>
        </w:rPr>
      </w:pPr>
    </w:p>
    <w:p w:rsidR="00DA5BAE" w:rsidRDefault="00DA5BAE" w:rsidP="00644643">
      <w:pPr>
        <w:spacing w:line="276" w:lineRule="auto"/>
        <w:rPr>
          <w:rFonts w:ascii="Times New Roman" w:hAnsi="Times New Roman"/>
          <w:sz w:val="24"/>
          <w:szCs w:val="24"/>
        </w:rPr>
      </w:pPr>
    </w:p>
    <w:p w:rsidR="00DA5BAE" w:rsidRDefault="00DA5BAE" w:rsidP="00644643">
      <w:pPr>
        <w:spacing w:line="276" w:lineRule="auto"/>
        <w:rPr>
          <w:rFonts w:ascii="Times New Roman" w:hAnsi="Times New Roman"/>
          <w:sz w:val="24"/>
          <w:szCs w:val="24"/>
        </w:rPr>
      </w:pPr>
    </w:p>
    <w:p w:rsidR="00B622BB" w:rsidRDefault="00B622BB" w:rsidP="00644643">
      <w:pPr>
        <w:spacing w:line="276" w:lineRule="auto"/>
        <w:rPr>
          <w:rFonts w:ascii="Times New Roman" w:hAnsi="Times New Roman"/>
          <w:sz w:val="24"/>
          <w:szCs w:val="24"/>
        </w:rPr>
      </w:pPr>
    </w:p>
    <w:p w:rsidR="00B622BB" w:rsidRDefault="00B622BB"/>
    <w:tbl>
      <w:tblPr>
        <w:tblW w:w="9003" w:type="dxa"/>
        <w:tblInd w:w="57" w:type="dxa"/>
        <w:tblCellMar>
          <w:left w:w="70" w:type="dxa"/>
          <w:right w:w="70" w:type="dxa"/>
        </w:tblCellMar>
        <w:tblLook w:val="04A0" w:firstRow="1" w:lastRow="0" w:firstColumn="1" w:lastColumn="0" w:noHBand="0" w:noVBand="1"/>
      </w:tblPr>
      <w:tblGrid>
        <w:gridCol w:w="1978"/>
        <w:gridCol w:w="1110"/>
        <w:gridCol w:w="1110"/>
        <w:gridCol w:w="1081"/>
        <w:gridCol w:w="1110"/>
        <w:gridCol w:w="1243"/>
        <w:gridCol w:w="1371"/>
      </w:tblGrid>
      <w:tr w:rsidR="00B622BB" w:rsidRPr="007723DB" w:rsidTr="009E4C1C">
        <w:trPr>
          <w:trHeight w:val="505"/>
          <w:tblHeader/>
        </w:trPr>
        <w:tc>
          <w:tcPr>
            <w:tcW w:w="9003" w:type="dxa"/>
            <w:gridSpan w:val="7"/>
            <w:tcBorders>
              <w:left w:val="nil"/>
              <w:bottom w:val="single" w:sz="8" w:space="0" w:color="000000"/>
              <w:right w:val="nil"/>
            </w:tcBorders>
            <w:shd w:val="clear" w:color="auto" w:fill="92CDDC" w:themeFill="accent5" w:themeFillTint="99"/>
            <w:vAlign w:val="center"/>
            <w:hideMark/>
          </w:tcPr>
          <w:p w:rsidR="00B622BB" w:rsidRPr="00B622BB" w:rsidRDefault="00B622BB" w:rsidP="00B622BB">
            <w:pPr>
              <w:spacing w:line="240" w:lineRule="auto"/>
              <w:jc w:val="left"/>
              <w:rPr>
                <w:rFonts w:ascii="Times New Roman" w:eastAsia="Times New Roman" w:hAnsi="Times New Roman"/>
                <w:bCs/>
                <w:color w:val="000000"/>
                <w:sz w:val="24"/>
                <w:szCs w:val="24"/>
                <w:lang w:eastAsia="fr-FR"/>
              </w:rPr>
            </w:pPr>
            <w:r w:rsidRPr="00B622BB">
              <w:rPr>
                <w:rFonts w:ascii="Times New Roman" w:hAnsi="Times New Roman"/>
                <w:sz w:val="24"/>
                <w:szCs w:val="24"/>
              </w:rPr>
              <w:t xml:space="preserve">Tableau 0. </w:t>
            </w:r>
            <w:r w:rsidR="00182C97" w:rsidRPr="00B622BB">
              <w:rPr>
                <w:rFonts w:ascii="Times New Roman" w:hAnsi="Times New Roman"/>
                <w:sz w:val="24"/>
                <w:szCs w:val="24"/>
              </w:rPr>
              <w:fldChar w:fldCharType="begin"/>
            </w:r>
            <w:r w:rsidRPr="00B622BB">
              <w:rPr>
                <w:rFonts w:ascii="Times New Roman" w:eastAsia="Times New Roman" w:hAnsi="Times New Roman"/>
                <w:bCs/>
                <w:sz w:val="24"/>
                <w:szCs w:val="24"/>
              </w:rPr>
              <w:instrText xml:space="preserve"> SEQ Tableau_0. \* ARABIC </w:instrText>
            </w:r>
            <w:r w:rsidR="00182C97" w:rsidRPr="00B622BB">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4</w:t>
            </w:r>
            <w:r w:rsidR="00182C97" w:rsidRPr="00B622BB">
              <w:rPr>
                <w:rFonts w:ascii="Times New Roman" w:eastAsia="Times New Roman" w:hAnsi="Times New Roman"/>
                <w:bCs/>
                <w:sz w:val="24"/>
                <w:szCs w:val="24"/>
              </w:rPr>
              <w:fldChar w:fldCharType="end"/>
            </w:r>
            <w:r w:rsidRPr="00B622BB">
              <w:rPr>
                <w:rFonts w:ascii="Times New Roman" w:eastAsia="Times New Roman" w:hAnsi="Times New Roman"/>
                <w:bCs/>
                <w:sz w:val="24"/>
                <w:szCs w:val="24"/>
                <w:lang w:eastAsia="fr-FR"/>
              </w:rPr>
              <w:t>: Décomposition de l'évolution de la pauvreté selon les pôles de croissance</w:t>
            </w:r>
          </w:p>
        </w:tc>
      </w:tr>
      <w:tr w:rsidR="00644643" w:rsidRPr="007723DB" w:rsidTr="00B622BB">
        <w:trPr>
          <w:trHeight w:val="505"/>
          <w:tblHeader/>
        </w:trPr>
        <w:tc>
          <w:tcPr>
            <w:tcW w:w="1978" w:type="dxa"/>
            <w:tcBorders>
              <w:top w:val="double" w:sz="4" w:space="0" w:color="auto"/>
              <w:left w:val="nil"/>
              <w:bottom w:val="single" w:sz="8" w:space="0" w:color="000000"/>
              <w:right w:val="nil"/>
            </w:tcBorders>
            <w:shd w:val="clear" w:color="auto" w:fill="DAEEF3"/>
            <w:vAlign w:val="center"/>
            <w:hideMark/>
          </w:tcPr>
          <w:p w:rsidR="00644643" w:rsidRPr="007723DB" w:rsidRDefault="00644643" w:rsidP="001528C2">
            <w:pPr>
              <w:spacing w:line="240" w:lineRule="auto"/>
              <w:jc w:val="center"/>
              <w:rPr>
                <w:rFonts w:ascii="Times New Roman" w:eastAsia="Times New Roman" w:hAnsi="Times New Roman"/>
                <w:sz w:val="20"/>
                <w:szCs w:val="20"/>
                <w:lang w:eastAsia="fr-FR"/>
              </w:rPr>
            </w:pPr>
          </w:p>
        </w:tc>
        <w:tc>
          <w:tcPr>
            <w:tcW w:w="1110" w:type="dxa"/>
            <w:tcBorders>
              <w:top w:val="double" w:sz="4" w:space="0" w:color="auto"/>
              <w:left w:val="nil"/>
              <w:bottom w:val="single" w:sz="8" w:space="0" w:color="000000"/>
              <w:right w:val="nil"/>
            </w:tcBorders>
            <w:shd w:val="clear" w:color="auto" w:fill="DAEEF3"/>
            <w:vAlign w:val="bottom"/>
            <w:hideMark/>
          </w:tcPr>
          <w:p w:rsidR="00644643" w:rsidRPr="00481686" w:rsidRDefault="00644643" w:rsidP="001528C2">
            <w:pPr>
              <w:spacing w:line="240" w:lineRule="auto"/>
              <w:jc w:val="center"/>
              <w:rPr>
                <w:rFonts w:ascii="Times New Roman" w:eastAsia="Times New Roman" w:hAnsi="Times New Roman"/>
                <w:bCs/>
                <w:color w:val="000000"/>
                <w:lang w:eastAsia="fr-FR"/>
              </w:rPr>
            </w:pPr>
            <w:r w:rsidRPr="00481686">
              <w:rPr>
                <w:rFonts w:ascii="Times New Roman" w:eastAsia="Times New Roman" w:hAnsi="Times New Roman"/>
                <w:bCs/>
                <w:color w:val="000000"/>
                <w:lang w:eastAsia="fr-FR"/>
              </w:rPr>
              <w:t>P0 (2006)</w:t>
            </w:r>
          </w:p>
        </w:tc>
        <w:tc>
          <w:tcPr>
            <w:tcW w:w="1110" w:type="dxa"/>
            <w:tcBorders>
              <w:top w:val="double" w:sz="4" w:space="0" w:color="auto"/>
              <w:left w:val="nil"/>
              <w:bottom w:val="single" w:sz="8" w:space="0" w:color="000000"/>
              <w:right w:val="nil"/>
            </w:tcBorders>
            <w:shd w:val="clear" w:color="auto" w:fill="DAEEF3"/>
            <w:vAlign w:val="bottom"/>
            <w:hideMark/>
          </w:tcPr>
          <w:p w:rsidR="00644643" w:rsidRPr="00481686" w:rsidRDefault="00644643" w:rsidP="001528C2">
            <w:pPr>
              <w:spacing w:line="240" w:lineRule="auto"/>
              <w:jc w:val="center"/>
              <w:rPr>
                <w:rFonts w:ascii="Times New Roman" w:eastAsia="Times New Roman" w:hAnsi="Times New Roman"/>
                <w:bCs/>
                <w:color w:val="000000"/>
                <w:lang w:eastAsia="fr-FR"/>
              </w:rPr>
            </w:pPr>
            <w:r w:rsidRPr="00481686">
              <w:rPr>
                <w:rFonts w:ascii="Times New Roman" w:eastAsia="Times New Roman" w:hAnsi="Times New Roman"/>
                <w:bCs/>
                <w:color w:val="000000"/>
                <w:lang w:eastAsia="fr-FR"/>
              </w:rPr>
              <w:t>P0 (2009)</w:t>
            </w:r>
          </w:p>
        </w:tc>
        <w:tc>
          <w:tcPr>
            <w:tcW w:w="1081" w:type="dxa"/>
            <w:tcBorders>
              <w:top w:val="double" w:sz="4" w:space="0" w:color="auto"/>
              <w:left w:val="nil"/>
              <w:bottom w:val="single" w:sz="8" w:space="0" w:color="000000"/>
              <w:right w:val="nil"/>
            </w:tcBorders>
            <w:shd w:val="clear" w:color="auto" w:fill="DAEEF3"/>
            <w:vAlign w:val="bottom"/>
            <w:hideMark/>
          </w:tcPr>
          <w:p w:rsidR="00644643" w:rsidRPr="00481686" w:rsidRDefault="00644643" w:rsidP="001528C2">
            <w:pPr>
              <w:spacing w:line="240" w:lineRule="auto"/>
              <w:jc w:val="center"/>
              <w:rPr>
                <w:rFonts w:ascii="Times New Roman" w:eastAsia="Times New Roman" w:hAnsi="Times New Roman"/>
                <w:bCs/>
                <w:color w:val="000000"/>
                <w:lang w:eastAsia="fr-FR"/>
              </w:rPr>
            </w:pPr>
            <w:r w:rsidRPr="00481686">
              <w:rPr>
                <w:rFonts w:ascii="Times New Roman" w:eastAsia="Times New Roman" w:hAnsi="Times New Roman"/>
                <w:bCs/>
                <w:color w:val="000000"/>
                <w:lang w:eastAsia="fr-FR"/>
              </w:rPr>
              <w:t>Différence</w:t>
            </w:r>
          </w:p>
        </w:tc>
        <w:tc>
          <w:tcPr>
            <w:tcW w:w="1110" w:type="dxa"/>
            <w:tcBorders>
              <w:top w:val="double" w:sz="4" w:space="0" w:color="auto"/>
              <w:left w:val="nil"/>
              <w:bottom w:val="single" w:sz="8" w:space="0" w:color="000000"/>
              <w:right w:val="nil"/>
            </w:tcBorders>
            <w:shd w:val="clear" w:color="auto" w:fill="DAEEF3"/>
            <w:vAlign w:val="bottom"/>
            <w:hideMark/>
          </w:tcPr>
          <w:p w:rsidR="00644643" w:rsidRPr="00481686" w:rsidRDefault="00644643" w:rsidP="001528C2">
            <w:pPr>
              <w:spacing w:line="240" w:lineRule="auto"/>
              <w:jc w:val="center"/>
              <w:rPr>
                <w:rFonts w:ascii="Times New Roman" w:eastAsia="Times New Roman" w:hAnsi="Times New Roman"/>
                <w:bCs/>
                <w:color w:val="000000"/>
                <w:lang w:eastAsia="fr-FR"/>
              </w:rPr>
            </w:pPr>
            <w:r w:rsidRPr="00481686">
              <w:rPr>
                <w:rFonts w:ascii="Times New Roman" w:eastAsia="Times New Roman" w:hAnsi="Times New Roman"/>
                <w:bCs/>
                <w:color w:val="000000"/>
                <w:lang w:eastAsia="fr-FR"/>
              </w:rPr>
              <w:t>Ecart-type</w:t>
            </w:r>
          </w:p>
        </w:tc>
        <w:tc>
          <w:tcPr>
            <w:tcW w:w="1243" w:type="dxa"/>
            <w:tcBorders>
              <w:top w:val="double" w:sz="4" w:space="0" w:color="auto"/>
              <w:left w:val="nil"/>
              <w:bottom w:val="single" w:sz="8" w:space="0" w:color="000000"/>
              <w:right w:val="nil"/>
            </w:tcBorders>
            <w:shd w:val="clear" w:color="auto" w:fill="DAEEF3"/>
            <w:vAlign w:val="bottom"/>
            <w:hideMark/>
          </w:tcPr>
          <w:p w:rsidR="00644643" w:rsidRPr="00481686" w:rsidRDefault="00644643" w:rsidP="001528C2">
            <w:pPr>
              <w:spacing w:line="240" w:lineRule="auto"/>
              <w:jc w:val="center"/>
              <w:rPr>
                <w:rFonts w:ascii="Times New Roman" w:eastAsia="Times New Roman" w:hAnsi="Times New Roman"/>
                <w:bCs/>
                <w:color w:val="000000"/>
                <w:lang w:eastAsia="fr-FR"/>
              </w:rPr>
            </w:pPr>
            <w:r w:rsidRPr="00481686">
              <w:rPr>
                <w:rFonts w:ascii="Times New Roman" w:eastAsia="Times New Roman" w:hAnsi="Times New Roman"/>
                <w:bCs/>
                <w:color w:val="000000"/>
                <w:lang w:eastAsia="fr-FR"/>
              </w:rPr>
              <w:t xml:space="preserve">Composante croissance </w:t>
            </w:r>
          </w:p>
        </w:tc>
        <w:tc>
          <w:tcPr>
            <w:tcW w:w="1371" w:type="dxa"/>
            <w:tcBorders>
              <w:top w:val="double" w:sz="4" w:space="0" w:color="auto"/>
              <w:left w:val="nil"/>
              <w:bottom w:val="single" w:sz="8" w:space="0" w:color="000000"/>
              <w:right w:val="nil"/>
            </w:tcBorders>
            <w:shd w:val="clear" w:color="auto" w:fill="DAEEF3"/>
            <w:vAlign w:val="bottom"/>
            <w:hideMark/>
          </w:tcPr>
          <w:p w:rsidR="00644643" w:rsidRPr="00481686" w:rsidRDefault="00644643" w:rsidP="001528C2">
            <w:pPr>
              <w:spacing w:line="240" w:lineRule="auto"/>
              <w:jc w:val="center"/>
              <w:rPr>
                <w:rFonts w:ascii="Times New Roman" w:eastAsia="Times New Roman" w:hAnsi="Times New Roman"/>
                <w:bCs/>
                <w:color w:val="000000"/>
                <w:lang w:eastAsia="fr-FR"/>
              </w:rPr>
            </w:pPr>
            <w:r w:rsidRPr="00481686">
              <w:rPr>
                <w:rFonts w:ascii="Times New Roman" w:eastAsia="Times New Roman" w:hAnsi="Times New Roman"/>
                <w:bCs/>
                <w:color w:val="000000"/>
                <w:lang w:eastAsia="fr-FR"/>
              </w:rPr>
              <w:t xml:space="preserve">Composante redistribution </w:t>
            </w:r>
          </w:p>
        </w:tc>
      </w:tr>
      <w:tr w:rsidR="00644643" w:rsidRPr="00364F6B" w:rsidTr="00B622BB">
        <w:trPr>
          <w:trHeight w:val="291"/>
        </w:trPr>
        <w:tc>
          <w:tcPr>
            <w:tcW w:w="1978" w:type="dxa"/>
            <w:tcBorders>
              <w:top w:val="single" w:sz="8" w:space="0" w:color="000000"/>
              <w:left w:val="nil"/>
              <w:bottom w:val="single" w:sz="4" w:space="0" w:color="auto"/>
              <w:right w:val="nil"/>
            </w:tcBorders>
            <w:shd w:val="clear" w:color="auto" w:fill="DAEEF3"/>
            <w:hideMark/>
          </w:tcPr>
          <w:p w:rsidR="00644643" w:rsidRPr="00364F6B" w:rsidRDefault="00644643" w:rsidP="001528C2">
            <w:pPr>
              <w:spacing w:line="240" w:lineRule="auto"/>
              <w:rPr>
                <w:rFonts w:ascii="Times New Roman" w:eastAsia="Times New Roman" w:hAnsi="Times New Roman"/>
                <w:b/>
                <w:bCs/>
                <w:color w:val="000000"/>
                <w:lang w:eastAsia="fr-FR"/>
              </w:rPr>
            </w:pPr>
            <w:r w:rsidRPr="00364F6B">
              <w:rPr>
                <w:rFonts w:ascii="Times New Roman" w:eastAsia="Times New Roman" w:hAnsi="Times New Roman"/>
                <w:b/>
                <w:bCs/>
                <w:color w:val="000000"/>
                <w:lang w:eastAsia="fr-FR"/>
              </w:rPr>
              <w:t>Bénin</w:t>
            </w:r>
          </w:p>
        </w:tc>
        <w:tc>
          <w:tcPr>
            <w:tcW w:w="1110" w:type="dxa"/>
            <w:tcBorders>
              <w:top w:val="single" w:sz="8" w:space="0" w:color="000000"/>
              <w:left w:val="nil"/>
              <w:bottom w:val="single" w:sz="4" w:space="0" w:color="auto"/>
              <w:right w:val="nil"/>
            </w:tcBorders>
            <w:shd w:val="clear" w:color="auto" w:fill="DAEEF3"/>
            <w:noWrap/>
            <w:hideMark/>
          </w:tcPr>
          <w:p w:rsidR="00644643" w:rsidRPr="00364F6B" w:rsidRDefault="00644643" w:rsidP="001528C2">
            <w:pPr>
              <w:spacing w:line="240" w:lineRule="auto"/>
              <w:jc w:val="center"/>
              <w:rPr>
                <w:rFonts w:ascii="Times New Roman" w:eastAsia="Times New Roman" w:hAnsi="Times New Roman"/>
                <w:color w:val="000000"/>
                <w:lang w:eastAsia="fr-FR"/>
              </w:rPr>
            </w:pPr>
            <w:r w:rsidRPr="00364F6B">
              <w:rPr>
                <w:rFonts w:ascii="Times New Roman" w:eastAsia="Times New Roman" w:hAnsi="Times New Roman"/>
                <w:color w:val="000000"/>
                <w:lang w:eastAsia="fr-FR"/>
              </w:rPr>
              <w:t>0,375</w:t>
            </w:r>
          </w:p>
        </w:tc>
        <w:tc>
          <w:tcPr>
            <w:tcW w:w="1110" w:type="dxa"/>
            <w:tcBorders>
              <w:top w:val="single" w:sz="8" w:space="0" w:color="000000"/>
              <w:left w:val="nil"/>
              <w:bottom w:val="single" w:sz="4" w:space="0" w:color="auto"/>
              <w:right w:val="nil"/>
            </w:tcBorders>
            <w:shd w:val="clear" w:color="auto" w:fill="DAEEF3"/>
            <w:noWrap/>
            <w:hideMark/>
          </w:tcPr>
          <w:p w:rsidR="00644643" w:rsidRPr="00364F6B" w:rsidRDefault="00644643" w:rsidP="001528C2">
            <w:pPr>
              <w:spacing w:line="240" w:lineRule="auto"/>
              <w:jc w:val="center"/>
              <w:rPr>
                <w:rFonts w:ascii="Times New Roman" w:eastAsia="Times New Roman" w:hAnsi="Times New Roman"/>
                <w:color w:val="000000"/>
                <w:lang w:eastAsia="fr-FR"/>
              </w:rPr>
            </w:pPr>
            <w:r w:rsidRPr="00364F6B">
              <w:rPr>
                <w:rFonts w:ascii="Times New Roman" w:eastAsia="Times New Roman" w:hAnsi="Times New Roman"/>
                <w:color w:val="000000"/>
                <w:lang w:eastAsia="fr-FR"/>
              </w:rPr>
              <w:t>0,352</w:t>
            </w:r>
          </w:p>
        </w:tc>
        <w:tc>
          <w:tcPr>
            <w:tcW w:w="1081" w:type="dxa"/>
            <w:tcBorders>
              <w:top w:val="single" w:sz="8" w:space="0" w:color="000000"/>
              <w:left w:val="nil"/>
              <w:bottom w:val="single" w:sz="4" w:space="0" w:color="auto"/>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-0,023</w:t>
            </w:r>
          </w:p>
        </w:tc>
        <w:tc>
          <w:tcPr>
            <w:tcW w:w="1110" w:type="dxa"/>
            <w:tcBorders>
              <w:top w:val="single" w:sz="8" w:space="0" w:color="000000"/>
              <w:left w:val="nil"/>
              <w:bottom w:val="single" w:sz="4" w:space="0" w:color="auto"/>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0,014</w:t>
            </w:r>
          </w:p>
        </w:tc>
        <w:tc>
          <w:tcPr>
            <w:tcW w:w="1243" w:type="dxa"/>
            <w:tcBorders>
              <w:top w:val="single" w:sz="8" w:space="0" w:color="000000"/>
              <w:left w:val="nil"/>
              <w:bottom w:val="single" w:sz="4" w:space="0" w:color="auto"/>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0,036</w:t>
            </w:r>
          </w:p>
        </w:tc>
        <w:tc>
          <w:tcPr>
            <w:tcW w:w="1371" w:type="dxa"/>
            <w:tcBorders>
              <w:top w:val="single" w:sz="8" w:space="0" w:color="000000"/>
              <w:left w:val="nil"/>
              <w:bottom w:val="single" w:sz="4" w:space="0" w:color="auto"/>
              <w:right w:val="nil"/>
            </w:tcBorders>
            <w:shd w:val="clear" w:color="auto" w:fill="DAEEF3"/>
            <w:noWrap/>
            <w:hideMark/>
          </w:tcPr>
          <w:p w:rsidR="00644643" w:rsidRPr="00364F6B" w:rsidRDefault="00644643" w:rsidP="001528C2">
            <w:pPr>
              <w:spacing w:line="240" w:lineRule="auto"/>
              <w:jc w:val="center"/>
              <w:rPr>
                <w:rFonts w:ascii="Times New Roman" w:eastAsia="Times New Roman" w:hAnsi="Times New Roman"/>
                <w:color w:val="000000"/>
                <w:lang w:eastAsia="fr-FR"/>
              </w:rPr>
            </w:pPr>
            <w:r w:rsidRPr="00364F6B">
              <w:rPr>
                <w:rFonts w:ascii="Times New Roman" w:eastAsia="Times New Roman" w:hAnsi="Times New Roman"/>
                <w:color w:val="000000"/>
                <w:lang w:eastAsia="fr-FR"/>
              </w:rPr>
              <w:t>-0,059</w:t>
            </w:r>
          </w:p>
        </w:tc>
      </w:tr>
      <w:tr w:rsidR="00644643" w:rsidRPr="00B4759B" w:rsidTr="00B622BB">
        <w:trPr>
          <w:trHeight w:val="291"/>
        </w:trPr>
        <w:tc>
          <w:tcPr>
            <w:tcW w:w="1978" w:type="dxa"/>
            <w:tcBorders>
              <w:top w:val="single" w:sz="4" w:space="0" w:color="auto"/>
              <w:left w:val="nil"/>
              <w:bottom w:val="nil"/>
              <w:right w:val="nil"/>
            </w:tcBorders>
            <w:shd w:val="clear" w:color="auto" w:fill="DAEEF3"/>
            <w:hideMark/>
          </w:tcPr>
          <w:p w:rsidR="00644643" w:rsidRPr="00B4759B" w:rsidRDefault="00644643" w:rsidP="001528C2">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Agriculture</w:t>
            </w:r>
          </w:p>
        </w:tc>
        <w:tc>
          <w:tcPr>
            <w:tcW w:w="1110" w:type="dxa"/>
            <w:tcBorders>
              <w:top w:val="single" w:sz="4" w:space="0" w:color="auto"/>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0,409</w:t>
            </w:r>
          </w:p>
        </w:tc>
        <w:tc>
          <w:tcPr>
            <w:tcW w:w="1110" w:type="dxa"/>
            <w:tcBorders>
              <w:top w:val="single" w:sz="4" w:space="0" w:color="auto"/>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0,431</w:t>
            </w:r>
          </w:p>
        </w:tc>
        <w:tc>
          <w:tcPr>
            <w:tcW w:w="1081" w:type="dxa"/>
            <w:tcBorders>
              <w:top w:val="single" w:sz="4" w:space="0" w:color="auto"/>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0,022</w:t>
            </w:r>
          </w:p>
        </w:tc>
        <w:tc>
          <w:tcPr>
            <w:tcW w:w="1110" w:type="dxa"/>
            <w:tcBorders>
              <w:top w:val="single" w:sz="4" w:space="0" w:color="auto"/>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0,018</w:t>
            </w:r>
          </w:p>
        </w:tc>
        <w:tc>
          <w:tcPr>
            <w:tcW w:w="1243" w:type="dxa"/>
            <w:tcBorders>
              <w:top w:val="single" w:sz="4" w:space="0" w:color="auto"/>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0,088</w:t>
            </w:r>
          </w:p>
        </w:tc>
        <w:tc>
          <w:tcPr>
            <w:tcW w:w="1371" w:type="dxa"/>
            <w:tcBorders>
              <w:top w:val="single" w:sz="4" w:space="0" w:color="auto"/>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-0,066</w:t>
            </w:r>
          </w:p>
        </w:tc>
      </w:tr>
      <w:tr w:rsidR="00644643" w:rsidRPr="00B4759B" w:rsidTr="00B622BB">
        <w:trPr>
          <w:trHeight w:val="291"/>
        </w:trPr>
        <w:tc>
          <w:tcPr>
            <w:tcW w:w="1978" w:type="dxa"/>
            <w:tcBorders>
              <w:top w:val="nil"/>
              <w:left w:val="nil"/>
              <w:bottom w:val="nil"/>
              <w:right w:val="nil"/>
            </w:tcBorders>
            <w:shd w:val="clear" w:color="auto" w:fill="DAEEF3"/>
            <w:hideMark/>
          </w:tcPr>
          <w:p w:rsidR="00644643" w:rsidRPr="00B4759B" w:rsidRDefault="00644643" w:rsidP="001528C2">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Coton-Textile</w:t>
            </w:r>
          </w:p>
        </w:tc>
        <w:tc>
          <w:tcPr>
            <w:tcW w:w="1110"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0,453</w:t>
            </w:r>
          </w:p>
        </w:tc>
        <w:tc>
          <w:tcPr>
            <w:tcW w:w="1110"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0,333</w:t>
            </w:r>
          </w:p>
        </w:tc>
        <w:tc>
          <w:tcPr>
            <w:tcW w:w="1081"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-0,120</w:t>
            </w:r>
          </w:p>
        </w:tc>
        <w:tc>
          <w:tcPr>
            <w:tcW w:w="1110"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0,073</w:t>
            </w:r>
          </w:p>
        </w:tc>
        <w:tc>
          <w:tcPr>
            <w:tcW w:w="1243"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-0,011</w:t>
            </w:r>
          </w:p>
        </w:tc>
        <w:tc>
          <w:tcPr>
            <w:tcW w:w="1371"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-0,109</w:t>
            </w:r>
          </w:p>
        </w:tc>
      </w:tr>
      <w:tr w:rsidR="00644643" w:rsidRPr="00B4759B" w:rsidTr="00B622BB">
        <w:trPr>
          <w:trHeight w:val="291"/>
        </w:trPr>
        <w:tc>
          <w:tcPr>
            <w:tcW w:w="1978" w:type="dxa"/>
            <w:tcBorders>
              <w:top w:val="nil"/>
              <w:left w:val="nil"/>
              <w:bottom w:val="nil"/>
              <w:right w:val="nil"/>
            </w:tcBorders>
            <w:shd w:val="clear" w:color="auto" w:fill="DAEEF3"/>
            <w:hideMark/>
          </w:tcPr>
          <w:p w:rsidR="00644643" w:rsidRPr="00B4759B" w:rsidRDefault="00644643" w:rsidP="001528C2">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Commerce-logistique</w:t>
            </w:r>
          </w:p>
        </w:tc>
        <w:tc>
          <w:tcPr>
            <w:tcW w:w="1110"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0,236</w:t>
            </w:r>
          </w:p>
        </w:tc>
        <w:tc>
          <w:tcPr>
            <w:tcW w:w="1110"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0,267</w:t>
            </w:r>
          </w:p>
        </w:tc>
        <w:tc>
          <w:tcPr>
            <w:tcW w:w="1081"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0,031</w:t>
            </w:r>
          </w:p>
        </w:tc>
        <w:tc>
          <w:tcPr>
            <w:tcW w:w="1110"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0,035</w:t>
            </w:r>
          </w:p>
        </w:tc>
        <w:tc>
          <w:tcPr>
            <w:tcW w:w="1243"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0,085</w:t>
            </w:r>
          </w:p>
        </w:tc>
        <w:tc>
          <w:tcPr>
            <w:tcW w:w="1371"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-0,054</w:t>
            </w:r>
          </w:p>
        </w:tc>
      </w:tr>
      <w:tr w:rsidR="00644643" w:rsidRPr="00B4759B" w:rsidTr="00B622BB">
        <w:trPr>
          <w:trHeight w:val="291"/>
        </w:trPr>
        <w:tc>
          <w:tcPr>
            <w:tcW w:w="1978" w:type="dxa"/>
            <w:tcBorders>
              <w:top w:val="nil"/>
              <w:left w:val="nil"/>
              <w:bottom w:val="nil"/>
              <w:right w:val="nil"/>
            </w:tcBorders>
            <w:shd w:val="clear" w:color="auto" w:fill="DAEEF3"/>
            <w:hideMark/>
          </w:tcPr>
          <w:p w:rsidR="00644643" w:rsidRPr="00B4759B" w:rsidRDefault="00644643" w:rsidP="001528C2">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Agroalimentaire</w:t>
            </w:r>
          </w:p>
        </w:tc>
        <w:tc>
          <w:tcPr>
            <w:tcW w:w="1110"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0,244</w:t>
            </w:r>
          </w:p>
        </w:tc>
        <w:tc>
          <w:tcPr>
            <w:tcW w:w="1110"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0,298</w:t>
            </w:r>
          </w:p>
        </w:tc>
        <w:tc>
          <w:tcPr>
            <w:tcW w:w="1081"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0,054</w:t>
            </w:r>
          </w:p>
        </w:tc>
        <w:tc>
          <w:tcPr>
            <w:tcW w:w="1110"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0,085</w:t>
            </w:r>
          </w:p>
        </w:tc>
        <w:tc>
          <w:tcPr>
            <w:tcW w:w="1243" w:type="dxa"/>
            <w:tcBorders>
              <w:top w:val="nil"/>
              <w:left w:val="nil"/>
              <w:bottom w:val="nil"/>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-0,055</w:t>
            </w:r>
          </w:p>
        </w:tc>
        <w:tc>
          <w:tcPr>
            <w:tcW w:w="1371" w:type="dxa"/>
            <w:tcBorders>
              <w:top w:val="nil"/>
              <w:left w:val="nil"/>
              <w:bottom w:val="nil"/>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0,109</w:t>
            </w:r>
          </w:p>
        </w:tc>
      </w:tr>
      <w:tr w:rsidR="00644643" w:rsidRPr="00B4759B" w:rsidTr="00B622BB">
        <w:trPr>
          <w:trHeight w:val="291"/>
        </w:trPr>
        <w:tc>
          <w:tcPr>
            <w:tcW w:w="1978" w:type="dxa"/>
            <w:tcBorders>
              <w:top w:val="nil"/>
              <w:left w:val="nil"/>
              <w:bottom w:val="double" w:sz="6" w:space="0" w:color="auto"/>
              <w:right w:val="nil"/>
            </w:tcBorders>
            <w:shd w:val="clear" w:color="auto" w:fill="DAEEF3"/>
            <w:hideMark/>
          </w:tcPr>
          <w:p w:rsidR="00644643" w:rsidRPr="00B4759B" w:rsidRDefault="00644643" w:rsidP="001528C2">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Artisanat, culture et tourisme</w:t>
            </w:r>
          </w:p>
        </w:tc>
        <w:tc>
          <w:tcPr>
            <w:tcW w:w="1110" w:type="dxa"/>
            <w:tcBorders>
              <w:top w:val="nil"/>
              <w:left w:val="nil"/>
              <w:bottom w:val="double" w:sz="6" w:space="0" w:color="auto"/>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C5684C">
              <w:rPr>
                <w:rFonts w:ascii="Times New Roman" w:eastAsia="Times New Roman" w:hAnsi="Times New Roman"/>
                <w:color w:val="000000"/>
                <w:lang w:eastAsia="fr-FR"/>
              </w:rPr>
              <w:t>0,345</w:t>
            </w:r>
          </w:p>
        </w:tc>
        <w:tc>
          <w:tcPr>
            <w:tcW w:w="1110" w:type="dxa"/>
            <w:tcBorders>
              <w:top w:val="nil"/>
              <w:left w:val="nil"/>
              <w:bottom w:val="double" w:sz="6" w:space="0" w:color="auto"/>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w:t>
            </w:r>
            <w:r w:rsidRPr="00C5684C">
              <w:rPr>
                <w:rFonts w:ascii="Times New Roman" w:eastAsia="Times New Roman" w:hAnsi="Times New Roman"/>
                <w:color w:val="000000"/>
                <w:lang w:eastAsia="fr-FR"/>
              </w:rPr>
              <w:t>,286</w:t>
            </w:r>
          </w:p>
        </w:tc>
        <w:tc>
          <w:tcPr>
            <w:tcW w:w="1081" w:type="dxa"/>
            <w:tcBorders>
              <w:top w:val="nil"/>
              <w:left w:val="nil"/>
              <w:bottom w:val="double" w:sz="6" w:space="0" w:color="auto"/>
              <w:right w:val="nil"/>
            </w:tcBorders>
            <w:shd w:val="clear" w:color="auto" w:fill="DAEEF3"/>
            <w:noWrap/>
            <w:hideMark/>
          </w:tcPr>
          <w:p w:rsidR="00644643" w:rsidRPr="00C5684C" w:rsidRDefault="00644643" w:rsidP="001528C2">
            <w:pPr>
              <w:jc w:val="center"/>
              <w:rPr>
                <w:rFonts w:ascii="Times New Roman" w:eastAsia="Times New Roman" w:hAnsi="Times New Roman"/>
                <w:color w:val="000000"/>
                <w:lang w:eastAsia="fr-FR"/>
              </w:rPr>
            </w:pPr>
            <w:r w:rsidRPr="00C5684C">
              <w:rPr>
                <w:rFonts w:ascii="Times New Roman" w:eastAsia="Times New Roman" w:hAnsi="Times New Roman"/>
                <w:color w:val="000000"/>
                <w:lang w:eastAsia="fr-FR"/>
              </w:rPr>
              <w:t>-0,059</w:t>
            </w:r>
          </w:p>
          <w:p w:rsidR="00644643" w:rsidRPr="00B375EB" w:rsidRDefault="00644643" w:rsidP="001528C2">
            <w:pPr>
              <w:spacing w:line="240" w:lineRule="auto"/>
              <w:jc w:val="center"/>
              <w:rPr>
                <w:rFonts w:ascii="Times New Roman" w:eastAsia="Times New Roman" w:hAnsi="Times New Roman"/>
                <w:color w:val="000000"/>
                <w:lang w:eastAsia="fr-FR"/>
              </w:rPr>
            </w:pPr>
          </w:p>
        </w:tc>
        <w:tc>
          <w:tcPr>
            <w:tcW w:w="1110" w:type="dxa"/>
            <w:tcBorders>
              <w:top w:val="nil"/>
              <w:left w:val="nil"/>
              <w:bottom w:val="double" w:sz="6" w:space="0" w:color="auto"/>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C5684C">
              <w:rPr>
                <w:rFonts w:ascii="Times New Roman" w:eastAsia="Times New Roman" w:hAnsi="Times New Roman"/>
                <w:color w:val="000000"/>
                <w:lang w:eastAsia="fr-FR"/>
              </w:rPr>
              <w:t>0,034</w:t>
            </w:r>
          </w:p>
        </w:tc>
        <w:tc>
          <w:tcPr>
            <w:tcW w:w="1243" w:type="dxa"/>
            <w:tcBorders>
              <w:top w:val="nil"/>
              <w:left w:val="nil"/>
              <w:bottom w:val="double" w:sz="6" w:space="0" w:color="auto"/>
              <w:right w:val="nil"/>
            </w:tcBorders>
            <w:shd w:val="clear" w:color="auto" w:fill="DAEEF3"/>
            <w:noWrap/>
            <w:hideMark/>
          </w:tcPr>
          <w:p w:rsidR="00644643" w:rsidRPr="00B375EB" w:rsidRDefault="00644643" w:rsidP="001528C2">
            <w:pPr>
              <w:spacing w:line="240" w:lineRule="auto"/>
              <w:jc w:val="center"/>
              <w:rPr>
                <w:rFonts w:ascii="Times New Roman" w:eastAsia="Times New Roman" w:hAnsi="Times New Roman"/>
                <w:color w:val="000000"/>
                <w:lang w:eastAsia="fr-FR"/>
              </w:rPr>
            </w:pPr>
            <w:r w:rsidRPr="00C5684C">
              <w:rPr>
                <w:rFonts w:ascii="Times New Roman" w:eastAsia="Times New Roman" w:hAnsi="Times New Roman"/>
                <w:color w:val="000000"/>
                <w:lang w:eastAsia="fr-FR"/>
              </w:rPr>
              <w:t>0,046</w:t>
            </w:r>
          </w:p>
        </w:tc>
        <w:tc>
          <w:tcPr>
            <w:tcW w:w="1371" w:type="dxa"/>
            <w:tcBorders>
              <w:top w:val="nil"/>
              <w:left w:val="nil"/>
              <w:bottom w:val="double" w:sz="6" w:space="0" w:color="auto"/>
              <w:right w:val="nil"/>
            </w:tcBorders>
            <w:shd w:val="clear" w:color="auto" w:fill="DAEEF3"/>
            <w:noWrap/>
            <w:hideMark/>
          </w:tcPr>
          <w:p w:rsidR="00644643" w:rsidRPr="00B4759B" w:rsidRDefault="00644643" w:rsidP="001528C2">
            <w:pPr>
              <w:spacing w:line="240" w:lineRule="auto"/>
              <w:jc w:val="center"/>
              <w:rPr>
                <w:rFonts w:ascii="Times New Roman" w:eastAsia="Times New Roman" w:hAnsi="Times New Roman"/>
                <w:color w:val="000000"/>
                <w:lang w:eastAsia="fr-FR"/>
              </w:rPr>
            </w:pPr>
            <w:r w:rsidRPr="00C5684C">
              <w:rPr>
                <w:rFonts w:ascii="Times New Roman" w:eastAsia="Times New Roman" w:hAnsi="Times New Roman"/>
                <w:color w:val="000000"/>
                <w:lang w:eastAsia="fr-FR"/>
              </w:rPr>
              <w:t>-0,105</w:t>
            </w:r>
          </w:p>
        </w:tc>
      </w:tr>
      <w:tr w:rsidR="00644643" w:rsidRPr="00B4759B" w:rsidTr="00B622BB">
        <w:trPr>
          <w:trHeight w:val="291"/>
        </w:trPr>
        <w:tc>
          <w:tcPr>
            <w:tcW w:w="9003" w:type="dxa"/>
            <w:gridSpan w:val="7"/>
            <w:tcBorders>
              <w:top w:val="double" w:sz="6" w:space="0" w:color="auto"/>
              <w:left w:val="nil"/>
              <w:right w:val="nil"/>
            </w:tcBorders>
            <w:shd w:val="clear" w:color="auto" w:fill="DAEEF3"/>
            <w:hideMark/>
          </w:tcPr>
          <w:p w:rsidR="00644643" w:rsidRPr="00481686" w:rsidRDefault="00644643" w:rsidP="001528C2">
            <w:pPr>
              <w:spacing w:line="276" w:lineRule="auto"/>
              <w:rPr>
                <w:rFonts w:ascii="Times New Roman" w:eastAsia="Times New Roman" w:hAnsi="Times New Roman"/>
                <w:bCs/>
                <w:color w:val="000000"/>
                <w:sz w:val="20"/>
                <w:szCs w:val="20"/>
                <w:lang w:eastAsia="fr-FR"/>
              </w:rPr>
            </w:pPr>
            <w:r w:rsidRPr="009B6B9C">
              <w:rPr>
                <w:rFonts w:ascii="Times New Roman" w:eastAsia="Times New Roman" w:hAnsi="Times New Roman"/>
                <w:bCs/>
                <w:color w:val="000000"/>
                <w:sz w:val="20"/>
                <w:szCs w:val="20"/>
                <w:lang w:eastAsia="fr-FR"/>
              </w:rPr>
              <w:t>Source :</w:t>
            </w:r>
            <w:r>
              <w:rPr>
                <w:rFonts w:ascii="Times New Roman" w:eastAsia="Times New Roman" w:hAnsi="Times New Roman"/>
                <w:bCs/>
                <w:color w:val="000000"/>
                <w:sz w:val="20"/>
                <w:szCs w:val="20"/>
                <w:lang w:eastAsia="fr-FR"/>
              </w:rPr>
              <w:t xml:space="preserve"> INSAE, EMICo</w:t>
            </w:r>
            <w:r w:rsidRPr="00787AEC">
              <w:rPr>
                <w:rFonts w:ascii="Times New Roman" w:eastAsia="Times New Roman" w:hAnsi="Times New Roman"/>
                <w:bCs/>
                <w:color w:val="000000"/>
                <w:sz w:val="20"/>
                <w:szCs w:val="20"/>
                <w:lang w:eastAsia="fr-FR"/>
              </w:rPr>
              <w:t>V 2006 et 2009</w:t>
            </w:r>
          </w:p>
        </w:tc>
      </w:tr>
    </w:tbl>
    <w:p w:rsidR="00644643" w:rsidRDefault="00644643" w:rsidP="00644643">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p>
    <w:p w:rsidR="00644643" w:rsidRDefault="00644643" w:rsidP="007F1584">
      <w:pPr>
        <w:spacing w:line="276" w:lineRule="auto"/>
        <w:rPr>
          <w:rFonts w:ascii="Times New Roman" w:hAnsi="Times New Roman"/>
          <w:sz w:val="24"/>
          <w:szCs w:val="24"/>
        </w:rPr>
      </w:pPr>
    </w:p>
    <w:p w:rsidR="007F1584" w:rsidRDefault="007F1584" w:rsidP="007F1584">
      <w:pPr>
        <w:spacing w:line="276" w:lineRule="auto"/>
        <w:rPr>
          <w:rFonts w:ascii="Times New Roman" w:eastAsia="Times New Roman" w:hAnsi="Times New Roman"/>
          <w:bCs/>
          <w:color w:val="000000"/>
          <w:sz w:val="24"/>
          <w:szCs w:val="24"/>
          <w:lang w:eastAsia="fr-FR"/>
        </w:rPr>
      </w:pPr>
      <w:r>
        <w:rPr>
          <w:rFonts w:ascii="Times New Roman" w:eastAsia="Times New Roman" w:hAnsi="Times New Roman"/>
          <w:bCs/>
          <w:color w:val="000000"/>
          <w:sz w:val="24"/>
          <w:szCs w:val="24"/>
          <w:lang w:eastAsia="fr-FR"/>
        </w:rPr>
        <w:t>Ceci montre l’importance de ces mesures dans les stratégies de réduction de la pauvreté. L</w:t>
      </w:r>
      <w:r w:rsidRPr="002F7AD2">
        <w:rPr>
          <w:rFonts w:ascii="Times New Roman" w:eastAsia="Times New Roman" w:hAnsi="Times New Roman"/>
          <w:bCs/>
          <w:color w:val="000000"/>
          <w:sz w:val="24"/>
          <w:szCs w:val="24"/>
          <w:lang w:eastAsia="fr-FR"/>
        </w:rPr>
        <w:t xml:space="preserve">es stratégies de réduction de la pauvreté à opérationnaliser au Bénin doivent </w:t>
      </w:r>
      <w:r>
        <w:rPr>
          <w:rFonts w:ascii="Times New Roman" w:eastAsia="Times New Roman" w:hAnsi="Times New Roman"/>
          <w:bCs/>
          <w:color w:val="000000"/>
          <w:sz w:val="24"/>
          <w:szCs w:val="24"/>
          <w:lang w:eastAsia="fr-FR"/>
        </w:rPr>
        <w:t xml:space="preserve">donc </w:t>
      </w:r>
      <w:r w:rsidRPr="002F7AD2">
        <w:rPr>
          <w:rFonts w:ascii="Times New Roman" w:eastAsia="Times New Roman" w:hAnsi="Times New Roman"/>
          <w:bCs/>
          <w:color w:val="000000"/>
          <w:sz w:val="24"/>
          <w:szCs w:val="24"/>
          <w:lang w:eastAsia="fr-FR"/>
        </w:rPr>
        <w:t>privilégier autant la relance de la croissance que les politiques de redistribution en direction des plus pauvres.</w:t>
      </w:r>
    </w:p>
    <w:p w:rsidR="007F1584" w:rsidRDefault="007F1584" w:rsidP="007F1584">
      <w:pPr>
        <w:spacing w:line="276" w:lineRule="auto"/>
        <w:rPr>
          <w:rFonts w:ascii="Times New Roman" w:eastAsia="Times New Roman" w:hAnsi="Times New Roman"/>
          <w:bCs/>
          <w:color w:val="000000"/>
          <w:sz w:val="24"/>
          <w:szCs w:val="24"/>
          <w:lang w:eastAsia="fr-FR"/>
        </w:rPr>
      </w:pPr>
    </w:p>
    <w:p w:rsidR="007F1584" w:rsidRPr="00670743" w:rsidRDefault="007F1584" w:rsidP="00670743">
      <w:pPr>
        <w:pStyle w:val="Titre2"/>
        <w:spacing w:before="0" w:line="276" w:lineRule="auto"/>
        <w:rPr>
          <w:rFonts w:ascii="Times New Roman" w:hAnsi="Times New Roman" w:cs="Times New Roman"/>
          <w:i w:val="0"/>
          <w:color w:val="31849B" w:themeColor="accent5" w:themeShade="BF"/>
        </w:rPr>
      </w:pPr>
      <w:bookmarkStart w:id="9" w:name="_Toc382322901"/>
      <w:r w:rsidRPr="00670743">
        <w:rPr>
          <w:rFonts w:ascii="Times New Roman" w:hAnsi="Times New Roman" w:cs="Times New Roman"/>
          <w:i w:val="0"/>
          <w:color w:val="31849B" w:themeColor="accent5" w:themeShade="BF"/>
        </w:rPr>
        <w:t>Chocs, vulnérabilités et stratégies d’adaptation des ménages</w:t>
      </w:r>
      <w:bookmarkEnd w:id="9"/>
    </w:p>
    <w:p w:rsidR="007F1584" w:rsidRPr="003C2B3A" w:rsidRDefault="007F1584" w:rsidP="00571D85">
      <w:pPr>
        <w:autoSpaceDE w:val="0"/>
        <w:autoSpaceDN w:val="0"/>
        <w:adjustRightInd w:val="0"/>
        <w:spacing w:before="240" w:line="276" w:lineRule="auto"/>
        <w:rPr>
          <w:rFonts w:ascii="Times New Roman" w:hAnsi="Times New Roman"/>
          <w:sz w:val="24"/>
          <w:szCs w:val="24"/>
        </w:rPr>
      </w:pPr>
      <w:r w:rsidRPr="003C2B3A">
        <w:rPr>
          <w:rFonts w:ascii="Times New Roman" w:hAnsi="Times New Roman"/>
          <w:sz w:val="24"/>
          <w:szCs w:val="24"/>
        </w:rPr>
        <w:t xml:space="preserve">Au plan national en 2009, 61,8% des ménages ont subi des chocs, tous types confondus. </w:t>
      </w:r>
      <w:r w:rsidRPr="003C2B3A">
        <w:rPr>
          <w:rFonts w:ascii="Times New Roman" w:hAnsi="Times New Roman"/>
          <w:color w:val="231F20"/>
          <w:sz w:val="24"/>
          <w:szCs w:val="24"/>
        </w:rPr>
        <w:t xml:space="preserve">Les chocs économiques </w:t>
      </w:r>
      <w:r w:rsidR="009D47AF">
        <w:rPr>
          <w:rFonts w:ascii="Times New Roman" w:hAnsi="Times New Roman"/>
          <w:color w:val="231F20"/>
          <w:sz w:val="24"/>
          <w:szCs w:val="24"/>
        </w:rPr>
        <w:t xml:space="preserve"> ont affecté</w:t>
      </w:r>
      <w:r w:rsidRPr="003C2B3A">
        <w:rPr>
          <w:rFonts w:ascii="Times New Roman" w:hAnsi="Times New Roman"/>
          <w:color w:val="231F20"/>
          <w:sz w:val="24"/>
          <w:szCs w:val="24"/>
        </w:rPr>
        <w:t xml:space="preserve"> 41,7% des ménages. Ils sont suivis par les chocs biophysiques (induits par les catastrophes naturelles ou climatiques) et qui comptent pour 31,9% des ménages. Enfin, 14,3% des ménages sont touchés par les chocs sociaux (maladie sérieuse ou l’accident d’un membre du ménage ou encore le décès d’un membre important du ménage).</w:t>
      </w:r>
    </w:p>
    <w:p w:rsidR="00571D85" w:rsidRPr="00571D85" w:rsidRDefault="00571D85" w:rsidP="00571D85">
      <w:pPr>
        <w:autoSpaceDE w:val="0"/>
        <w:autoSpaceDN w:val="0"/>
        <w:adjustRightInd w:val="0"/>
        <w:spacing w:line="276" w:lineRule="auto"/>
        <w:rPr>
          <w:rFonts w:ascii="Times New Roman" w:hAnsi="Times New Roman"/>
          <w:b/>
          <w:sz w:val="12"/>
          <w:szCs w:val="12"/>
        </w:rPr>
      </w:pPr>
    </w:p>
    <w:p w:rsidR="00571D85" w:rsidRDefault="001064B7" w:rsidP="00571D85">
      <w:pPr>
        <w:autoSpaceDE w:val="0"/>
        <w:autoSpaceDN w:val="0"/>
        <w:adjustRightInd w:val="0"/>
        <w:spacing w:line="276" w:lineRule="auto"/>
        <w:rPr>
          <w:rFonts w:ascii="Times New Roman" w:hAnsi="Times New Roman"/>
          <w:sz w:val="24"/>
          <w:szCs w:val="24"/>
        </w:rPr>
      </w:pPr>
      <w:r w:rsidRPr="001064B7">
        <w:rPr>
          <w:rFonts w:ascii="Times New Roman" w:hAnsi="Times New Roman"/>
          <w:b/>
          <w:sz w:val="24"/>
          <w:szCs w:val="24"/>
        </w:rPr>
        <w:t>Les chocs idiosyncratiques sont moins importants que les chocs covariants en 2009</w:t>
      </w:r>
      <w:r w:rsidR="007F1584">
        <w:rPr>
          <w:rFonts w:ascii="Times New Roman" w:hAnsi="Times New Roman"/>
          <w:sz w:val="24"/>
          <w:szCs w:val="24"/>
        </w:rPr>
        <w:t xml:space="preserve"> : Les </w:t>
      </w:r>
      <w:r w:rsidR="007F1584" w:rsidRPr="00F12743">
        <w:rPr>
          <w:rFonts w:ascii="Times New Roman" w:hAnsi="Times New Roman"/>
          <w:sz w:val="24"/>
          <w:szCs w:val="24"/>
        </w:rPr>
        <w:t xml:space="preserve"> chocs en chocs idiosyncra</w:t>
      </w:r>
      <w:r w:rsidR="007F1584">
        <w:rPr>
          <w:rFonts w:ascii="Times New Roman" w:hAnsi="Times New Roman"/>
          <w:sz w:val="24"/>
          <w:szCs w:val="24"/>
        </w:rPr>
        <w:t>t</w:t>
      </w:r>
      <w:r w:rsidR="007F1584" w:rsidRPr="00F12743">
        <w:rPr>
          <w:rFonts w:ascii="Times New Roman" w:hAnsi="Times New Roman"/>
          <w:sz w:val="24"/>
          <w:szCs w:val="24"/>
        </w:rPr>
        <w:t>iques, c’est-à-dire qui se déroulent à l’échelle du ménage</w:t>
      </w:r>
      <w:r w:rsidR="00644643">
        <w:rPr>
          <w:rFonts w:ascii="Times New Roman" w:hAnsi="Times New Roman"/>
          <w:sz w:val="24"/>
          <w:szCs w:val="24"/>
        </w:rPr>
        <w:t xml:space="preserve"> </w:t>
      </w:r>
      <w:r w:rsidR="007F1584" w:rsidRPr="00F12743">
        <w:rPr>
          <w:rFonts w:ascii="Times New Roman" w:hAnsi="Times New Roman"/>
          <w:sz w:val="24"/>
          <w:szCs w:val="24"/>
        </w:rPr>
        <w:t>représentent le quart des chocs subis (25,4%) en 200</w:t>
      </w:r>
      <w:r w:rsidR="007F1584">
        <w:rPr>
          <w:rFonts w:ascii="Times New Roman" w:hAnsi="Times New Roman"/>
          <w:sz w:val="24"/>
          <w:szCs w:val="24"/>
        </w:rPr>
        <w:t>9</w:t>
      </w:r>
      <w:r w:rsidR="007F1584" w:rsidRPr="00F12743">
        <w:rPr>
          <w:rFonts w:ascii="Times New Roman" w:hAnsi="Times New Roman"/>
          <w:sz w:val="24"/>
          <w:szCs w:val="24"/>
        </w:rPr>
        <w:t xml:space="preserve">, alors que </w:t>
      </w:r>
      <w:r w:rsidR="007F1584">
        <w:rPr>
          <w:rFonts w:ascii="Times New Roman" w:hAnsi="Times New Roman"/>
          <w:sz w:val="24"/>
          <w:szCs w:val="24"/>
        </w:rPr>
        <w:t xml:space="preserve">les </w:t>
      </w:r>
      <w:r w:rsidR="007F1584" w:rsidRPr="00F12743">
        <w:rPr>
          <w:rFonts w:ascii="Times New Roman" w:hAnsi="Times New Roman"/>
          <w:sz w:val="24"/>
          <w:szCs w:val="24"/>
        </w:rPr>
        <w:t>chocs covariants (qui varient dans l’ensemble des ménages (inondations, sécheresse, etc</w:t>
      </w:r>
      <w:r w:rsidR="007F1584">
        <w:rPr>
          <w:rFonts w:ascii="Times New Roman" w:hAnsi="Times New Roman"/>
          <w:sz w:val="24"/>
          <w:szCs w:val="24"/>
        </w:rPr>
        <w:t>.) comptent pour 73,3%, l</w:t>
      </w:r>
      <w:r w:rsidR="007F1584" w:rsidRPr="00F12743">
        <w:rPr>
          <w:rFonts w:ascii="Times New Roman" w:hAnsi="Times New Roman"/>
          <w:sz w:val="24"/>
          <w:szCs w:val="24"/>
        </w:rPr>
        <w:t>e reste (1,3%) étant classé comme «autre</w:t>
      </w:r>
      <w:r w:rsidR="00644643">
        <w:rPr>
          <w:rFonts w:ascii="Times New Roman" w:hAnsi="Times New Roman"/>
          <w:sz w:val="24"/>
          <w:szCs w:val="24"/>
        </w:rPr>
        <w:t xml:space="preserve"> </w:t>
      </w:r>
      <w:r w:rsidR="007F1584" w:rsidRPr="00F12743">
        <w:rPr>
          <w:rFonts w:ascii="Times New Roman" w:hAnsi="Times New Roman"/>
          <w:sz w:val="24"/>
          <w:szCs w:val="24"/>
        </w:rPr>
        <w:t xml:space="preserve">catégorie». </w:t>
      </w:r>
    </w:p>
    <w:p w:rsidR="00571D85" w:rsidRPr="00571D85" w:rsidRDefault="00571D85" w:rsidP="00571D85">
      <w:pPr>
        <w:autoSpaceDE w:val="0"/>
        <w:autoSpaceDN w:val="0"/>
        <w:adjustRightInd w:val="0"/>
        <w:spacing w:line="240" w:lineRule="auto"/>
        <w:rPr>
          <w:rFonts w:ascii="Times New Roman" w:hAnsi="Times New Roman"/>
          <w:sz w:val="12"/>
          <w:szCs w:val="12"/>
        </w:rPr>
      </w:pPr>
    </w:p>
    <w:p w:rsidR="007F1584" w:rsidRPr="00D56B46" w:rsidRDefault="001064B7" w:rsidP="00571D85">
      <w:pPr>
        <w:autoSpaceDE w:val="0"/>
        <w:autoSpaceDN w:val="0"/>
        <w:adjustRightInd w:val="0"/>
        <w:spacing w:line="276" w:lineRule="auto"/>
        <w:rPr>
          <w:rFonts w:ascii="Times New Roman" w:hAnsi="Times New Roman"/>
          <w:sz w:val="24"/>
          <w:szCs w:val="24"/>
        </w:rPr>
      </w:pPr>
      <w:r w:rsidRPr="001064B7">
        <w:rPr>
          <w:rFonts w:ascii="Times New Roman" w:hAnsi="Times New Roman"/>
          <w:b/>
          <w:sz w:val="24"/>
          <w:szCs w:val="24"/>
        </w:rPr>
        <w:t>Les chocs biophysiques sont plus prépondérants en milieu rural</w:t>
      </w:r>
      <w:r w:rsidR="007F1584">
        <w:rPr>
          <w:rFonts w:ascii="Times New Roman" w:hAnsi="Times New Roman"/>
          <w:sz w:val="24"/>
          <w:szCs w:val="24"/>
        </w:rPr>
        <w:t xml:space="preserve">. La situation inverse est notée en ce qui concerne les chocs économiques. En effet, les </w:t>
      </w:r>
      <w:r w:rsidR="007F1584" w:rsidRPr="00D56B46">
        <w:rPr>
          <w:rFonts w:ascii="Times New Roman" w:hAnsi="Times New Roman"/>
          <w:sz w:val="24"/>
          <w:szCs w:val="24"/>
        </w:rPr>
        <w:t xml:space="preserve">chocs biophysiques </w:t>
      </w:r>
      <w:r w:rsidR="009D47AF">
        <w:rPr>
          <w:rFonts w:ascii="Times New Roman" w:hAnsi="Times New Roman"/>
          <w:sz w:val="24"/>
          <w:szCs w:val="24"/>
        </w:rPr>
        <w:t xml:space="preserve">ont </w:t>
      </w:r>
      <w:r w:rsidR="007F1584" w:rsidRPr="00D56B46">
        <w:rPr>
          <w:rFonts w:ascii="Times New Roman" w:hAnsi="Times New Roman"/>
          <w:sz w:val="24"/>
          <w:szCs w:val="24"/>
        </w:rPr>
        <w:t>touch</w:t>
      </w:r>
      <w:r w:rsidR="009D47AF">
        <w:rPr>
          <w:rFonts w:ascii="Times New Roman" w:hAnsi="Times New Roman"/>
          <w:sz w:val="24"/>
          <w:szCs w:val="24"/>
        </w:rPr>
        <w:t>é</w:t>
      </w:r>
      <w:r w:rsidR="007F1584" w:rsidRPr="00D56B46">
        <w:rPr>
          <w:rFonts w:ascii="Times New Roman" w:hAnsi="Times New Roman"/>
          <w:sz w:val="24"/>
          <w:szCs w:val="24"/>
        </w:rPr>
        <w:t xml:space="preserve"> 39,6% des ménages ruraux contre seulement 20,1% en milieu urbain</w:t>
      </w:r>
      <w:r w:rsidR="007F1584" w:rsidRPr="00970B5C">
        <w:rPr>
          <w:rFonts w:ascii="Times New Roman" w:hAnsi="Times New Roman"/>
          <w:sz w:val="24"/>
          <w:szCs w:val="24"/>
        </w:rPr>
        <w:t xml:space="preserve">. </w:t>
      </w:r>
      <w:r w:rsidR="007F1584" w:rsidRPr="002D05BB">
        <w:rPr>
          <w:rFonts w:ascii="Times New Roman" w:hAnsi="Times New Roman"/>
          <w:sz w:val="24"/>
          <w:szCs w:val="24"/>
        </w:rPr>
        <w:t>En ce qui concerne les chocs économiques, les ménages urbains sont les pl</w:t>
      </w:r>
      <w:r w:rsidR="007F1584">
        <w:rPr>
          <w:rFonts w:ascii="Times New Roman" w:hAnsi="Times New Roman"/>
          <w:sz w:val="24"/>
          <w:szCs w:val="24"/>
        </w:rPr>
        <w:t xml:space="preserve">us affectés avec </w:t>
      </w:r>
      <w:r w:rsidR="007F1584" w:rsidRPr="002D05BB">
        <w:rPr>
          <w:rFonts w:ascii="Times New Roman" w:hAnsi="Times New Roman"/>
          <w:sz w:val="24"/>
          <w:szCs w:val="24"/>
        </w:rPr>
        <w:t xml:space="preserve">46,9% </w:t>
      </w:r>
      <w:r w:rsidR="007F1584">
        <w:rPr>
          <w:rFonts w:ascii="Times New Roman" w:hAnsi="Times New Roman"/>
          <w:sz w:val="24"/>
          <w:szCs w:val="24"/>
        </w:rPr>
        <w:t xml:space="preserve">de ménages touchés </w:t>
      </w:r>
      <w:r w:rsidR="007F1584" w:rsidRPr="002D05BB">
        <w:rPr>
          <w:rFonts w:ascii="Times New Roman" w:hAnsi="Times New Roman"/>
          <w:sz w:val="24"/>
          <w:szCs w:val="24"/>
        </w:rPr>
        <w:t xml:space="preserve">contre 38.3% de ménages en milieu rural. </w:t>
      </w:r>
      <w:r w:rsidR="007F1584">
        <w:rPr>
          <w:rFonts w:ascii="Times New Roman" w:hAnsi="Times New Roman"/>
          <w:sz w:val="24"/>
          <w:szCs w:val="24"/>
        </w:rPr>
        <w:t>En particulier</w:t>
      </w:r>
      <w:r w:rsidR="007F1584" w:rsidRPr="002D05BB">
        <w:rPr>
          <w:rFonts w:ascii="Times New Roman" w:hAnsi="Times New Roman"/>
          <w:sz w:val="24"/>
          <w:szCs w:val="24"/>
        </w:rPr>
        <w:t xml:space="preserve"> Cotonou, la plus grande ville du pays enregistre une prévalence des chocs économiques </w:t>
      </w:r>
      <w:r w:rsidR="007F1584">
        <w:rPr>
          <w:rFonts w:ascii="Times New Roman" w:hAnsi="Times New Roman"/>
          <w:sz w:val="24"/>
          <w:szCs w:val="24"/>
        </w:rPr>
        <w:t>pour plus de la</w:t>
      </w:r>
      <w:r w:rsidR="007F1584" w:rsidRPr="002D05BB">
        <w:rPr>
          <w:rFonts w:ascii="Times New Roman" w:hAnsi="Times New Roman"/>
          <w:sz w:val="24"/>
          <w:szCs w:val="24"/>
        </w:rPr>
        <w:t xml:space="preserve"> moitié des ménages qui y vivent</w:t>
      </w:r>
      <w:r w:rsidR="007F1584">
        <w:rPr>
          <w:rFonts w:ascii="Times New Roman" w:hAnsi="Times New Roman"/>
          <w:sz w:val="24"/>
          <w:szCs w:val="24"/>
        </w:rPr>
        <w:t>. Les</w:t>
      </w:r>
      <w:r w:rsidR="007F1584" w:rsidRPr="00D56B46">
        <w:rPr>
          <w:rFonts w:ascii="Times New Roman" w:hAnsi="Times New Roman"/>
          <w:sz w:val="24"/>
          <w:szCs w:val="24"/>
        </w:rPr>
        <w:t xml:space="preserve"> départements au sud du Bénin ont été plus touchés par l’ensemble des chocs que ceux du nord.</w:t>
      </w:r>
    </w:p>
    <w:p w:rsidR="007F1584" w:rsidRPr="00571D85" w:rsidRDefault="007F1584" w:rsidP="007F1584">
      <w:pPr>
        <w:spacing w:line="276" w:lineRule="auto"/>
        <w:rPr>
          <w:rFonts w:ascii="Times New Roman" w:hAnsi="Times New Roman"/>
          <w:sz w:val="12"/>
          <w:szCs w:val="12"/>
        </w:rPr>
      </w:pPr>
    </w:p>
    <w:p w:rsidR="007F1584" w:rsidRDefault="001064B7" w:rsidP="007F1584">
      <w:pPr>
        <w:spacing w:line="276" w:lineRule="auto"/>
        <w:rPr>
          <w:rFonts w:ascii="Times New Roman" w:hAnsi="Times New Roman"/>
          <w:sz w:val="24"/>
          <w:szCs w:val="24"/>
        </w:rPr>
      </w:pPr>
      <w:r w:rsidRPr="001064B7">
        <w:rPr>
          <w:rFonts w:ascii="Times New Roman" w:hAnsi="Times New Roman"/>
          <w:b/>
          <w:sz w:val="24"/>
          <w:szCs w:val="24"/>
        </w:rPr>
        <w:t>En considérant le statut de pauvreté entre 2006 et 2009, il ressort que les chocs biophysiques affectent proportionnellement les ménages pauvres transitoires (entrée dans la pauvreté) et pauvres chroniques (toujours pauvre)</w:t>
      </w:r>
      <w:r w:rsidR="007F1584">
        <w:rPr>
          <w:rFonts w:ascii="Times New Roman" w:hAnsi="Times New Roman"/>
          <w:sz w:val="24"/>
          <w:szCs w:val="24"/>
        </w:rPr>
        <w:t>. Ainsi, l</w:t>
      </w:r>
      <w:r w:rsidR="007F1584" w:rsidRPr="005844E8">
        <w:rPr>
          <w:rFonts w:ascii="Times New Roman" w:hAnsi="Times New Roman"/>
          <w:sz w:val="24"/>
          <w:szCs w:val="24"/>
        </w:rPr>
        <w:t xml:space="preserve">es chocs covariants </w:t>
      </w:r>
      <w:r w:rsidR="007F1584">
        <w:rPr>
          <w:rFonts w:ascii="Times New Roman" w:hAnsi="Times New Roman"/>
          <w:sz w:val="24"/>
          <w:szCs w:val="24"/>
        </w:rPr>
        <w:t xml:space="preserve">en particulier  </w:t>
      </w:r>
      <w:r w:rsidR="007F1584" w:rsidRPr="00AC38BA">
        <w:rPr>
          <w:rFonts w:ascii="Times New Roman" w:hAnsi="Times New Roman"/>
          <w:sz w:val="24"/>
          <w:szCs w:val="24"/>
        </w:rPr>
        <w:t xml:space="preserve">des chocs  biophysiques </w:t>
      </w:r>
      <w:r w:rsidR="007F1584">
        <w:rPr>
          <w:rFonts w:ascii="Times New Roman" w:hAnsi="Times New Roman"/>
          <w:sz w:val="24"/>
          <w:szCs w:val="24"/>
        </w:rPr>
        <w:t xml:space="preserve">(inondations, sécheresse, etc…) </w:t>
      </w:r>
      <w:r w:rsidR="007F1584" w:rsidRPr="005844E8">
        <w:rPr>
          <w:rFonts w:ascii="Times New Roman" w:hAnsi="Times New Roman"/>
          <w:sz w:val="24"/>
          <w:szCs w:val="24"/>
        </w:rPr>
        <w:t xml:space="preserve">affectent </w:t>
      </w:r>
      <w:r w:rsidR="007F1584">
        <w:rPr>
          <w:rFonts w:ascii="Times New Roman" w:hAnsi="Times New Roman"/>
          <w:sz w:val="24"/>
          <w:szCs w:val="24"/>
        </w:rPr>
        <w:t>l</w:t>
      </w:r>
      <w:r w:rsidR="007F1584" w:rsidRPr="005844E8">
        <w:rPr>
          <w:rFonts w:ascii="Times New Roman" w:hAnsi="Times New Roman"/>
          <w:sz w:val="24"/>
          <w:szCs w:val="24"/>
        </w:rPr>
        <w:t xml:space="preserve">es groupes de ménages selon leurs moyens de survie. </w:t>
      </w:r>
    </w:p>
    <w:p w:rsidR="007F1584" w:rsidRDefault="007F1584" w:rsidP="007F1584">
      <w:pPr>
        <w:spacing w:line="276" w:lineRule="auto"/>
      </w:pPr>
    </w:p>
    <w:tbl>
      <w:tblPr>
        <w:tblW w:w="9180" w:type="dxa"/>
        <w:tblLook w:val="04A0" w:firstRow="1" w:lastRow="0" w:firstColumn="1" w:lastColumn="0" w:noHBand="0" w:noVBand="1"/>
      </w:tblPr>
      <w:tblGrid>
        <w:gridCol w:w="3145"/>
        <w:gridCol w:w="1603"/>
        <w:gridCol w:w="1923"/>
        <w:gridCol w:w="2509"/>
      </w:tblGrid>
      <w:tr w:rsidR="009E4C1C" w:rsidRPr="009E4C1C" w:rsidTr="00C15C6F">
        <w:trPr>
          <w:trHeight w:val="428"/>
        </w:trPr>
        <w:tc>
          <w:tcPr>
            <w:tcW w:w="9180" w:type="dxa"/>
            <w:gridSpan w:val="4"/>
            <w:tcBorders>
              <w:left w:val="nil"/>
              <w:bottom w:val="double" w:sz="6" w:space="0" w:color="000000"/>
              <w:right w:val="nil"/>
            </w:tcBorders>
            <w:shd w:val="clear" w:color="auto" w:fill="92CDDC" w:themeFill="accent5" w:themeFillTint="99"/>
            <w:noWrap/>
            <w:vAlign w:val="center"/>
            <w:hideMark/>
          </w:tcPr>
          <w:p w:rsidR="009E4C1C" w:rsidRPr="009E4C1C" w:rsidRDefault="009E4C1C" w:rsidP="009E4C1C">
            <w:pPr>
              <w:spacing w:line="276" w:lineRule="auto"/>
              <w:jc w:val="left"/>
              <w:rPr>
                <w:rFonts w:ascii="Times New Roman" w:eastAsia="Times New Roman" w:hAnsi="Times New Roman"/>
                <w:bCs/>
                <w:color w:val="000000"/>
                <w:sz w:val="24"/>
                <w:szCs w:val="24"/>
              </w:rPr>
            </w:pPr>
            <w:r w:rsidRPr="009E4C1C">
              <w:rPr>
                <w:rFonts w:ascii="Times New Roman" w:hAnsi="Times New Roman"/>
                <w:sz w:val="24"/>
                <w:szCs w:val="24"/>
              </w:rPr>
              <w:t xml:space="preserve">Tableau 0. </w:t>
            </w:r>
            <w:r w:rsidR="00182C97" w:rsidRPr="009E4C1C">
              <w:rPr>
                <w:rFonts w:ascii="Times New Roman" w:hAnsi="Times New Roman"/>
                <w:sz w:val="24"/>
                <w:szCs w:val="24"/>
              </w:rPr>
              <w:fldChar w:fldCharType="begin"/>
            </w:r>
            <w:r w:rsidRPr="009E4C1C">
              <w:rPr>
                <w:rFonts w:ascii="Times New Roman" w:hAnsi="Times New Roman"/>
                <w:sz w:val="24"/>
                <w:szCs w:val="24"/>
              </w:rPr>
              <w:instrText xml:space="preserve"> SEQ Tableau_0. \* ARABIC </w:instrText>
            </w:r>
            <w:r w:rsidR="00182C97" w:rsidRPr="009E4C1C">
              <w:rPr>
                <w:rFonts w:ascii="Times New Roman" w:hAnsi="Times New Roman"/>
                <w:sz w:val="24"/>
                <w:szCs w:val="24"/>
              </w:rPr>
              <w:fldChar w:fldCharType="separate"/>
            </w:r>
            <w:r w:rsidR="00AB1967">
              <w:rPr>
                <w:rFonts w:ascii="Times New Roman" w:hAnsi="Times New Roman"/>
                <w:noProof/>
                <w:sz w:val="24"/>
                <w:szCs w:val="24"/>
              </w:rPr>
              <w:t>5</w:t>
            </w:r>
            <w:r w:rsidR="00182C97" w:rsidRPr="009E4C1C">
              <w:rPr>
                <w:rFonts w:ascii="Times New Roman" w:hAnsi="Times New Roman"/>
                <w:sz w:val="24"/>
                <w:szCs w:val="24"/>
              </w:rPr>
              <w:fldChar w:fldCharType="end"/>
            </w:r>
            <w:r w:rsidRPr="009E4C1C">
              <w:rPr>
                <w:rFonts w:ascii="Times New Roman" w:hAnsi="Times New Roman"/>
                <w:sz w:val="24"/>
                <w:szCs w:val="24"/>
              </w:rPr>
              <w:t>: Statut de mobilité dans la pauvreté et prévalence aux chocs</w:t>
            </w:r>
          </w:p>
        </w:tc>
      </w:tr>
      <w:tr w:rsidR="007F1584" w:rsidRPr="00511531" w:rsidTr="00C15C6F">
        <w:trPr>
          <w:trHeight w:val="428"/>
        </w:trPr>
        <w:tc>
          <w:tcPr>
            <w:tcW w:w="3145" w:type="dxa"/>
            <w:tcBorders>
              <w:top w:val="double" w:sz="6" w:space="0" w:color="000000"/>
              <w:left w:val="nil"/>
              <w:bottom w:val="single" w:sz="8" w:space="0" w:color="000000"/>
              <w:right w:val="nil"/>
            </w:tcBorders>
            <w:shd w:val="clear" w:color="auto" w:fill="DAEEF3" w:themeFill="accent5" w:themeFillTint="33"/>
            <w:noWrap/>
            <w:vAlign w:val="center"/>
            <w:hideMark/>
          </w:tcPr>
          <w:p w:rsidR="007F1584" w:rsidRPr="00511531" w:rsidRDefault="007F1584" w:rsidP="00224ADE">
            <w:pPr>
              <w:spacing w:line="276" w:lineRule="auto"/>
              <w:jc w:val="center"/>
              <w:rPr>
                <w:rFonts w:eastAsia="Times New Roman" w:cs="Arial"/>
                <w:b/>
                <w:bCs/>
                <w:sz w:val="20"/>
                <w:szCs w:val="20"/>
              </w:rPr>
            </w:pPr>
            <w:r w:rsidRPr="00511531">
              <w:rPr>
                <w:rFonts w:eastAsia="Times New Roman" w:cs="Arial"/>
                <w:b/>
                <w:bCs/>
                <w:sz w:val="20"/>
                <w:szCs w:val="20"/>
              </w:rPr>
              <w:t> </w:t>
            </w:r>
          </w:p>
        </w:tc>
        <w:tc>
          <w:tcPr>
            <w:tcW w:w="1603" w:type="dxa"/>
            <w:tcBorders>
              <w:top w:val="double" w:sz="6" w:space="0" w:color="000000"/>
              <w:left w:val="nil"/>
              <w:bottom w:val="single" w:sz="8" w:space="0" w:color="000000"/>
              <w:right w:val="nil"/>
            </w:tcBorders>
            <w:shd w:val="clear" w:color="auto" w:fill="DAEEF3" w:themeFill="accent5" w:themeFillTint="33"/>
            <w:vAlign w:val="bottom"/>
            <w:hideMark/>
          </w:tcPr>
          <w:p w:rsidR="007F1584" w:rsidRPr="006D7D61" w:rsidRDefault="001064B7" w:rsidP="00224ADE">
            <w:pPr>
              <w:spacing w:line="276" w:lineRule="auto"/>
              <w:jc w:val="center"/>
              <w:rPr>
                <w:rFonts w:ascii="Times New Roman" w:eastAsia="Times New Roman" w:hAnsi="Times New Roman"/>
                <w:bCs/>
                <w:color w:val="000000"/>
                <w:sz w:val="24"/>
                <w:szCs w:val="24"/>
                <w:lang w:val="en-US"/>
              </w:rPr>
            </w:pPr>
            <w:r w:rsidRPr="006D7D61">
              <w:rPr>
                <w:rFonts w:ascii="Times New Roman" w:eastAsia="Times New Roman" w:hAnsi="Times New Roman"/>
                <w:bCs/>
                <w:color w:val="000000"/>
                <w:sz w:val="24"/>
                <w:szCs w:val="24"/>
                <w:lang w:val="en-US"/>
              </w:rPr>
              <w:t>Chocs</w:t>
            </w:r>
            <w:r w:rsidR="007E61A6">
              <w:rPr>
                <w:rFonts w:ascii="Times New Roman" w:eastAsia="Times New Roman" w:hAnsi="Times New Roman"/>
                <w:bCs/>
                <w:color w:val="000000"/>
                <w:sz w:val="24"/>
                <w:szCs w:val="24"/>
                <w:lang w:val="en-US"/>
              </w:rPr>
              <w:t xml:space="preserve"> </w:t>
            </w:r>
            <w:r w:rsidRPr="006D7D61">
              <w:rPr>
                <w:rFonts w:ascii="Times New Roman" w:eastAsia="Times New Roman" w:hAnsi="Times New Roman"/>
                <w:bCs/>
                <w:color w:val="000000"/>
                <w:sz w:val="24"/>
                <w:szCs w:val="24"/>
                <w:lang w:val="en-US"/>
              </w:rPr>
              <w:t>sociaux</w:t>
            </w:r>
          </w:p>
        </w:tc>
        <w:tc>
          <w:tcPr>
            <w:tcW w:w="1923" w:type="dxa"/>
            <w:tcBorders>
              <w:top w:val="double" w:sz="6" w:space="0" w:color="000000"/>
              <w:left w:val="nil"/>
              <w:bottom w:val="single" w:sz="8" w:space="0" w:color="000000"/>
              <w:right w:val="nil"/>
            </w:tcBorders>
            <w:shd w:val="clear" w:color="auto" w:fill="DAEEF3" w:themeFill="accent5" w:themeFillTint="33"/>
            <w:vAlign w:val="bottom"/>
            <w:hideMark/>
          </w:tcPr>
          <w:p w:rsidR="007F1584" w:rsidRPr="006D7D61" w:rsidRDefault="001064B7" w:rsidP="00224ADE">
            <w:pPr>
              <w:spacing w:line="276" w:lineRule="auto"/>
              <w:jc w:val="center"/>
              <w:rPr>
                <w:rFonts w:ascii="Times New Roman" w:eastAsia="Times New Roman" w:hAnsi="Times New Roman"/>
                <w:bCs/>
                <w:color w:val="000000"/>
                <w:sz w:val="24"/>
                <w:szCs w:val="24"/>
                <w:lang w:val="en-US"/>
              </w:rPr>
            </w:pPr>
            <w:r w:rsidRPr="006D7D61">
              <w:rPr>
                <w:rFonts w:ascii="Times New Roman" w:eastAsia="Times New Roman" w:hAnsi="Times New Roman"/>
                <w:bCs/>
                <w:color w:val="000000"/>
                <w:sz w:val="24"/>
                <w:szCs w:val="24"/>
                <w:lang w:val="en-US"/>
              </w:rPr>
              <w:t>Chocs</w:t>
            </w:r>
            <w:r w:rsidR="007E61A6">
              <w:rPr>
                <w:rFonts w:ascii="Times New Roman" w:eastAsia="Times New Roman" w:hAnsi="Times New Roman"/>
                <w:bCs/>
                <w:color w:val="000000"/>
                <w:sz w:val="24"/>
                <w:szCs w:val="24"/>
                <w:lang w:val="en-US"/>
              </w:rPr>
              <w:t xml:space="preserve"> </w:t>
            </w:r>
            <w:r w:rsidRPr="006D7D61">
              <w:rPr>
                <w:rFonts w:ascii="Times New Roman" w:eastAsia="Times New Roman" w:hAnsi="Times New Roman"/>
                <w:bCs/>
                <w:color w:val="000000"/>
                <w:sz w:val="24"/>
                <w:szCs w:val="24"/>
                <w:lang w:val="en-US"/>
              </w:rPr>
              <w:t>économiques</w:t>
            </w:r>
          </w:p>
        </w:tc>
        <w:tc>
          <w:tcPr>
            <w:tcW w:w="2509" w:type="dxa"/>
            <w:tcBorders>
              <w:top w:val="double" w:sz="6" w:space="0" w:color="000000"/>
              <w:left w:val="nil"/>
              <w:bottom w:val="single" w:sz="8" w:space="0" w:color="000000"/>
              <w:right w:val="nil"/>
            </w:tcBorders>
            <w:shd w:val="clear" w:color="auto" w:fill="DAEEF3" w:themeFill="accent5" w:themeFillTint="33"/>
            <w:vAlign w:val="bottom"/>
            <w:hideMark/>
          </w:tcPr>
          <w:p w:rsidR="007F1584" w:rsidRPr="006D7D61" w:rsidRDefault="001064B7" w:rsidP="00224ADE">
            <w:pPr>
              <w:spacing w:line="276" w:lineRule="auto"/>
              <w:jc w:val="center"/>
              <w:rPr>
                <w:rFonts w:ascii="Times New Roman" w:eastAsia="Times New Roman" w:hAnsi="Times New Roman"/>
                <w:bCs/>
                <w:color w:val="000000"/>
                <w:sz w:val="24"/>
                <w:szCs w:val="24"/>
                <w:lang w:val="en-US"/>
              </w:rPr>
            </w:pPr>
            <w:r w:rsidRPr="006D7D61">
              <w:rPr>
                <w:rFonts w:ascii="Times New Roman" w:eastAsia="Times New Roman" w:hAnsi="Times New Roman"/>
                <w:bCs/>
                <w:color w:val="000000"/>
                <w:sz w:val="24"/>
                <w:szCs w:val="24"/>
                <w:lang w:val="en-US"/>
              </w:rPr>
              <w:t>Chocs</w:t>
            </w:r>
            <w:r w:rsidR="007E61A6">
              <w:rPr>
                <w:rFonts w:ascii="Times New Roman" w:eastAsia="Times New Roman" w:hAnsi="Times New Roman"/>
                <w:bCs/>
                <w:color w:val="000000"/>
                <w:sz w:val="24"/>
                <w:szCs w:val="24"/>
                <w:lang w:val="en-US"/>
              </w:rPr>
              <w:t xml:space="preserve"> </w:t>
            </w:r>
            <w:r w:rsidRPr="006D7D61">
              <w:rPr>
                <w:rFonts w:ascii="Times New Roman" w:eastAsia="Times New Roman" w:hAnsi="Times New Roman"/>
                <w:bCs/>
                <w:color w:val="000000"/>
                <w:sz w:val="24"/>
                <w:szCs w:val="24"/>
                <w:lang w:val="en-US"/>
              </w:rPr>
              <w:t>biophysiques</w:t>
            </w:r>
          </w:p>
        </w:tc>
      </w:tr>
      <w:tr w:rsidR="007F1584" w:rsidRPr="00770C9C" w:rsidTr="00C15C6F">
        <w:trPr>
          <w:trHeight w:val="300"/>
        </w:trPr>
        <w:tc>
          <w:tcPr>
            <w:tcW w:w="3145" w:type="dxa"/>
            <w:tcBorders>
              <w:top w:val="nil"/>
              <w:left w:val="nil"/>
              <w:bottom w:val="nil"/>
              <w:right w:val="nil"/>
            </w:tcBorders>
            <w:shd w:val="clear" w:color="auto" w:fill="DAEEF3" w:themeFill="accent5" w:themeFillTint="33"/>
            <w:vAlign w:val="center"/>
            <w:hideMark/>
          </w:tcPr>
          <w:p w:rsidR="007F1584" w:rsidRPr="00770C9C" w:rsidRDefault="007F1584" w:rsidP="00224ADE">
            <w:pPr>
              <w:spacing w:line="276" w:lineRule="auto"/>
              <w:jc w:val="left"/>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Jamais</w:t>
            </w:r>
            <w:r w:rsidR="007E61A6">
              <w:rPr>
                <w:rFonts w:ascii="Times New Roman" w:eastAsia="Times New Roman" w:hAnsi="Times New Roman"/>
                <w:color w:val="000000"/>
                <w:sz w:val="24"/>
                <w:szCs w:val="24"/>
                <w:lang w:val="en-US"/>
              </w:rPr>
              <w:t xml:space="preserve"> </w:t>
            </w:r>
            <w:r w:rsidRPr="00770C9C">
              <w:rPr>
                <w:rFonts w:ascii="Times New Roman" w:eastAsia="Times New Roman" w:hAnsi="Times New Roman"/>
                <w:color w:val="000000"/>
                <w:sz w:val="24"/>
                <w:szCs w:val="24"/>
                <w:lang w:val="en-US"/>
              </w:rPr>
              <w:t>pauvre</w:t>
            </w:r>
          </w:p>
        </w:tc>
        <w:tc>
          <w:tcPr>
            <w:tcW w:w="1603"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14,3</w:t>
            </w:r>
          </w:p>
        </w:tc>
        <w:tc>
          <w:tcPr>
            <w:tcW w:w="1923"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39,1</w:t>
            </w:r>
          </w:p>
        </w:tc>
        <w:tc>
          <w:tcPr>
            <w:tcW w:w="2509"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32,2</w:t>
            </w:r>
          </w:p>
        </w:tc>
      </w:tr>
      <w:tr w:rsidR="007F1584" w:rsidRPr="00770C9C" w:rsidTr="00C15C6F">
        <w:trPr>
          <w:trHeight w:val="345"/>
        </w:trPr>
        <w:tc>
          <w:tcPr>
            <w:tcW w:w="3145" w:type="dxa"/>
            <w:tcBorders>
              <w:top w:val="nil"/>
              <w:left w:val="nil"/>
              <w:bottom w:val="nil"/>
              <w:right w:val="nil"/>
            </w:tcBorders>
            <w:shd w:val="clear" w:color="auto" w:fill="DAEEF3" w:themeFill="accent5" w:themeFillTint="33"/>
            <w:vAlign w:val="center"/>
            <w:hideMark/>
          </w:tcPr>
          <w:p w:rsidR="007F1584" w:rsidRPr="00770C9C" w:rsidRDefault="007F1584" w:rsidP="00224ADE">
            <w:pPr>
              <w:spacing w:line="276" w:lineRule="auto"/>
              <w:jc w:val="left"/>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Sortie de la pauvreté</w:t>
            </w:r>
          </w:p>
        </w:tc>
        <w:tc>
          <w:tcPr>
            <w:tcW w:w="1603"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14,8</w:t>
            </w:r>
          </w:p>
        </w:tc>
        <w:tc>
          <w:tcPr>
            <w:tcW w:w="1923"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40,5</w:t>
            </w:r>
          </w:p>
        </w:tc>
        <w:tc>
          <w:tcPr>
            <w:tcW w:w="2509"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35,0</w:t>
            </w:r>
          </w:p>
        </w:tc>
      </w:tr>
      <w:tr w:rsidR="007F1584" w:rsidRPr="00770C9C" w:rsidTr="00C15C6F">
        <w:trPr>
          <w:trHeight w:val="330"/>
        </w:trPr>
        <w:tc>
          <w:tcPr>
            <w:tcW w:w="3145" w:type="dxa"/>
            <w:tcBorders>
              <w:top w:val="nil"/>
              <w:left w:val="nil"/>
              <w:bottom w:val="nil"/>
              <w:right w:val="nil"/>
            </w:tcBorders>
            <w:shd w:val="clear" w:color="auto" w:fill="DAEEF3" w:themeFill="accent5" w:themeFillTint="33"/>
            <w:vAlign w:val="center"/>
            <w:hideMark/>
          </w:tcPr>
          <w:p w:rsidR="007F1584" w:rsidRPr="00770C9C" w:rsidRDefault="007F1584" w:rsidP="00224ADE">
            <w:pPr>
              <w:spacing w:line="276" w:lineRule="auto"/>
              <w:jc w:val="left"/>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Entrée dans la pauvreté</w:t>
            </w:r>
          </w:p>
        </w:tc>
        <w:tc>
          <w:tcPr>
            <w:tcW w:w="1603"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15,0</w:t>
            </w:r>
          </w:p>
        </w:tc>
        <w:tc>
          <w:tcPr>
            <w:tcW w:w="1923"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37,9</w:t>
            </w:r>
          </w:p>
        </w:tc>
        <w:tc>
          <w:tcPr>
            <w:tcW w:w="2509" w:type="dxa"/>
            <w:tcBorders>
              <w:top w:val="nil"/>
              <w:left w:val="nil"/>
              <w:bottom w:val="nil"/>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39,4</w:t>
            </w:r>
          </w:p>
        </w:tc>
      </w:tr>
      <w:tr w:rsidR="007F1584" w:rsidRPr="00770C9C" w:rsidTr="00C15C6F">
        <w:trPr>
          <w:trHeight w:val="330"/>
        </w:trPr>
        <w:tc>
          <w:tcPr>
            <w:tcW w:w="3145" w:type="dxa"/>
            <w:tcBorders>
              <w:top w:val="nil"/>
              <w:left w:val="nil"/>
              <w:bottom w:val="double" w:sz="6" w:space="0" w:color="auto"/>
              <w:right w:val="nil"/>
            </w:tcBorders>
            <w:shd w:val="clear" w:color="auto" w:fill="DAEEF3" w:themeFill="accent5" w:themeFillTint="33"/>
            <w:vAlign w:val="center"/>
            <w:hideMark/>
          </w:tcPr>
          <w:p w:rsidR="007F1584" w:rsidRPr="00770C9C" w:rsidRDefault="007F1584" w:rsidP="00224ADE">
            <w:pPr>
              <w:spacing w:line="276" w:lineRule="auto"/>
              <w:jc w:val="left"/>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Toujours</w:t>
            </w:r>
            <w:r w:rsidR="007E61A6">
              <w:rPr>
                <w:rFonts w:ascii="Times New Roman" w:eastAsia="Times New Roman" w:hAnsi="Times New Roman"/>
                <w:color w:val="000000"/>
                <w:sz w:val="24"/>
                <w:szCs w:val="24"/>
                <w:lang w:val="en-US"/>
              </w:rPr>
              <w:t xml:space="preserve"> </w:t>
            </w:r>
            <w:r w:rsidRPr="00770C9C">
              <w:rPr>
                <w:rFonts w:ascii="Times New Roman" w:eastAsia="Times New Roman" w:hAnsi="Times New Roman"/>
                <w:color w:val="000000"/>
                <w:sz w:val="24"/>
                <w:szCs w:val="24"/>
                <w:lang w:val="en-US"/>
              </w:rPr>
              <w:t>pauvre</w:t>
            </w:r>
          </w:p>
        </w:tc>
        <w:tc>
          <w:tcPr>
            <w:tcW w:w="1603" w:type="dxa"/>
            <w:tcBorders>
              <w:top w:val="nil"/>
              <w:left w:val="nil"/>
              <w:bottom w:val="double" w:sz="6" w:space="0" w:color="auto"/>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14,9</w:t>
            </w:r>
          </w:p>
        </w:tc>
        <w:tc>
          <w:tcPr>
            <w:tcW w:w="1923" w:type="dxa"/>
            <w:tcBorders>
              <w:top w:val="nil"/>
              <w:left w:val="nil"/>
              <w:bottom w:val="double" w:sz="6" w:space="0" w:color="auto"/>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37,9</w:t>
            </w:r>
          </w:p>
        </w:tc>
        <w:tc>
          <w:tcPr>
            <w:tcW w:w="2509" w:type="dxa"/>
            <w:tcBorders>
              <w:top w:val="nil"/>
              <w:left w:val="nil"/>
              <w:bottom w:val="double" w:sz="6" w:space="0" w:color="auto"/>
              <w:right w:val="nil"/>
            </w:tcBorders>
            <w:shd w:val="clear" w:color="auto" w:fill="DAEEF3" w:themeFill="accent5" w:themeFillTint="33"/>
            <w:noWrap/>
            <w:hideMark/>
          </w:tcPr>
          <w:p w:rsidR="007F1584" w:rsidRPr="00770C9C" w:rsidRDefault="007F1584" w:rsidP="00224ADE">
            <w:pPr>
              <w:spacing w:line="276" w:lineRule="auto"/>
              <w:jc w:val="center"/>
              <w:rPr>
                <w:rFonts w:ascii="Times New Roman" w:eastAsia="Times New Roman" w:hAnsi="Times New Roman"/>
                <w:color w:val="000000"/>
                <w:sz w:val="24"/>
                <w:szCs w:val="24"/>
                <w:lang w:val="en-US"/>
              </w:rPr>
            </w:pPr>
            <w:r w:rsidRPr="00770C9C">
              <w:rPr>
                <w:rFonts w:ascii="Times New Roman" w:eastAsia="Times New Roman" w:hAnsi="Times New Roman"/>
                <w:color w:val="000000"/>
                <w:sz w:val="24"/>
                <w:szCs w:val="24"/>
                <w:lang w:val="en-US"/>
              </w:rPr>
              <w:t>42,7</w:t>
            </w:r>
          </w:p>
        </w:tc>
      </w:tr>
      <w:tr w:rsidR="006D7D61" w:rsidRPr="00770C9C" w:rsidTr="00C15C6F">
        <w:trPr>
          <w:trHeight w:val="330"/>
        </w:trPr>
        <w:tc>
          <w:tcPr>
            <w:tcW w:w="9180" w:type="dxa"/>
            <w:gridSpan w:val="4"/>
            <w:tcBorders>
              <w:top w:val="double" w:sz="6" w:space="0" w:color="auto"/>
              <w:left w:val="nil"/>
              <w:right w:val="nil"/>
            </w:tcBorders>
            <w:shd w:val="clear" w:color="auto" w:fill="DAEEF3" w:themeFill="accent5" w:themeFillTint="33"/>
            <w:vAlign w:val="center"/>
            <w:hideMark/>
          </w:tcPr>
          <w:p w:rsidR="006D7D61" w:rsidRPr="006D7D61" w:rsidRDefault="006D7D61" w:rsidP="006D7D61">
            <w:pPr>
              <w:autoSpaceDE w:val="0"/>
              <w:autoSpaceDN w:val="0"/>
              <w:adjustRightInd w:val="0"/>
              <w:spacing w:line="276" w:lineRule="auto"/>
              <w:jc w:val="left"/>
              <w:rPr>
                <w:rFonts w:ascii="Times New Roman" w:hAnsi="Times New Roman"/>
                <w:sz w:val="20"/>
                <w:szCs w:val="20"/>
              </w:rPr>
            </w:pPr>
            <w:r>
              <w:rPr>
                <w:rFonts w:ascii="Times New Roman" w:hAnsi="Times New Roman"/>
                <w:sz w:val="20"/>
                <w:szCs w:val="20"/>
              </w:rPr>
              <w:t>Source : INSAE, 2013</w:t>
            </w:r>
          </w:p>
        </w:tc>
      </w:tr>
    </w:tbl>
    <w:p w:rsidR="007F1584" w:rsidRDefault="007F1584" w:rsidP="007F1584">
      <w:pPr>
        <w:spacing w:line="276" w:lineRule="auto"/>
      </w:pPr>
    </w:p>
    <w:p w:rsidR="007F1584" w:rsidRDefault="007F1584" w:rsidP="007F1584">
      <w:pPr>
        <w:spacing w:line="276" w:lineRule="auto"/>
        <w:rPr>
          <w:rFonts w:ascii="Times New Roman" w:hAnsi="Times New Roman"/>
          <w:sz w:val="24"/>
          <w:szCs w:val="24"/>
        </w:rPr>
      </w:pPr>
      <w:r w:rsidRPr="00AD68E9">
        <w:rPr>
          <w:rFonts w:ascii="Times New Roman" w:hAnsi="Times New Roman"/>
          <w:b/>
          <w:sz w:val="24"/>
          <w:szCs w:val="24"/>
        </w:rPr>
        <w:t xml:space="preserve">Pour faire </w:t>
      </w:r>
      <w:r w:rsidR="00432093">
        <w:rPr>
          <w:rFonts w:ascii="Times New Roman" w:hAnsi="Times New Roman"/>
          <w:b/>
          <w:sz w:val="24"/>
          <w:szCs w:val="24"/>
        </w:rPr>
        <w:t xml:space="preserve">face </w:t>
      </w:r>
      <w:r w:rsidRPr="00AD68E9">
        <w:rPr>
          <w:rFonts w:ascii="Times New Roman" w:hAnsi="Times New Roman"/>
          <w:b/>
          <w:sz w:val="24"/>
          <w:szCs w:val="24"/>
        </w:rPr>
        <w:t>à ces chocs, les stratégies adoptées par les ménages sont globalement d’ordre financier et alimentaire</w:t>
      </w:r>
      <w:r>
        <w:rPr>
          <w:rFonts w:ascii="Times New Roman" w:hAnsi="Times New Roman"/>
          <w:sz w:val="24"/>
          <w:szCs w:val="24"/>
        </w:rPr>
        <w:t>. Prioritairement, il s’agit de : (i) consommer d</w:t>
      </w:r>
      <w:r w:rsidRPr="002D05BB">
        <w:rPr>
          <w:rFonts w:ascii="Times New Roman" w:hAnsi="Times New Roman"/>
          <w:sz w:val="24"/>
          <w:szCs w:val="24"/>
        </w:rPr>
        <w:t>es aliments moins coûteux ou moins préférés</w:t>
      </w:r>
      <w:r>
        <w:rPr>
          <w:rFonts w:ascii="Times New Roman" w:hAnsi="Times New Roman"/>
          <w:sz w:val="24"/>
          <w:szCs w:val="24"/>
        </w:rPr>
        <w:t xml:space="preserve">, (ii) </w:t>
      </w:r>
      <w:r w:rsidRPr="002D05BB">
        <w:rPr>
          <w:rFonts w:ascii="Times New Roman" w:hAnsi="Times New Roman"/>
          <w:sz w:val="24"/>
          <w:szCs w:val="24"/>
        </w:rPr>
        <w:t>dépenser les éco</w:t>
      </w:r>
      <w:r>
        <w:rPr>
          <w:rFonts w:ascii="Times New Roman" w:hAnsi="Times New Roman"/>
          <w:sz w:val="24"/>
          <w:szCs w:val="24"/>
        </w:rPr>
        <w:t>nomies et (iii) emprunter de l’argent</w:t>
      </w:r>
      <w:r w:rsidRPr="002D05BB">
        <w:rPr>
          <w:rFonts w:ascii="Times New Roman" w:hAnsi="Times New Roman"/>
          <w:sz w:val="24"/>
          <w:szCs w:val="24"/>
        </w:rPr>
        <w:t xml:space="preserve">. </w:t>
      </w:r>
      <w:r>
        <w:rPr>
          <w:rFonts w:ascii="Times New Roman" w:hAnsi="Times New Roman"/>
          <w:sz w:val="24"/>
          <w:szCs w:val="24"/>
        </w:rPr>
        <w:t>De façon spécifique,</w:t>
      </w:r>
      <w:r w:rsidRPr="007C051D">
        <w:rPr>
          <w:rFonts w:ascii="Times New Roman" w:hAnsi="Times New Roman"/>
          <w:sz w:val="24"/>
          <w:szCs w:val="24"/>
        </w:rPr>
        <w:t xml:space="preserve"> face aux chocs économiques, les ménages préfèrent consommer des aliments moins </w:t>
      </w:r>
      <w:r w:rsidR="00432093" w:rsidRPr="007C051D">
        <w:rPr>
          <w:rFonts w:ascii="Times New Roman" w:hAnsi="Times New Roman"/>
          <w:sz w:val="24"/>
          <w:szCs w:val="24"/>
        </w:rPr>
        <w:t>co</w:t>
      </w:r>
      <w:r w:rsidR="00432093">
        <w:rPr>
          <w:rFonts w:ascii="Times New Roman" w:hAnsi="Times New Roman"/>
          <w:sz w:val="24"/>
          <w:szCs w:val="24"/>
        </w:rPr>
        <w:t>û</w:t>
      </w:r>
      <w:r w:rsidR="00432093" w:rsidRPr="007C051D">
        <w:rPr>
          <w:rFonts w:ascii="Times New Roman" w:hAnsi="Times New Roman"/>
          <w:sz w:val="24"/>
          <w:szCs w:val="24"/>
        </w:rPr>
        <w:t xml:space="preserve">teux </w:t>
      </w:r>
      <w:r w:rsidRPr="007C051D">
        <w:rPr>
          <w:rFonts w:ascii="Times New Roman" w:hAnsi="Times New Roman"/>
          <w:sz w:val="24"/>
          <w:szCs w:val="24"/>
        </w:rPr>
        <w:t xml:space="preserve">ou moins préférés et dépenser les économies. </w:t>
      </w:r>
      <w:r>
        <w:rPr>
          <w:rFonts w:ascii="Times New Roman" w:hAnsi="Times New Roman"/>
          <w:sz w:val="24"/>
          <w:szCs w:val="24"/>
        </w:rPr>
        <w:t>F</w:t>
      </w:r>
      <w:r w:rsidRPr="007C051D">
        <w:rPr>
          <w:rFonts w:ascii="Times New Roman" w:hAnsi="Times New Roman"/>
          <w:sz w:val="24"/>
          <w:szCs w:val="24"/>
        </w:rPr>
        <w:t xml:space="preserve">ace aux chocs sociaux, la plupart des ménages dépensent les économies ou empruntent de l’argent ou encore consomment des aliments moins </w:t>
      </w:r>
      <w:r w:rsidR="006E3DBE">
        <w:rPr>
          <w:rFonts w:ascii="Times New Roman" w:hAnsi="Times New Roman"/>
          <w:sz w:val="24"/>
          <w:szCs w:val="24"/>
        </w:rPr>
        <w:t>coûteux</w:t>
      </w:r>
      <w:r w:rsidRPr="007C051D">
        <w:rPr>
          <w:rFonts w:ascii="Times New Roman" w:hAnsi="Times New Roman"/>
          <w:sz w:val="24"/>
          <w:szCs w:val="24"/>
        </w:rPr>
        <w:t xml:space="preserve">. </w:t>
      </w:r>
      <w:r>
        <w:rPr>
          <w:rFonts w:ascii="Times New Roman" w:hAnsi="Times New Roman"/>
          <w:sz w:val="24"/>
          <w:szCs w:val="24"/>
        </w:rPr>
        <w:t xml:space="preserve">En ce qui concerne les </w:t>
      </w:r>
      <w:r w:rsidRPr="00311D59">
        <w:rPr>
          <w:rFonts w:ascii="Times New Roman" w:hAnsi="Times New Roman"/>
          <w:sz w:val="24"/>
          <w:szCs w:val="24"/>
        </w:rPr>
        <w:t>chocs biophysiques</w:t>
      </w:r>
      <w:r>
        <w:rPr>
          <w:rFonts w:ascii="Times New Roman" w:hAnsi="Times New Roman"/>
          <w:sz w:val="24"/>
          <w:szCs w:val="24"/>
        </w:rPr>
        <w:t xml:space="preserve">, les stratégies portent sur </w:t>
      </w:r>
      <w:r w:rsidRPr="00311D59">
        <w:rPr>
          <w:rFonts w:ascii="Times New Roman" w:hAnsi="Times New Roman"/>
          <w:sz w:val="24"/>
          <w:szCs w:val="24"/>
        </w:rPr>
        <w:t xml:space="preserve">la consommation des aliments moins </w:t>
      </w:r>
      <w:r w:rsidR="006E3DBE">
        <w:rPr>
          <w:rFonts w:ascii="Times New Roman" w:hAnsi="Times New Roman"/>
          <w:sz w:val="24"/>
          <w:szCs w:val="24"/>
        </w:rPr>
        <w:t>coûteux</w:t>
      </w:r>
      <w:r w:rsidRPr="00311D59">
        <w:rPr>
          <w:rFonts w:ascii="Times New Roman" w:hAnsi="Times New Roman"/>
          <w:sz w:val="24"/>
          <w:szCs w:val="24"/>
        </w:rPr>
        <w:t xml:space="preserve"> ou moins préférés, la dépense des économies, l’achat de nourriture à crédit et la réduction de la quantité d’aliments consommés par repas.</w:t>
      </w:r>
    </w:p>
    <w:p w:rsidR="007F1584" w:rsidRDefault="007F1584" w:rsidP="007F1584">
      <w:pPr>
        <w:spacing w:line="276" w:lineRule="auto"/>
        <w:rPr>
          <w:rFonts w:ascii="Times New Roman" w:hAnsi="Times New Roman"/>
          <w:sz w:val="24"/>
          <w:szCs w:val="24"/>
        </w:rPr>
      </w:pPr>
    </w:p>
    <w:p w:rsidR="007F1584" w:rsidRDefault="007F1584" w:rsidP="007F1584">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En particulier, les stratégies les plus usitées par les ménages chroniquement pauvres, ceux qui sortent de la pauvreté et les ménages qui entrent dans la pauvreté pour se couvrir contre les risques d’un éventuel choc se présentent comme ci-après : </w:t>
      </w:r>
    </w:p>
    <w:p w:rsidR="007F1584" w:rsidRDefault="007F1584" w:rsidP="007F1584">
      <w:pPr>
        <w:autoSpaceDE w:val="0"/>
        <w:autoSpaceDN w:val="0"/>
        <w:adjustRightInd w:val="0"/>
        <w:spacing w:line="276" w:lineRule="auto"/>
        <w:rPr>
          <w:rFonts w:ascii="Times New Roman" w:hAnsi="Times New Roman"/>
          <w:b/>
          <w:sz w:val="24"/>
          <w:szCs w:val="24"/>
        </w:rPr>
      </w:pPr>
    </w:p>
    <w:p w:rsidR="007F1584" w:rsidRDefault="007F1584" w:rsidP="007F1584">
      <w:pPr>
        <w:autoSpaceDE w:val="0"/>
        <w:autoSpaceDN w:val="0"/>
        <w:adjustRightInd w:val="0"/>
        <w:spacing w:line="276" w:lineRule="auto"/>
        <w:rPr>
          <w:rFonts w:ascii="Times New Roman" w:hAnsi="Times New Roman"/>
          <w:sz w:val="24"/>
          <w:szCs w:val="24"/>
        </w:rPr>
      </w:pPr>
      <w:r w:rsidRPr="00B9218B">
        <w:rPr>
          <w:rFonts w:ascii="Times New Roman" w:hAnsi="Times New Roman"/>
          <w:b/>
          <w:sz w:val="24"/>
          <w:szCs w:val="24"/>
        </w:rPr>
        <w:t xml:space="preserve">Face aux </w:t>
      </w:r>
      <w:r w:rsidRPr="00B9218B">
        <w:rPr>
          <w:rFonts w:ascii="Times New Roman" w:hAnsi="Times New Roman"/>
          <w:b/>
          <w:i/>
          <w:sz w:val="24"/>
          <w:szCs w:val="24"/>
        </w:rPr>
        <w:t>chocs sociaux</w:t>
      </w:r>
      <w:r w:rsidRPr="00B9218B">
        <w:rPr>
          <w:rFonts w:ascii="Times New Roman" w:hAnsi="Times New Roman"/>
          <w:b/>
          <w:sz w:val="24"/>
          <w:szCs w:val="24"/>
        </w:rPr>
        <w:t>, les trois premières réponses apportées par les ménages dans chaque groupe sont surtout d’ordre financier</w:t>
      </w:r>
      <w:r>
        <w:rPr>
          <w:rFonts w:ascii="Times New Roman" w:hAnsi="Times New Roman"/>
          <w:sz w:val="24"/>
          <w:szCs w:val="24"/>
        </w:rPr>
        <w:t xml:space="preserve">. Elles vont de la dépense des économies à l’achat de nourriture à crédit en passant par l’emprunt d’argent et la consommation d’aliments moins </w:t>
      </w:r>
      <w:r w:rsidR="00432093" w:rsidRPr="007C051D">
        <w:rPr>
          <w:rFonts w:ascii="Times New Roman" w:hAnsi="Times New Roman"/>
          <w:sz w:val="24"/>
          <w:szCs w:val="24"/>
        </w:rPr>
        <w:t>co</w:t>
      </w:r>
      <w:r w:rsidR="00432093">
        <w:rPr>
          <w:rFonts w:ascii="Times New Roman" w:hAnsi="Times New Roman"/>
          <w:sz w:val="24"/>
          <w:szCs w:val="24"/>
        </w:rPr>
        <w:t>û</w:t>
      </w:r>
      <w:r w:rsidR="00432093" w:rsidRPr="007C051D">
        <w:rPr>
          <w:rFonts w:ascii="Times New Roman" w:hAnsi="Times New Roman"/>
          <w:sz w:val="24"/>
          <w:szCs w:val="24"/>
        </w:rPr>
        <w:t>teux</w:t>
      </w:r>
      <w:r>
        <w:rPr>
          <w:rFonts w:ascii="Times New Roman" w:hAnsi="Times New Roman"/>
          <w:sz w:val="24"/>
          <w:szCs w:val="24"/>
        </w:rPr>
        <w:t xml:space="preserve">. Avec très peu de moyens après deux épisodes de pauvreté, les ménages chroniquement pauvres sont les seuls à recourir aux achats à crédit au titre des trois premières stratégies. </w:t>
      </w:r>
    </w:p>
    <w:p w:rsidR="007F1584" w:rsidRDefault="007F1584" w:rsidP="007F1584">
      <w:pPr>
        <w:autoSpaceDE w:val="0"/>
        <w:autoSpaceDN w:val="0"/>
        <w:adjustRightInd w:val="0"/>
        <w:spacing w:line="276" w:lineRule="auto"/>
        <w:rPr>
          <w:rFonts w:ascii="Times New Roman" w:hAnsi="Times New Roman"/>
          <w:sz w:val="24"/>
          <w:szCs w:val="24"/>
        </w:rPr>
      </w:pPr>
    </w:p>
    <w:p w:rsidR="007F1584" w:rsidRDefault="007F1584" w:rsidP="007F1584">
      <w:pPr>
        <w:autoSpaceDE w:val="0"/>
        <w:autoSpaceDN w:val="0"/>
        <w:adjustRightInd w:val="0"/>
        <w:spacing w:line="276" w:lineRule="auto"/>
        <w:rPr>
          <w:rFonts w:ascii="Times New Roman" w:hAnsi="Times New Roman"/>
          <w:sz w:val="24"/>
          <w:szCs w:val="24"/>
        </w:rPr>
      </w:pPr>
      <w:r w:rsidRPr="00B9218B">
        <w:rPr>
          <w:rFonts w:ascii="Times New Roman" w:hAnsi="Times New Roman"/>
          <w:b/>
          <w:sz w:val="24"/>
          <w:szCs w:val="24"/>
        </w:rPr>
        <w:t xml:space="preserve">Pour faire face aux effets des </w:t>
      </w:r>
      <w:r w:rsidRPr="00B9218B">
        <w:rPr>
          <w:rFonts w:ascii="Times New Roman" w:hAnsi="Times New Roman"/>
          <w:b/>
          <w:i/>
          <w:sz w:val="24"/>
          <w:szCs w:val="24"/>
        </w:rPr>
        <w:t>chocs économiques</w:t>
      </w:r>
      <w:r w:rsidRPr="00B9218B">
        <w:rPr>
          <w:rFonts w:ascii="Times New Roman" w:hAnsi="Times New Roman"/>
          <w:b/>
          <w:sz w:val="24"/>
          <w:szCs w:val="24"/>
        </w:rPr>
        <w:t>, les ménages adoptent des stratégies plus diversifiées</w:t>
      </w:r>
      <w:r>
        <w:rPr>
          <w:rStyle w:val="Appelnotedebasdep"/>
          <w:rFonts w:ascii="Times New Roman" w:hAnsi="Times New Roman"/>
          <w:sz w:val="24"/>
          <w:szCs w:val="24"/>
        </w:rPr>
        <w:footnoteReference w:id="11"/>
      </w:r>
      <w:r>
        <w:rPr>
          <w:rFonts w:ascii="Times New Roman" w:hAnsi="Times New Roman"/>
          <w:sz w:val="24"/>
          <w:szCs w:val="24"/>
        </w:rPr>
        <w:t xml:space="preserve">. Vu que ces chocs impactent directement les capacités financières des ménages, ces derniers priorisent la dépense de leurs économies, la consommation d’aliments moins préférés ou moins </w:t>
      </w:r>
      <w:r w:rsidR="00432093" w:rsidRPr="007C051D">
        <w:rPr>
          <w:rFonts w:ascii="Times New Roman" w:hAnsi="Times New Roman"/>
          <w:sz w:val="24"/>
          <w:szCs w:val="24"/>
        </w:rPr>
        <w:t>co</w:t>
      </w:r>
      <w:r w:rsidR="00432093">
        <w:rPr>
          <w:rFonts w:ascii="Times New Roman" w:hAnsi="Times New Roman"/>
          <w:sz w:val="24"/>
          <w:szCs w:val="24"/>
        </w:rPr>
        <w:t>û</w:t>
      </w:r>
      <w:r w:rsidR="00432093" w:rsidRPr="007C051D">
        <w:rPr>
          <w:rFonts w:ascii="Times New Roman" w:hAnsi="Times New Roman"/>
          <w:sz w:val="24"/>
          <w:szCs w:val="24"/>
        </w:rPr>
        <w:t xml:space="preserve">teux </w:t>
      </w:r>
      <w:r>
        <w:rPr>
          <w:rFonts w:ascii="Times New Roman" w:hAnsi="Times New Roman"/>
          <w:sz w:val="24"/>
          <w:szCs w:val="24"/>
        </w:rPr>
        <w:t>et l’achat de nourriture à crédit. Il faut noter que les trois premières réponses apportées à ce type de choc ne diffèrent d’un statut de mobilité à l’autre que par leur importance relative. Les ménages ayant connu au moins un épisode de pauvreté adoptent globalement les mêmes stratégies.</w:t>
      </w:r>
    </w:p>
    <w:p w:rsidR="007F1584" w:rsidRPr="00B9218B" w:rsidRDefault="007F1584" w:rsidP="007F1584">
      <w:pPr>
        <w:autoSpaceDE w:val="0"/>
        <w:autoSpaceDN w:val="0"/>
        <w:adjustRightInd w:val="0"/>
        <w:spacing w:line="276" w:lineRule="auto"/>
        <w:rPr>
          <w:rFonts w:ascii="Times New Roman" w:hAnsi="Times New Roman"/>
          <w:b/>
          <w:sz w:val="24"/>
          <w:szCs w:val="24"/>
        </w:rPr>
      </w:pPr>
    </w:p>
    <w:p w:rsidR="007F1584" w:rsidRDefault="007F1584" w:rsidP="007F1584">
      <w:pPr>
        <w:autoSpaceDE w:val="0"/>
        <w:autoSpaceDN w:val="0"/>
        <w:adjustRightInd w:val="0"/>
        <w:spacing w:line="276" w:lineRule="auto"/>
        <w:rPr>
          <w:rFonts w:ascii="Times New Roman" w:hAnsi="Times New Roman"/>
          <w:sz w:val="24"/>
          <w:szCs w:val="24"/>
        </w:rPr>
      </w:pPr>
      <w:r w:rsidRPr="00B9218B">
        <w:rPr>
          <w:rFonts w:ascii="Times New Roman" w:hAnsi="Times New Roman"/>
          <w:b/>
          <w:sz w:val="24"/>
          <w:szCs w:val="24"/>
        </w:rPr>
        <w:t xml:space="preserve">Les réponses aux </w:t>
      </w:r>
      <w:r w:rsidRPr="00B9218B">
        <w:rPr>
          <w:rFonts w:ascii="Times New Roman" w:hAnsi="Times New Roman"/>
          <w:b/>
          <w:i/>
          <w:sz w:val="24"/>
          <w:szCs w:val="24"/>
        </w:rPr>
        <w:t>chocs biophysiques</w:t>
      </w:r>
      <w:r w:rsidRPr="00B9218B">
        <w:rPr>
          <w:rFonts w:ascii="Times New Roman" w:hAnsi="Times New Roman"/>
          <w:b/>
          <w:sz w:val="24"/>
          <w:szCs w:val="24"/>
        </w:rPr>
        <w:t xml:space="preserve"> sont surtout d’ordre alimentaire</w:t>
      </w:r>
      <w:r>
        <w:rPr>
          <w:rFonts w:ascii="Times New Roman" w:hAnsi="Times New Roman"/>
          <w:sz w:val="24"/>
          <w:szCs w:val="24"/>
        </w:rPr>
        <w:t xml:space="preserve">. En effet, la première réponse à ce type de choc est la consommation d’aliments moins préférés ou moins </w:t>
      </w:r>
      <w:r w:rsidR="00432093" w:rsidRPr="007C051D">
        <w:rPr>
          <w:rFonts w:ascii="Times New Roman" w:hAnsi="Times New Roman"/>
          <w:sz w:val="24"/>
          <w:szCs w:val="24"/>
        </w:rPr>
        <w:t>co</w:t>
      </w:r>
      <w:r w:rsidR="00432093">
        <w:rPr>
          <w:rFonts w:ascii="Times New Roman" w:hAnsi="Times New Roman"/>
          <w:sz w:val="24"/>
          <w:szCs w:val="24"/>
        </w:rPr>
        <w:t>û</w:t>
      </w:r>
      <w:r w:rsidR="00432093" w:rsidRPr="007C051D">
        <w:rPr>
          <w:rFonts w:ascii="Times New Roman" w:hAnsi="Times New Roman"/>
          <w:sz w:val="24"/>
          <w:szCs w:val="24"/>
        </w:rPr>
        <w:t>teux</w:t>
      </w:r>
      <w:r>
        <w:rPr>
          <w:rFonts w:ascii="Times New Roman" w:hAnsi="Times New Roman"/>
          <w:sz w:val="24"/>
          <w:szCs w:val="24"/>
        </w:rPr>
        <w:t xml:space="preserve">. Ces chocs sont aussi les seuls à se voir opposer la réduction des quantités d’aliments consommés par repas et ceci est une constante pour les trois classes considérées. Non seulement, les ménages exposés aux chocs </w:t>
      </w:r>
      <w:r w:rsidRPr="00490D38">
        <w:rPr>
          <w:rFonts w:ascii="Times New Roman" w:hAnsi="Times New Roman"/>
          <w:sz w:val="24"/>
          <w:szCs w:val="24"/>
        </w:rPr>
        <w:t>biophysiques</w:t>
      </w:r>
      <w:r>
        <w:rPr>
          <w:rFonts w:ascii="Times New Roman" w:hAnsi="Times New Roman"/>
          <w:sz w:val="24"/>
          <w:szCs w:val="24"/>
        </w:rPr>
        <w:t xml:space="preserve"> réduisent la qualité des aliments qu’ils consomment, mais ils en réduisent aussi la quantité. Tout ceci concourt à une plus forte dégradation de leur situation à travers la faim et la malnutrition. La dépense des économies et l’achat à crédit de nourriture font aussi leur apparition au titre des trois premières stratégies face à ce choc.</w:t>
      </w:r>
    </w:p>
    <w:p w:rsidR="007F1584" w:rsidRDefault="007F1584" w:rsidP="007F1584">
      <w:pPr>
        <w:autoSpaceDE w:val="0"/>
        <w:autoSpaceDN w:val="0"/>
        <w:adjustRightInd w:val="0"/>
        <w:spacing w:line="276" w:lineRule="auto"/>
        <w:rPr>
          <w:rFonts w:ascii="Times New Roman" w:hAnsi="Times New Roman"/>
          <w:sz w:val="24"/>
          <w:szCs w:val="24"/>
        </w:rPr>
      </w:pPr>
    </w:p>
    <w:p w:rsidR="008109CC" w:rsidRPr="00582FCD" w:rsidRDefault="008A0DF0" w:rsidP="008109CC">
      <w:pPr>
        <w:autoSpaceDE w:val="0"/>
        <w:autoSpaceDN w:val="0"/>
        <w:adjustRightInd w:val="0"/>
        <w:spacing w:line="276" w:lineRule="auto"/>
        <w:rPr>
          <w:rFonts w:ascii="Times New Roman" w:hAnsi="Times New Roman"/>
          <w:sz w:val="24"/>
          <w:szCs w:val="24"/>
        </w:rPr>
      </w:pPr>
      <w:r>
        <w:rPr>
          <w:rFonts w:ascii="Times New Roman" w:hAnsi="Times New Roman"/>
          <w:b/>
          <w:sz w:val="24"/>
          <w:szCs w:val="24"/>
        </w:rPr>
        <w:t>Globalement, l</w:t>
      </w:r>
      <w:r w:rsidR="008109CC" w:rsidRPr="00B235F4">
        <w:rPr>
          <w:rFonts w:ascii="Times New Roman" w:hAnsi="Times New Roman"/>
          <w:b/>
          <w:sz w:val="24"/>
          <w:szCs w:val="24"/>
        </w:rPr>
        <w:t>’impact des stratégies de gestion de risque adoptées par les ménages sur leur capacité à se relever de la diminution du revenu ou des biens suite aux chocs est largement partiel</w:t>
      </w:r>
      <w:r w:rsidR="008109CC" w:rsidRPr="00B235F4">
        <w:rPr>
          <w:rFonts w:ascii="Times New Roman" w:hAnsi="Times New Roman"/>
          <w:sz w:val="24"/>
          <w:szCs w:val="24"/>
        </w:rPr>
        <w:t xml:space="preserve">. La proportion de ménages ayant déclaré partiel le relèvement de la diminution de revenu ou de biens après avoir subi un choc est plus important que ceux qui ont déclaré être entièrement remis de la diminution du revenu ou des biens engendrés par l’exposition aux chocs. Cette proportion est relativement plus élevée </w:t>
      </w:r>
      <w:r w:rsidR="00D5133A">
        <w:rPr>
          <w:rFonts w:ascii="Times New Roman" w:hAnsi="Times New Roman"/>
          <w:sz w:val="24"/>
          <w:szCs w:val="24"/>
        </w:rPr>
        <w:t xml:space="preserve">pour </w:t>
      </w:r>
      <w:r w:rsidR="008109CC" w:rsidRPr="00B235F4">
        <w:rPr>
          <w:rFonts w:ascii="Times New Roman" w:hAnsi="Times New Roman"/>
          <w:sz w:val="24"/>
          <w:szCs w:val="24"/>
        </w:rPr>
        <w:t xml:space="preserve">les chocs biophysiques et économiques. Ceci montre le caractère limité et peu efficace des stratégies adoptées par les ménages pour faire </w:t>
      </w:r>
      <w:r w:rsidR="00BA4CA1">
        <w:rPr>
          <w:rFonts w:ascii="Times New Roman" w:hAnsi="Times New Roman"/>
          <w:sz w:val="24"/>
          <w:szCs w:val="24"/>
        </w:rPr>
        <w:t xml:space="preserve">face </w:t>
      </w:r>
      <w:r w:rsidR="008109CC" w:rsidRPr="00B235F4">
        <w:rPr>
          <w:rFonts w:ascii="Times New Roman" w:hAnsi="Times New Roman"/>
          <w:sz w:val="24"/>
          <w:szCs w:val="24"/>
        </w:rPr>
        <w:t xml:space="preserve">aux chocs et laisse présager d’une part, de leur effet de très court terme </w:t>
      </w:r>
      <w:r w:rsidR="008109CC">
        <w:rPr>
          <w:rFonts w:ascii="Times New Roman" w:hAnsi="Times New Roman"/>
          <w:sz w:val="24"/>
          <w:szCs w:val="24"/>
        </w:rPr>
        <w:t xml:space="preserve">et d’autre part, de la nécessité </w:t>
      </w:r>
      <w:r w:rsidR="001C49CB">
        <w:rPr>
          <w:rFonts w:ascii="Times New Roman" w:hAnsi="Times New Roman"/>
          <w:sz w:val="24"/>
          <w:szCs w:val="24"/>
        </w:rPr>
        <w:t>p</w:t>
      </w:r>
      <w:r w:rsidR="008109CC">
        <w:rPr>
          <w:rFonts w:ascii="Times New Roman" w:hAnsi="Times New Roman"/>
          <w:sz w:val="24"/>
          <w:szCs w:val="24"/>
        </w:rPr>
        <w:t xml:space="preserve">our </w:t>
      </w:r>
      <w:r w:rsidR="001C49CB">
        <w:rPr>
          <w:rFonts w:ascii="Times New Roman" w:hAnsi="Times New Roman"/>
          <w:sz w:val="24"/>
          <w:szCs w:val="24"/>
        </w:rPr>
        <w:t>les ménages</w:t>
      </w:r>
      <w:r w:rsidR="008109CC">
        <w:rPr>
          <w:rFonts w:ascii="Times New Roman" w:hAnsi="Times New Roman"/>
          <w:sz w:val="24"/>
          <w:szCs w:val="24"/>
        </w:rPr>
        <w:t xml:space="preserve">, de </w:t>
      </w:r>
      <w:r w:rsidR="008109CC" w:rsidRPr="00582FCD">
        <w:rPr>
          <w:rFonts w:ascii="Times New Roman" w:hAnsi="Times New Roman"/>
          <w:sz w:val="24"/>
          <w:szCs w:val="24"/>
        </w:rPr>
        <w:t xml:space="preserve">disposer et </w:t>
      </w:r>
      <w:r w:rsidR="008109CC">
        <w:rPr>
          <w:rFonts w:ascii="Times New Roman" w:hAnsi="Times New Roman"/>
          <w:sz w:val="24"/>
          <w:szCs w:val="24"/>
        </w:rPr>
        <w:t>d’</w:t>
      </w:r>
      <w:r w:rsidR="008109CC" w:rsidRPr="00582FCD">
        <w:rPr>
          <w:rFonts w:ascii="Times New Roman" w:hAnsi="Times New Roman"/>
          <w:sz w:val="24"/>
          <w:szCs w:val="24"/>
        </w:rPr>
        <w:t>utiliser des instruments appropriés pour gérer efficacement le</w:t>
      </w:r>
      <w:r w:rsidR="00D5133A">
        <w:rPr>
          <w:rFonts w:ascii="Times New Roman" w:hAnsi="Times New Roman"/>
          <w:sz w:val="24"/>
          <w:szCs w:val="24"/>
        </w:rPr>
        <w:t xml:space="preserve"> </w:t>
      </w:r>
      <w:r w:rsidR="008109CC" w:rsidRPr="00582FCD">
        <w:rPr>
          <w:rFonts w:ascii="Times New Roman" w:hAnsi="Times New Roman"/>
          <w:sz w:val="24"/>
          <w:szCs w:val="24"/>
        </w:rPr>
        <w:t>risque sous quelque forme qu’il se présente</w:t>
      </w:r>
      <w:r w:rsidR="008109CC">
        <w:rPr>
          <w:rFonts w:ascii="Times New Roman" w:hAnsi="Times New Roman"/>
          <w:sz w:val="24"/>
          <w:szCs w:val="24"/>
        </w:rPr>
        <w:t xml:space="preserve">. </w:t>
      </w:r>
      <w:r w:rsidR="008109CC" w:rsidRPr="00582FCD">
        <w:rPr>
          <w:rFonts w:ascii="Times New Roman" w:hAnsi="Times New Roman"/>
          <w:sz w:val="24"/>
          <w:szCs w:val="24"/>
        </w:rPr>
        <w:t xml:space="preserve">Ces instruments </w:t>
      </w:r>
      <w:r w:rsidR="008109CC">
        <w:rPr>
          <w:rFonts w:ascii="Times New Roman" w:hAnsi="Times New Roman"/>
          <w:sz w:val="24"/>
          <w:szCs w:val="24"/>
        </w:rPr>
        <w:t xml:space="preserve">sont supposés </w:t>
      </w:r>
      <w:r w:rsidR="008109CC" w:rsidRPr="00582FCD">
        <w:rPr>
          <w:rFonts w:ascii="Times New Roman" w:hAnsi="Times New Roman"/>
          <w:sz w:val="24"/>
          <w:szCs w:val="24"/>
        </w:rPr>
        <w:t xml:space="preserve">i) </w:t>
      </w:r>
      <w:r w:rsidR="00432093">
        <w:rPr>
          <w:rFonts w:ascii="Times New Roman" w:hAnsi="Times New Roman"/>
          <w:sz w:val="24"/>
          <w:szCs w:val="24"/>
        </w:rPr>
        <w:t>accroî</w:t>
      </w:r>
      <w:r w:rsidR="00432093" w:rsidRPr="00582FCD">
        <w:rPr>
          <w:rFonts w:ascii="Times New Roman" w:hAnsi="Times New Roman"/>
          <w:sz w:val="24"/>
          <w:szCs w:val="24"/>
        </w:rPr>
        <w:t>t</w:t>
      </w:r>
      <w:r w:rsidR="00432093">
        <w:rPr>
          <w:rFonts w:ascii="Times New Roman" w:hAnsi="Times New Roman"/>
          <w:sz w:val="24"/>
          <w:szCs w:val="24"/>
        </w:rPr>
        <w:t>re</w:t>
      </w:r>
      <w:r w:rsidR="00432093" w:rsidRPr="00582FCD">
        <w:rPr>
          <w:rFonts w:ascii="Times New Roman" w:hAnsi="Times New Roman"/>
          <w:sz w:val="24"/>
          <w:szCs w:val="24"/>
        </w:rPr>
        <w:t xml:space="preserve"> </w:t>
      </w:r>
      <w:r w:rsidR="008109CC" w:rsidRPr="00582FCD">
        <w:rPr>
          <w:rFonts w:ascii="Times New Roman" w:hAnsi="Times New Roman"/>
          <w:sz w:val="24"/>
          <w:szCs w:val="24"/>
        </w:rPr>
        <w:t>le bien-être des individus et de la société à un moment précis (analyse</w:t>
      </w:r>
      <w:r w:rsidR="008109CC">
        <w:rPr>
          <w:rFonts w:ascii="Times New Roman" w:hAnsi="Times New Roman"/>
          <w:sz w:val="24"/>
          <w:szCs w:val="24"/>
        </w:rPr>
        <w:t xml:space="preserve"> statique) ; ii) contribuer </w:t>
      </w:r>
      <w:r w:rsidR="008109CC" w:rsidRPr="00582FCD">
        <w:rPr>
          <w:rFonts w:ascii="Times New Roman" w:hAnsi="Times New Roman"/>
          <w:sz w:val="24"/>
          <w:szCs w:val="24"/>
        </w:rPr>
        <w:t>au développement et à la croissance économiques</w:t>
      </w:r>
      <w:r w:rsidR="00D5133A">
        <w:rPr>
          <w:rFonts w:ascii="Times New Roman" w:hAnsi="Times New Roman"/>
          <w:sz w:val="24"/>
          <w:szCs w:val="24"/>
        </w:rPr>
        <w:t xml:space="preserve"> </w:t>
      </w:r>
      <w:r w:rsidR="008109CC" w:rsidRPr="00582FCD">
        <w:rPr>
          <w:rFonts w:ascii="Times New Roman" w:hAnsi="Times New Roman"/>
          <w:sz w:val="24"/>
          <w:szCs w:val="24"/>
        </w:rPr>
        <w:t>dans le</w:t>
      </w:r>
      <w:r w:rsidR="00D5133A">
        <w:rPr>
          <w:rFonts w:ascii="Times New Roman" w:hAnsi="Times New Roman"/>
          <w:sz w:val="24"/>
          <w:szCs w:val="24"/>
        </w:rPr>
        <w:t xml:space="preserve"> </w:t>
      </w:r>
      <w:r w:rsidR="008109CC" w:rsidRPr="00582FCD">
        <w:rPr>
          <w:rFonts w:ascii="Times New Roman" w:hAnsi="Times New Roman"/>
          <w:sz w:val="24"/>
          <w:szCs w:val="24"/>
        </w:rPr>
        <w:t xml:space="preserve">temps (analyse dynamique) ; et iii) </w:t>
      </w:r>
      <w:r w:rsidR="008109CC">
        <w:rPr>
          <w:rFonts w:ascii="Times New Roman" w:hAnsi="Times New Roman"/>
          <w:sz w:val="24"/>
          <w:szCs w:val="24"/>
        </w:rPr>
        <w:t>être</w:t>
      </w:r>
      <w:r w:rsidR="008109CC" w:rsidRPr="00582FCD">
        <w:rPr>
          <w:rFonts w:ascii="Times New Roman" w:hAnsi="Times New Roman"/>
          <w:sz w:val="24"/>
          <w:szCs w:val="24"/>
        </w:rPr>
        <w:t xml:space="preserve"> des facteurs essentiels d’une réduction réelle et</w:t>
      </w:r>
      <w:r w:rsidR="00D5133A">
        <w:rPr>
          <w:rFonts w:ascii="Times New Roman" w:hAnsi="Times New Roman"/>
          <w:sz w:val="24"/>
          <w:szCs w:val="24"/>
        </w:rPr>
        <w:t xml:space="preserve"> </w:t>
      </w:r>
      <w:r w:rsidR="008109CC" w:rsidRPr="00582FCD">
        <w:rPr>
          <w:rFonts w:ascii="Times New Roman" w:hAnsi="Times New Roman"/>
          <w:sz w:val="24"/>
          <w:szCs w:val="24"/>
        </w:rPr>
        <w:t>durable de la pauvreté</w:t>
      </w:r>
      <w:r w:rsidR="008109CC">
        <w:rPr>
          <w:rFonts w:ascii="Times New Roman" w:hAnsi="Times New Roman"/>
          <w:sz w:val="24"/>
          <w:szCs w:val="24"/>
        </w:rPr>
        <w:t xml:space="preserve"> (</w:t>
      </w:r>
      <w:r w:rsidR="008109CC" w:rsidRPr="00DF3479">
        <w:rPr>
          <w:rFonts w:ascii="Times New Roman" w:hAnsi="Times New Roman"/>
          <w:sz w:val="24"/>
          <w:szCs w:val="24"/>
        </w:rPr>
        <w:t xml:space="preserve">Holzmann, R et </w:t>
      </w:r>
      <w:r w:rsidR="00D5133A" w:rsidRPr="00DF3479">
        <w:rPr>
          <w:rFonts w:ascii="Times New Roman" w:hAnsi="Times New Roman"/>
          <w:sz w:val="24"/>
          <w:szCs w:val="24"/>
        </w:rPr>
        <w:t>J</w:t>
      </w:r>
      <w:r w:rsidR="00D5133A">
        <w:rPr>
          <w:rFonts w:ascii="Times New Roman" w:hAnsi="Times New Roman"/>
          <w:sz w:val="24"/>
          <w:szCs w:val="24"/>
        </w:rPr>
        <w:t>o</w:t>
      </w:r>
      <w:r w:rsidR="00D5133A" w:rsidRPr="00DF3479">
        <w:rPr>
          <w:rFonts w:ascii="Times New Roman" w:hAnsi="Times New Roman"/>
          <w:sz w:val="24"/>
          <w:szCs w:val="24"/>
        </w:rPr>
        <w:t>rgensen</w:t>
      </w:r>
      <w:r w:rsidR="008109CC" w:rsidRPr="00DF3479">
        <w:rPr>
          <w:rFonts w:ascii="Times New Roman" w:hAnsi="Times New Roman"/>
          <w:sz w:val="24"/>
          <w:szCs w:val="24"/>
        </w:rPr>
        <w:t>, S, 2000)</w:t>
      </w:r>
      <w:r w:rsidR="008109CC" w:rsidRPr="00582FCD">
        <w:rPr>
          <w:rFonts w:ascii="Times New Roman" w:hAnsi="Times New Roman"/>
          <w:sz w:val="24"/>
          <w:szCs w:val="24"/>
        </w:rPr>
        <w:t xml:space="preserve">. </w:t>
      </w:r>
    </w:p>
    <w:p w:rsidR="008109CC" w:rsidRDefault="008109CC" w:rsidP="007F1584">
      <w:pPr>
        <w:autoSpaceDE w:val="0"/>
        <w:autoSpaceDN w:val="0"/>
        <w:adjustRightInd w:val="0"/>
        <w:spacing w:line="276" w:lineRule="auto"/>
        <w:rPr>
          <w:rFonts w:ascii="Times New Roman" w:hAnsi="Times New Roman"/>
          <w:sz w:val="24"/>
          <w:szCs w:val="24"/>
        </w:rPr>
      </w:pPr>
    </w:p>
    <w:p w:rsidR="007F1584" w:rsidRPr="00670743" w:rsidRDefault="007F1584" w:rsidP="00670743">
      <w:pPr>
        <w:pStyle w:val="Titre2"/>
        <w:spacing w:before="0" w:line="276" w:lineRule="auto"/>
        <w:rPr>
          <w:rFonts w:ascii="Times New Roman" w:hAnsi="Times New Roman" w:cs="Times New Roman"/>
          <w:i w:val="0"/>
          <w:color w:val="31849B" w:themeColor="accent5" w:themeShade="BF"/>
        </w:rPr>
      </w:pPr>
      <w:bookmarkStart w:id="10" w:name="_Toc382322902"/>
      <w:r w:rsidRPr="00670743">
        <w:rPr>
          <w:rFonts w:ascii="Times New Roman" w:hAnsi="Times New Roman" w:cs="Times New Roman"/>
          <w:i w:val="0"/>
          <w:color w:val="31849B" w:themeColor="accent5" w:themeShade="BF"/>
        </w:rPr>
        <w:t>Politiques budgétaires et réduction de la pauvreté</w:t>
      </w:r>
      <w:bookmarkEnd w:id="10"/>
    </w:p>
    <w:p w:rsidR="00670743" w:rsidRPr="00670743" w:rsidRDefault="00670743" w:rsidP="007F1584">
      <w:pPr>
        <w:spacing w:line="276" w:lineRule="auto"/>
        <w:rPr>
          <w:rFonts w:ascii="Times New Roman" w:hAnsi="Times New Roman"/>
          <w:b/>
          <w:sz w:val="12"/>
          <w:szCs w:val="12"/>
        </w:rPr>
      </w:pPr>
    </w:p>
    <w:p w:rsidR="007F1584" w:rsidRDefault="007F1584" w:rsidP="007F1584">
      <w:pPr>
        <w:spacing w:line="276" w:lineRule="auto"/>
        <w:rPr>
          <w:rFonts w:ascii="Times New Roman" w:hAnsi="Times New Roman"/>
          <w:sz w:val="24"/>
        </w:rPr>
      </w:pPr>
      <w:r w:rsidRPr="003727AE">
        <w:rPr>
          <w:rFonts w:ascii="Times New Roman" w:hAnsi="Times New Roman"/>
          <w:b/>
          <w:sz w:val="24"/>
          <w:szCs w:val="24"/>
        </w:rPr>
        <w:t>Au Bénin, environ 2/3 des dépenses publiques sont consacrées au fonctionnement de l’Administration publique et 1/3 à l’investissement</w:t>
      </w:r>
      <w:r w:rsidRPr="00A037CA">
        <w:rPr>
          <w:rFonts w:ascii="Times New Roman" w:hAnsi="Times New Roman"/>
          <w:sz w:val="24"/>
          <w:szCs w:val="24"/>
        </w:rPr>
        <w:t xml:space="preserve">. </w:t>
      </w:r>
      <w:r w:rsidRPr="007833E7">
        <w:rPr>
          <w:rFonts w:ascii="Times New Roman" w:hAnsi="Times New Roman"/>
          <w:b/>
          <w:sz w:val="24"/>
          <w:szCs w:val="24"/>
        </w:rPr>
        <w:t>L’examen du Cadre de Dépenses à Moyen Terme (CDMT) montre qu’en moyenne 27% du budget global de l’État est affecté aux dépenses non prioritaires sur la période 2007 – 2009 alors que la SCRP n’avait prévu que 20%</w:t>
      </w:r>
      <w:r>
        <w:rPr>
          <w:rFonts w:ascii="Times New Roman" w:hAnsi="Times New Roman"/>
          <w:sz w:val="24"/>
          <w:szCs w:val="24"/>
        </w:rPr>
        <w:t xml:space="preserve">. </w:t>
      </w:r>
      <w:r w:rsidRPr="00A037CA">
        <w:rPr>
          <w:rFonts w:ascii="Times New Roman" w:hAnsi="Times New Roman"/>
          <w:sz w:val="24"/>
          <w:szCs w:val="24"/>
        </w:rPr>
        <w:t xml:space="preserve">Les dépenses de fonctionnement comprennent les dépenses de </w:t>
      </w:r>
      <w:r>
        <w:rPr>
          <w:rFonts w:ascii="Times New Roman" w:hAnsi="Times New Roman"/>
          <w:sz w:val="24"/>
          <w:szCs w:val="24"/>
        </w:rPr>
        <w:t>personnel</w:t>
      </w:r>
      <w:r w:rsidRPr="00A037CA">
        <w:rPr>
          <w:rFonts w:ascii="Times New Roman" w:hAnsi="Times New Roman"/>
          <w:sz w:val="24"/>
          <w:szCs w:val="24"/>
        </w:rPr>
        <w:t>, les pensions et bou</w:t>
      </w:r>
      <w:r>
        <w:rPr>
          <w:rFonts w:ascii="Times New Roman" w:hAnsi="Times New Roman"/>
          <w:sz w:val="24"/>
          <w:szCs w:val="24"/>
        </w:rPr>
        <w:t>r</w:t>
      </w:r>
      <w:r w:rsidRPr="00A037CA">
        <w:rPr>
          <w:rFonts w:ascii="Times New Roman" w:hAnsi="Times New Roman"/>
          <w:sz w:val="24"/>
          <w:szCs w:val="24"/>
        </w:rPr>
        <w:t>ses, les transferts, les achats de biens et services</w:t>
      </w:r>
      <w:r>
        <w:rPr>
          <w:rFonts w:ascii="Times New Roman" w:hAnsi="Times New Roman"/>
          <w:sz w:val="24"/>
          <w:szCs w:val="24"/>
        </w:rPr>
        <w:t>,</w:t>
      </w:r>
      <w:r w:rsidRPr="00A037CA">
        <w:rPr>
          <w:rFonts w:ascii="Times New Roman" w:hAnsi="Times New Roman"/>
          <w:sz w:val="24"/>
          <w:szCs w:val="24"/>
        </w:rPr>
        <w:t xml:space="preserve"> et les intérêts sur la dette publique.</w:t>
      </w:r>
      <w:r>
        <w:rPr>
          <w:rFonts w:ascii="Times New Roman" w:hAnsi="Times New Roman"/>
          <w:sz w:val="24"/>
          <w:szCs w:val="24"/>
        </w:rPr>
        <w:t xml:space="preserve"> L’augmentation </w:t>
      </w:r>
      <w:r w:rsidRPr="007833E7">
        <w:rPr>
          <w:rFonts w:ascii="Times New Roman" w:hAnsi="Times New Roman"/>
          <w:sz w:val="24"/>
          <w:szCs w:val="24"/>
        </w:rPr>
        <w:t>des ressources accordées aux secteurs non prioritaires s’est faite, en partie, au détriment des secteurs sociaux (éducation et santé) et des infrastructures productives (travaux publics, énergies et mines).</w:t>
      </w:r>
      <w:r>
        <w:rPr>
          <w:rFonts w:ascii="Times New Roman" w:hAnsi="Times New Roman"/>
          <w:sz w:val="24"/>
          <w:szCs w:val="24"/>
        </w:rPr>
        <w:t xml:space="preserve"> Sur </w:t>
      </w:r>
      <w:r w:rsidRPr="00C966FC">
        <w:rPr>
          <w:rFonts w:ascii="Times New Roman" w:hAnsi="Times New Roman"/>
          <w:sz w:val="24"/>
        </w:rPr>
        <w:t>la période 2011-2015</w:t>
      </w:r>
      <w:r>
        <w:rPr>
          <w:rFonts w:ascii="Times New Roman" w:hAnsi="Times New Roman"/>
          <w:sz w:val="24"/>
        </w:rPr>
        <w:t>, la période de la SCRP III,</w:t>
      </w:r>
      <w:r>
        <w:rPr>
          <w:rFonts w:ascii="Times New Roman" w:hAnsi="Times New Roman"/>
          <w:sz w:val="24"/>
          <w:szCs w:val="24"/>
        </w:rPr>
        <w:t xml:space="preserve"> comme le montre le tableau 3, </w:t>
      </w:r>
      <w:r>
        <w:rPr>
          <w:rFonts w:ascii="Times New Roman" w:hAnsi="Times New Roman"/>
          <w:sz w:val="24"/>
        </w:rPr>
        <w:t>l</w:t>
      </w:r>
      <w:r w:rsidRPr="00C966FC">
        <w:rPr>
          <w:rFonts w:ascii="Times New Roman" w:hAnsi="Times New Roman"/>
          <w:sz w:val="24"/>
        </w:rPr>
        <w:t>es crédits consacrés aux secteurs sociaux</w:t>
      </w:r>
      <w:r>
        <w:rPr>
          <w:rFonts w:ascii="Times New Roman" w:hAnsi="Times New Roman"/>
          <w:sz w:val="24"/>
        </w:rPr>
        <w:t xml:space="preserve"> ont connu une augmentation et </w:t>
      </w:r>
      <w:r w:rsidRPr="00C966FC">
        <w:rPr>
          <w:rFonts w:ascii="Times New Roman" w:hAnsi="Times New Roman"/>
          <w:sz w:val="24"/>
        </w:rPr>
        <w:t>représenteraient en moyenne 33,8% du total des dotations budgétaires</w:t>
      </w:r>
      <w:r>
        <w:rPr>
          <w:rFonts w:ascii="Times New Roman" w:hAnsi="Times New Roman"/>
          <w:sz w:val="24"/>
        </w:rPr>
        <w:t xml:space="preserve">. Cette augmentation de la part des ressources allouées aux secteurs sociaux </w:t>
      </w:r>
      <w:r w:rsidRPr="00CB197E">
        <w:rPr>
          <w:rFonts w:ascii="Times New Roman" w:hAnsi="Times New Roman"/>
          <w:sz w:val="24"/>
        </w:rPr>
        <w:t xml:space="preserve">répond essentiellement </w:t>
      </w:r>
      <w:r>
        <w:rPr>
          <w:rFonts w:ascii="Times New Roman" w:hAnsi="Times New Roman"/>
          <w:sz w:val="24"/>
        </w:rPr>
        <w:t>à</w:t>
      </w:r>
      <w:r w:rsidRPr="00CB197E">
        <w:rPr>
          <w:rFonts w:ascii="Times New Roman" w:hAnsi="Times New Roman"/>
          <w:sz w:val="24"/>
        </w:rPr>
        <w:t xml:space="preserve"> la priorité </w:t>
      </w:r>
      <w:r>
        <w:rPr>
          <w:rFonts w:ascii="Times New Roman" w:hAnsi="Times New Roman"/>
          <w:sz w:val="24"/>
        </w:rPr>
        <w:t xml:space="preserve">accordée à ces derniers </w:t>
      </w:r>
      <w:r w:rsidRPr="00CB197E">
        <w:rPr>
          <w:rFonts w:ascii="Times New Roman" w:hAnsi="Times New Roman"/>
          <w:sz w:val="24"/>
        </w:rPr>
        <w:t>pour atteindre les cibles des OMD en matière d’éducation, de sant</w:t>
      </w:r>
      <w:r>
        <w:rPr>
          <w:rFonts w:ascii="Times New Roman" w:hAnsi="Times New Roman"/>
          <w:sz w:val="24"/>
        </w:rPr>
        <w:t xml:space="preserve">é </w:t>
      </w:r>
      <w:r w:rsidRPr="00CB197E">
        <w:rPr>
          <w:rFonts w:ascii="Times New Roman" w:hAnsi="Times New Roman"/>
          <w:sz w:val="24"/>
        </w:rPr>
        <w:t>et d’assainissement dans la mise en œuvre de la SCRP3.</w:t>
      </w:r>
      <w:r>
        <w:rPr>
          <w:rFonts w:ascii="Times New Roman" w:hAnsi="Times New Roman"/>
          <w:sz w:val="24"/>
        </w:rPr>
        <w:t xml:space="preserve"> Aussi, les ressources allouées aux infrastructures productives ont également augmenté passant de 16,7%  sur la période 2007-2009 à 24,3% sur la période 2011-2013. Cette orientation des dépenses publiques semble donc donner plus de priorité aux secteurs sociaux pour l’atteinte des objectifs du millénaire. </w:t>
      </w:r>
    </w:p>
    <w:p w:rsidR="007F1584" w:rsidRDefault="007F1584" w:rsidP="007F1584">
      <w:pPr>
        <w:tabs>
          <w:tab w:val="num" w:pos="720"/>
        </w:tabs>
        <w:spacing w:line="276" w:lineRule="auto"/>
        <w:rPr>
          <w:rFonts w:ascii="Times New Roman" w:hAnsi="Times New Roman"/>
          <w:b/>
          <w:sz w:val="24"/>
        </w:rPr>
      </w:pPr>
    </w:p>
    <w:tbl>
      <w:tblPr>
        <w:tblW w:w="5000" w:type="pct"/>
        <w:tblBorders>
          <w:top w:val="single" w:sz="8" w:space="0" w:color="4F81BD"/>
          <w:bottom w:val="single" w:sz="8" w:space="0" w:color="4F81BD"/>
        </w:tblBorders>
        <w:tblLook w:val="04A0" w:firstRow="1" w:lastRow="0" w:firstColumn="1" w:lastColumn="0" w:noHBand="0" w:noVBand="1"/>
      </w:tblPr>
      <w:tblGrid>
        <w:gridCol w:w="3514"/>
        <w:gridCol w:w="1832"/>
        <w:gridCol w:w="1830"/>
        <w:gridCol w:w="2112"/>
      </w:tblGrid>
      <w:tr w:rsidR="004D6E98" w:rsidRPr="004D6E98" w:rsidTr="009E4C1C">
        <w:trPr>
          <w:trHeight w:val="20"/>
        </w:trPr>
        <w:tc>
          <w:tcPr>
            <w:tcW w:w="5000" w:type="pct"/>
            <w:gridSpan w:val="4"/>
            <w:tcBorders>
              <w:top w:val="nil"/>
              <w:left w:val="nil"/>
              <w:bottom w:val="double" w:sz="4" w:space="0" w:color="auto"/>
              <w:right w:val="nil"/>
            </w:tcBorders>
            <w:shd w:val="clear" w:color="auto" w:fill="92CDDC" w:themeFill="accent5" w:themeFillTint="99"/>
            <w:noWrap/>
            <w:hideMark/>
          </w:tcPr>
          <w:p w:rsidR="004D6E98" w:rsidRPr="004D6E98" w:rsidRDefault="004D6E98" w:rsidP="004D6E98">
            <w:pPr>
              <w:keepNext/>
              <w:keepLines/>
              <w:spacing w:line="240" w:lineRule="auto"/>
              <w:jc w:val="left"/>
              <w:rPr>
                <w:rFonts w:ascii="Times New Roman" w:eastAsia="Times New Roman" w:hAnsi="Times New Roman"/>
                <w:bCs/>
                <w:color w:val="000000"/>
                <w:lang w:eastAsia="fr-FR"/>
              </w:rPr>
            </w:pPr>
            <w:r w:rsidRPr="004D6E98">
              <w:rPr>
                <w:rFonts w:ascii="Times New Roman" w:hAnsi="Times New Roman"/>
              </w:rPr>
              <w:t xml:space="preserve">Tableau 0. </w:t>
            </w:r>
            <w:r w:rsidR="00182C97" w:rsidRPr="004D6E98">
              <w:rPr>
                <w:rFonts w:ascii="Times New Roman" w:hAnsi="Times New Roman"/>
              </w:rPr>
              <w:fldChar w:fldCharType="begin"/>
            </w:r>
            <w:r w:rsidRPr="004D6E98">
              <w:rPr>
                <w:rFonts w:ascii="Times New Roman" w:hAnsi="Times New Roman"/>
              </w:rPr>
              <w:instrText xml:space="preserve"> SEQ Tableau_0. \* ARABIC </w:instrText>
            </w:r>
            <w:r w:rsidR="00182C97" w:rsidRPr="004D6E98">
              <w:rPr>
                <w:rFonts w:ascii="Times New Roman" w:hAnsi="Times New Roman"/>
              </w:rPr>
              <w:fldChar w:fldCharType="separate"/>
            </w:r>
            <w:r w:rsidR="00AB1967">
              <w:rPr>
                <w:rFonts w:ascii="Times New Roman" w:hAnsi="Times New Roman"/>
                <w:noProof/>
              </w:rPr>
              <w:t>6</w:t>
            </w:r>
            <w:r w:rsidR="00182C97" w:rsidRPr="004D6E98">
              <w:rPr>
                <w:rFonts w:ascii="Times New Roman" w:hAnsi="Times New Roman"/>
              </w:rPr>
              <w:fldChar w:fldCharType="end"/>
            </w:r>
            <w:r w:rsidRPr="004D6E98">
              <w:rPr>
                <w:rFonts w:ascii="Times New Roman" w:hAnsi="Times New Roman"/>
              </w:rPr>
              <w:t>: Répartition sectorielle des allocations budgétaires (en % du total budget hors amortissement de la dette)</w:t>
            </w:r>
          </w:p>
        </w:tc>
      </w:tr>
      <w:tr w:rsidR="007F1584" w:rsidRPr="00796198" w:rsidTr="009E4C1C">
        <w:trPr>
          <w:trHeight w:val="20"/>
        </w:trPr>
        <w:tc>
          <w:tcPr>
            <w:tcW w:w="1899" w:type="pct"/>
            <w:tcBorders>
              <w:top w:val="double" w:sz="4" w:space="0" w:color="auto"/>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p>
        </w:tc>
        <w:tc>
          <w:tcPr>
            <w:tcW w:w="983" w:type="pct"/>
            <w:tcBorders>
              <w:top w:val="double" w:sz="4" w:space="0" w:color="auto"/>
              <w:left w:val="nil"/>
              <w:bottom w:val="nil"/>
              <w:right w:val="nil"/>
            </w:tcBorders>
            <w:shd w:val="clear" w:color="auto" w:fill="DAEEF3" w:themeFill="accent5" w:themeFillTint="33"/>
            <w:noWrap/>
            <w:vAlign w:val="center"/>
            <w:hideMark/>
          </w:tcPr>
          <w:p w:rsidR="007F1584" w:rsidRPr="00A80DED" w:rsidRDefault="007F1584" w:rsidP="00224ADE">
            <w:pPr>
              <w:keepNext/>
              <w:keepLines/>
              <w:spacing w:line="240" w:lineRule="auto"/>
              <w:jc w:val="center"/>
              <w:rPr>
                <w:rFonts w:ascii="Times New Roman" w:eastAsia="Times New Roman" w:hAnsi="Times New Roman"/>
                <w:bCs/>
                <w:color w:val="000000"/>
                <w:lang w:eastAsia="fr-FR"/>
              </w:rPr>
            </w:pPr>
            <w:r w:rsidRPr="00A80DED">
              <w:rPr>
                <w:rFonts w:ascii="Times New Roman" w:eastAsia="Times New Roman" w:hAnsi="Times New Roman"/>
                <w:bCs/>
                <w:color w:val="000000"/>
                <w:lang w:eastAsia="fr-FR"/>
              </w:rPr>
              <w:t>Réal. SCRP2</w:t>
            </w:r>
          </w:p>
        </w:tc>
        <w:tc>
          <w:tcPr>
            <w:tcW w:w="982" w:type="pct"/>
            <w:tcBorders>
              <w:top w:val="double" w:sz="4" w:space="0" w:color="auto"/>
              <w:left w:val="nil"/>
              <w:bottom w:val="nil"/>
              <w:right w:val="nil"/>
            </w:tcBorders>
            <w:shd w:val="clear" w:color="auto" w:fill="DAEEF3" w:themeFill="accent5" w:themeFillTint="33"/>
            <w:noWrap/>
            <w:vAlign w:val="center"/>
            <w:hideMark/>
          </w:tcPr>
          <w:p w:rsidR="007F1584" w:rsidRPr="00A80DED" w:rsidRDefault="007F1584" w:rsidP="00224ADE">
            <w:pPr>
              <w:keepNext/>
              <w:keepLines/>
              <w:spacing w:line="240" w:lineRule="auto"/>
              <w:jc w:val="center"/>
              <w:rPr>
                <w:rFonts w:ascii="Times New Roman" w:eastAsia="Times New Roman" w:hAnsi="Times New Roman"/>
                <w:bCs/>
                <w:color w:val="000000"/>
                <w:lang w:eastAsia="fr-FR"/>
              </w:rPr>
            </w:pPr>
            <w:r w:rsidRPr="00A80DED">
              <w:rPr>
                <w:rFonts w:ascii="Times New Roman" w:eastAsia="Times New Roman" w:hAnsi="Times New Roman"/>
                <w:bCs/>
                <w:color w:val="000000"/>
                <w:lang w:eastAsia="fr-FR"/>
              </w:rPr>
              <w:t>Réal. 2010</w:t>
            </w:r>
          </w:p>
        </w:tc>
        <w:tc>
          <w:tcPr>
            <w:tcW w:w="1136" w:type="pct"/>
            <w:tcBorders>
              <w:top w:val="double" w:sz="4" w:space="0" w:color="auto"/>
              <w:left w:val="nil"/>
              <w:bottom w:val="nil"/>
              <w:right w:val="nil"/>
            </w:tcBorders>
            <w:shd w:val="clear" w:color="auto" w:fill="DAEEF3" w:themeFill="accent5" w:themeFillTint="33"/>
            <w:noWrap/>
            <w:vAlign w:val="center"/>
            <w:hideMark/>
          </w:tcPr>
          <w:p w:rsidR="007F1584" w:rsidRPr="00A80DED" w:rsidRDefault="007F1584" w:rsidP="00224ADE">
            <w:pPr>
              <w:keepNext/>
              <w:keepLines/>
              <w:spacing w:line="240" w:lineRule="auto"/>
              <w:jc w:val="center"/>
              <w:rPr>
                <w:rFonts w:ascii="Times New Roman" w:eastAsia="Times New Roman" w:hAnsi="Times New Roman"/>
                <w:bCs/>
                <w:color w:val="000000"/>
                <w:lang w:eastAsia="fr-FR"/>
              </w:rPr>
            </w:pPr>
            <w:r w:rsidRPr="00A80DED">
              <w:rPr>
                <w:rFonts w:ascii="Times New Roman" w:eastAsia="Times New Roman" w:hAnsi="Times New Roman"/>
                <w:bCs/>
                <w:color w:val="000000"/>
                <w:lang w:eastAsia="fr-FR"/>
              </w:rPr>
              <w:t>Proj. SCRP3</w:t>
            </w:r>
          </w:p>
        </w:tc>
      </w:tr>
      <w:tr w:rsidR="007F1584" w:rsidRPr="00796198" w:rsidTr="00487A05">
        <w:trPr>
          <w:trHeight w:val="20"/>
        </w:trPr>
        <w:tc>
          <w:tcPr>
            <w:tcW w:w="1899" w:type="pct"/>
            <w:tcBorders>
              <w:top w:val="nil"/>
              <w:left w:val="nil"/>
              <w:bottom w:val="single" w:sz="4" w:space="0" w:color="000000"/>
              <w:right w:val="nil"/>
            </w:tcBorders>
            <w:shd w:val="clear" w:color="auto" w:fill="DAEEF3" w:themeFill="accent5" w:themeFillTint="33"/>
            <w:noWrap/>
            <w:vAlign w:val="center"/>
            <w:hideMark/>
          </w:tcPr>
          <w:p w:rsidR="007F1584" w:rsidRPr="00796198" w:rsidRDefault="007F1584" w:rsidP="00224ADE">
            <w:pPr>
              <w:keepNext/>
              <w:keepLines/>
              <w:spacing w:line="240" w:lineRule="auto"/>
              <w:jc w:val="center"/>
              <w:rPr>
                <w:rFonts w:ascii="Times New Roman" w:eastAsia="Times New Roman" w:hAnsi="Times New Roman"/>
                <w:b/>
                <w:bCs/>
                <w:color w:val="365F91"/>
                <w:lang w:eastAsia="fr-FR"/>
              </w:rPr>
            </w:pPr>
          </w:p>
        </w:tc>
        <w:tc>
          <w:tcPr>
            <w:tcW w:w="983" w:type="pct"/>
            <w:tcBorders>
              <w:top w:val="nil"/>
              <w:left w:val="nil"/>
              <w:bottom w:val="single" w:sz="4" w:space="0" w:color="000000"/>
              <w:right w:val="nil"/>
            </w:tcBorders>
            <w:shd w:val="clear" w:color="auto" w:fill="DAEEF3" w:themeFill="accent5" w:themeFillTint="33"/>
            <w:noWrap/>
            <w:vAlign w:val="center"/>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2007-2009</w:t>
            </w:r>
          </w:p>
        </w:tc>
        <w:tc>
          <w:tcPr>
            <w:tcW w:w="982" w:type="pct"/>
            <w:tcBorders>
              <w:top w:val="nil"/>
              <w:left w:val="nil"/>
              <w:bottom w:val="single" w:sz="4" w:space="0" w:color="000000"/>
              <w:right w:val="nil"/>
            </w:tcBorders>
            <w:shd w:val="clear" w:color="auto" w:fill="DAEEF3" w:themeFill="accent5" w:themeFillTint="33"/>
            <w:noWrap/>
            <w:vAlign w:val="center"/>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2010</w:t>
            </w:r>
          </w:p>
        </w:tc>
        <w:tc>
          <w:tcPr>
            <w:tcW w:w="1136" w:type="pct"/>
            <w:tcBorders>
              <w:top w:val="nil"/>
              <w:left w:val="nil"/>
              <w:bottom w:val="single" w:sz="4" w:space="0" w:color="000000"/>
              <w:right w:val="nil"/>
            </w:tcBorders>
            <w:shd w:val="clear" w:color="auto" w:fill="DAEEF3" w:themeFill="accent5" w:themeFillTint="33"/>
            <w:vAlign w:val="center"/>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2011-2015</w:t>
            </w:r>
          </w:p>
        </w:tc>
      </w:tr>
      <w:tr w:rsidR="007F1584" w:rsidRPr="00796198" w:rsidTr="00487A05">
        <w:trPr>
          <w:trHeight w:val="20"/>
        </w:trPr>
        <w:tc>
          <w:tcPr>
            <w:tcW w:w="1899" w:type="pct"/>
            <w:tcBorders>
              <w:top w:val="single" w:sz="4" w:space="0" w:color="000000"/>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Secteurs sociaux</w:t>
            </w:r>
          </w:p>
        </w:tc>
        <w:tc>
          <w:tcPr>
            <w:tcW w:w="983" w:type="pct"/>
            <w:tcBorders>
              <w:top w:val="single" w:sz="4" w:space="0" w:color="000000"/>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25,4</w:t>
            </w:r>
          </w:p>
        </w:tc>
        <w:tc>
          <w:tcPr>
            <w:tcW w:w="982" w:type="pct"/>
            <w:tcBorders>
              <w:top w:val="single" w:sz="4" w:space="0" w:color="000000"/>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31,9</w:t>
            </w:r>
          </w:p>
        </w:tc>
        <w:tc>
          <w:tcPr>
            <w:tcW w:w="1136" w:type="pct"/>
            <w:tcBorders>
              <w:top w:val="single" w:sz="4" w:space="0" w:color="000000"/>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33,8</w:t>
            </w:r>
          </w:p>
        </w:tc>
      </w:tr>
      <w:tr w:rsidR="007F1584" w:rsidRPr="00796198" w:rsidTr="00487A05">
        <w:trPr>
          <w:trHeight w:val="20"/>
        </w:trPr>
        <w:tc>
          <w:tcPr>
            <w:tcW w:w="1899" w:type="pct"/>
            <w:tcBorders>
              <w:top w:val="nil"/>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ind w:firstLineChars="100" w:firstLine="220"/>
              <w:rPr>
                <w:rFonts w:ascii="Times New Roman" w:eastAsia="Times New Roman" w:hAnsi="Times New Roman"/>
                <w:b/>
                <w:bCs/>
                <w:color w:val="000000"/>
                <w:lang w:eastAsia="fr-FR"/>
              </w:rPr>
            </w:pPr>
            <w:r w:rsidRPr="00796198">
              <w:rPr>
                <w:rFonts w:ascii="Times New Roman" w:eastAsia="Times New Roman" w:hAnsi="Times New Roman"/>
                <w:bCs/>
                <w:color w:val="000000"/>
                <w:lang w:eastAsia="fr-FR"/>
              </w:rPr>
              <w:t>Education</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17,3</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24,6</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17,9</w:t>
            </w:r>
          </w:p>
        </w:tc>
      </w:tr>
      <w:tr w:rsidR="007F1584" w:rsidRPr="00796198" w:rsidTr="00487A05">
        <w:trPr>
          <w:trHeight w:val="20"/>
        </w:trPr>
        <w:tc>
          <w:tcPr>
            <w:tcW w:w="1899" w:type="pct"/>
            <w:tcBorders>
              <w:top w:val="nil"/>
              <w:bottom w:val="nil"/>
              <w:right w:val="nil"/>
            </w:tcBorders>
            <w:shd w:val="clear" w:color="auto" w:fill="DAEEF3" w:themeFill="accent5" w:themeFillTint="33"/>
            <w:noWrap/>
            <w:hideMark/>
          </w:tcPr>
          <w:p w:rsidR="007F1584" w:rsidRPr="00796198" w:rsidRDefault="007F1584" w:rsidP="00224ADE">
            <w:pPr>
              <w:keepNext/>
              <w:keepLines/>
              <w:spacing w:line="240" w:lineRule="auto"/>
              <w:ind w:firstLineChars="100" w:firstLine="220"/>
              <w:rPr>
                <w:rFonts w:ascii="Times New Roman" w:eastAsia="Times New Roman" w:hAnsi="Times New Roman"/>
                <w:b/>
                <w:bCs/>
                <w:color w:val="000000"/>
                <w:lang w:eastAsia="fr-FR"/>
              </w:rPr>
            </w:pPr>
            <w:r w:rsidRPr="00796198">
              <w:rPr>
                <w:rFonts w:ascii="Times New Roman" w:eastAsia="Times New Roman" w:hAnsi="Times New Roman"/>
                <w:bCs/>
                <w:color w:val="000000"/>
                <w:lang w:eastAsia="fr-FR"/>
              </w:rPr>
              <w:t>Santé</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6,5</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6,0</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13,4</w:t>
            </w:r>
          </w:p>
        </w:tc>
      </w:tr>
      <w:tr w:rsidR="007F1584" w:rsidRPr="00796198" w:rsidTr="00487A05">
        <w:trPr>
          <w:trHeight w:val="20"/>
        </w:trPr>
        <w:tc>
          <w:tcPr>
            <w:tcW w:w="1899" w:type="pct"/>
            <w:tcBorders>
              <w:top w:val="nil"/>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ind w:firstLineChars="100" w:firstLine="220"/>
              <w:rPr>
                <w:rFonts w:ascii="Times New Roman" w:eastAsia="Times New Roman" w:hAnsi="Times New Roman"/>
                <w:b/>
                <w:bCs/>
                <w:color w:val="000000"/>
                <w:lang w:eastAsia="fr-FR"/>
              </w:rPr>
            </w:pPr>
            <w:r w:rsidRPr="00796198">
              <w:rPr>
                <w:rFonts w:ascii="Times New Roman" w:eastAsia="Times New Roman" w:hAnsi="Times New Roman"/>
                <w:bCs/>
                <w:color w:val="000000"/>
                <w:lang w:eastAsia="fr-FR"/>
              </w:rPr>
              <w:t>Développement Social et Culturel</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1,6</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1,3</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2,4</w:t>
            </w:r>
          </w:p>
        </w:tc>
      </w:tr>
      <w:tr w:rsidR="007F1584" w:rsidRPr="00796198" w:rsidTr="00487A05">
        <w:trPr>
          <w:trHeight w:val="20"/>
        </w:trPr>
        <w:tc>
          <w:tcPr>
            <w:tcW w:w="1899" w:type="pct"/>
            <w:tcBorders>
              <w:top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Production et commerce</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9,9</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5,1</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12,3</w:t>
            </w:r>
          </w:p>
        </w:tc>
      </w:tr>
      <w:tr w:rsidR="007F1584" w:rsidRPr="00796198" w:rsidTr="00487A05">
        <w:trPr>
          <w:trHeight w:val="20"/>
        </w:trPr>
        <w:tc>
          <w:tcPr>
            <w:tcW w:w="1899" w:type="pct"/>
            <w:tcBorders>
              <w:top w:val="nil"/>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Infrastructures Productives</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16,7</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14,3</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24,3</w:t>
            </w:r>
          </w:p>
        </w:tc>
      </w:tr>
      <w:tr w:rsidR="007F1584" w:rsidRPr="00796198" w:rsidTr="00487A05">
        <w:trPr>
          <w:trHeight w:val="20"/>
        </w:trPr>
        <w:tc>
          <w:tcPr>
            <w:tcW w:w="1899" w:type="pct"/>
            <w:tcBorders>
              <w:top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Gouvernance</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8,0</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6,4</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7,0</w:t>
            </w:r>
          </w:p>
        </w:tc>
      </w:tr>
      <w:tr w:rsidR="007F1584" w:rsidRPr="00796198" w:rsidTr="00487A05">
        <w:trPr>
          <w:trHeight w:val="20"/>
        </w:trPr>
        <w:tc>
          <w:tcPr>
            <w:tcW w:w="1899" w:type="pct"/>
            <w:tcBorders>
              <w:top w:val="nil"/>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ind w:firstLineChars="100" w:firstLine="220"/>
              <w:rPr>
                <w:rFonts w:ascii="Times New Roman" w:eastAsia="Times New Roman" w:hAnsi="Times New Roman"/>
                <w:b/>
                <w:bCs/>
                <w:color w:val="000000"/>
                <w:lang w:eastAsia="fr-FR"/>
              </w:rPr>
            </w:pPr>
            <w:r w:rsidRPr="00796198">
              <w:rPr>
                <w:rFonts w:ascii="Times New Roman" w:eastAsia="Times New Roman" w:hAnsi="Times New Roman"/>
                <w:bCs/>
                <w:color w:val="000000"/>
                <w:lang w:eastAsia="fr-FR"/>
              </w:rPr>
              <w:t>Politique</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2,9</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3,0</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1,2</w:t>
            </w:r>
          </w:p>
        </w:tc>
      </w:tr>
      <w:tr w:rsidR="007F1584" w:rsidRPr="00796198" w:rsidTr="00487A05">
        <w:trPr>
          <w:trHeight w:val="20"/>
        </w:trPr>
        <w:tc>
          <w:tcPr>
            <w:tcW w:w="1899" w:type="pct"/>
            <w:tcBorders>
              <w:top w:val="nil"/>
              <w:bottom w:val="nil"/>
              <w:right w:val="nil"/>
            </w:tcBorders>
            <w:shd w:val="clear" w:color="auto" w:fill="DAEEF3" w:themeFill="accent5" w:themeFillTint="33"/>
            <w:noWrap/>
            <w:hideMark/>
          </w:tcPr>
          <w:p w:rsidR="007F1584" w:rsidRPr="00796198" w:rsidRDefault="007F1584" w:rsidP="00224ADE">
            <w:pPr>
              <w:keepNext/>
              <w:keepLines/>
              <w:spacing w:line="240" w:lineRule="auto"/>
              <w:ind w:firstLineChars="100" w:firstLine="220"/>
              <w:rPr>
                <w:rFonts w:ascii="Times New Roman" w:eastAsia="Times New Roman" w:hAnsi="Times New Roman"/>
                <w:b/>
                <w:bCs/>
                <w:color w:val="000000"/>
                <w:lang w:eastAsia="fr-FR"/>
              </w:rPr>
            </w:pPr>
            <w:r w:rsidRPr="00796198">
              <w:rPr>
                <w:rFonts w:ascii="Times New Roman" w:eastAsia="Times New Roman" w:hAnsi="Times New Roman"/>
                <w:bCs/>
                <w:color w:val="000000"/>
                <w:lang w:eastAsia="fr-FR"/>
              </w:rPr>
              <w:t>Economique</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5,1</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3,4</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5,8</w:t>
            </w:r>
          </w:p>
        </w:tc>
      </w:tr>
      <w:tr w:rsidR="007F1584" w:rsidRPr="00796198" w:rsidTr="00487A05">
        <w:trPr>
          <w:trHeight w:val="20"/>
        </w:trPr>
        <w:tc>
          <w:tcPr>
            <w:tcW w:w="1899" w:type="pct"/>
            <w:tcBorders>
              <w:top w:val="nil"/>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Défense et Sécurité</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8,7</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8,4</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4,0</w:t>
            </w:r>
          </w:p>
        </w:tc>
      </w:tr>
      <w:tr w:rsidR="007F1584" w:rsidRPr="00796198" w:rsidTr="00487A05">
        <w:trPr>
          <w:trHeight w:val="20"/>
        </w:trPr>
        <w:tc>
          <w:tcPr>
            <w:tcW w:w="1899" w:type="pct"/>
            <w:tcBorders>
              <w:top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Souveraineté</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3,8</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4,3</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2,5</w:t>
            </w:r>
          </w:p>
        </w:tc>
      </w:tr>
      <w:tr w:rsidR="007F1584" w:rsidRPr="00796198" w:rsidTr="00487A05">
        <w:trPr>
          <w:trHeight w:val="20"/>
        </w:trPr>
        <w:tc>
          <w:tcPr>
            <w:tcW w:w="1899" w:type="pct"/>
            <w:tcBorders>
              <w:top w:val="nil"/>
              <w:left w:val="nil"/>
              <w:bottom w:val="nil"/>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Total Ministères et institutions</w:t>
            </w:r>
          </w:p>
        </w:tc>
        <w:tc>
          <w:tcPr>
            <w:tcW w:w="983"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72,5</w:t>
            </w:r>
          </w:p>
        </w:tc>
        <w:tc>
          <w:tcPr>
            <w:tcW w:w="982"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70,4</w:t>
            </w:r>
          </w:p>
        </w:tc>
        <w:tc>
          <w:tcPr>
            <w:tcW w:w="1136" w:type="pct"/>
            <w:tcBorders>
              <w:top w:val="nil"/>
              <w:left w:val="nil"/>
              <w:bottom w:val="nil"/>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83,8</w:t>
            </w:r>
          </w:p>
        </w:tc>
      </w:tr>
      <w:tr w:rsidR="007F1584" w:rsidRPr="00796198" w:rsidTr="00487A05">
        <w:trPr>
          <w:trHeight w:val="20"/>
        </w:trPr>
        <w:tc>
          <w:tcPr>
            <w:tcW w:w="1899" w:type="pct"/>
            <w:tcBorders>
              <w:top w:val="nil"/>
              <w:bottom w:val="single" w:sz="4" w:space="0" w:color="000000"/>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Autres budgets</w:t>
            </w:r>
          </w:p>
        </w:tc>
        <w:tc>
          <w:tcPr>
            <w:tcW w:w="983" w:type="pct"/>
            <w:tcBorders>
              <w:top w:val="nil"/>
              <w:left w:val="nil"/>
              <w:bottom w:val="single" w:sz="4" w:space="0" w:color="000000"/>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27,5</w:t>
            </w:r>
          </w:p>
        </w:tc>
        <w:tc>
          <w:tcPr>
            <w:tcW w:w="982" w:type="pct"/>
            <w:tcBorders>
              <w:top w:val="nil"/>
              <w:left w:val="nil"/>
              <w:bottom w:val="single" w:sz="4" w:space="0" w:color="000000"/>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29,6</w:t>
            </w:r>
          </w:p>
        </w:tc>
        <w:tc>
          <w:tcPr>
            <w:tcW w:w="1136" w:type="pct"/>
            <w:tcBorders>
              <w:top w:val="nil"/>
              <w:left w:val="nil"/>
              <w:bottom w:val="single" w:sz="4" w:space="0" w:color="000000"/>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
                <w:bCs/>
                <w:lang w:eastAsia="fr-FR"/>
              </w:rPr>
            </w:pPr>
            <w:r w:rsidRPr="00A80DED">
              <w:rPr>
                <w:rFonts w:ascii="Times New Roman" w:eastAsia="Times New Roman" w:hAnsi="Times New Roman"/>
                <w:b/>
                <w:bCs/>
                <w:lang w:eastAsia="fr-FR"/>
              </w:rPr>
              <w:t>26,2</w:t>
            </w:r>
          </w:p>
        </w:tc>
      </w:tr>
      <w:tr w:rsidR="007F1584" w:rsidRPr="00796198" w:rsidTr="00487A05">
        <w:trPr>
          <w:trHeight w:val="20"/>
        </w:trPr>
        <w:tc>
          <w:tcPr>
            <w:tcW w:w="1899" w:type="pct"/>
            <w:tcBorders>
              <w:top w:val="single" w:sz="4" w:space="0" w:color="000000"/>
              <w:left w:val="nil"/>
              <w:bottom w:val="double" w:sz="4" w:space="0" w:color="auto"/>
              <w:right w:val="nil"/>
            </w:tcBorders>
            <w:shd w:val="clear" w:color="auto" w:fill="DAEEF3" w:themeFill="accent5" w:themeFillTint="33"/>
            <w:noWrap/>
            <w:hideMark/>
          </w:tcPr>
          <w:p w:rsidR="007F1584" w:rsidRPr="00796198" w:rsidRDefault="007F1584" w:rsidP="00224ADE">
            <w:pPr>
              <w:keepNext/>
              <w:keepLines/>
              <w:spacing w:line="240" w:lineRule="auto"/>
              <w:rPr>
                <w:rFonts w:ascii="Times New Roman" w:eastAsia="Times New Roman" w:hAnsi="Times New Roman"/>
                <w:b/>
                <w:bCs/>
                <w:color w:val="000000"/>
                <w:lang w:eastAsia="fr-FR"/>
              </w:rPr>
            </w:pPr>
            <w:r w:rsidRPr="00796198">
              <w:rPr>
                <w:rFonts w:ascii="Times New Roman" w:eastAsia="Times New Roman" w:hAnsi="Times New Roman"/>
                <w:b/>
                <w:bCs/>
                <w:color w:val="000000"/>
                <w:lang w:eastAsia="fr-FR"/>
              </w:rPr>
              <w:t>Total Budget</w:t>
            </w:r>
          </w:p>
        </w:tc>
        <w:tc>
          <w:tcPr>
            <w:tcW w:w="983" w:type="pct"/>
            <w:tcBorders>
              <w:top w:val="single" w:sz="4" w:space="0" w:color="000000"/>
              <w:left w:val="nil"/>
              <w:bottom w:val="double" w:sz="4" w:space="0" w:color="auto"/>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Cs/>
                <w:lang w:eastAsia="fr-FR"/>
              </w:rPr>
            </w:pPr>
            <w:r w:rsidRPr="00A80DED">
              <w:rPr>
                <w:rFonts w:ascii="Times New Roman" w:eastAsia="Times New Roman" w:hAnsi="Times New Roman"/>
                <w:bCs/>
                <w:lang w:eastAsia="fr-FR"/>
              </w:rPr>
              <w:t>100,0</w:t>
            </w:r>
          </w:p>
        </w:tc>
        <w:tc>
          <w:tcPr>
            <w:tcW w:w="982" w:type="pct"/>
            <w:tcBorders>
              <w:top w:val="single" w:sz="4" w:space="0" w:color="000000"/>
              <w:left w:val="nil"/>
              <w:bottom w:val="double" w:sz="4" w:space="0" w:color="auto"/>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Cs/>
                <w:lang w:eastAsia="fr-FR"/>
              </w:rPr>
            </w:pPr>
            <w:r w:rsidRPr="00A80DED">
              <w:rPr>
                <w:rFonts w:ascii="Times New Roman" w:eastAsia="Times New Roman" w:hAnsi="Times New Roman"/>
                <w:bCs/>
                <w:lang w:eastAsia="fr-FR"/>
              </w:rPr>
              <w:t>100,0</w:t>
            </w:r>
          </w:p>
        </w:tc>
        <w:tc>
          <w:tcPr>
            <w:tcW w:w="1136" w:type="pct"/>
            <w:tcBorders>
              <w:top w:val="single" w:sz="4" w:space="0" w:color="000000"/>
              <w:left w:val="nil"/>
              <w:bottom w:val="double" w:sz="4" w:space="0" w:color="auto"/>
              <w:right w:val="nil"/>
            </w:tcBorders>
            <w:shd w:val="clear" w:color="auto" w:fill="DAEEF3" w:themeFill="accent5" w:themeFillTint="33"/>
            <w:hideMark/>
          </w:tcPr>
          <w:p w:rsidR="007F1584" w:rsidRPr="00A80DED" w:rsidRDefault="007F1584" w:rsidP="00224ADE">
            <w:pPr>
              <w:keepNext/>
              <w:keepLines/>
              <w:spacing w:line="240" w:lineRule="auto"/>
              <w:jc w:val="center"/>
              <w:rPr>
                <w:rFonts w:ascii="Times New Roman" w:eastAsia="Times New Roman" w:hAnsi="Times New Roman"/>
                <w:bCs/>
                <w:lang w:eastAsia="fr-FR"/>
              </w:rPr>
            </w:pPr>
            <w:r w:rsidRPr="00A80DED">
              <w:rPr>
                <w:rFonts w:ascii="Times New Roman" w:eastAsia="Times New Roman" w:hAnsi="Times New Roman"/>
                <w:bCs/>
                <w:lang w:eastAsia="fr-FR"/>
              </w:rPr>
              <w:t>100,0</w:t>
            </w:r>
          </w:p>
        </w:tc>
      </w:tr>
      <w:tr w:rsidR="00487A05" w:rsidRPr="00796198" w:rsidTr="00487A05">
        <w:trPr>
          <w:trHeight w:val="20"/>
        </w:trPr>
        <w:tc>
          <w:tcPr>
            <w:tcW w:w="5000" w:type="pct"/>
            <w:gridSpan w:val="4"/>
            <w:tcBorders>
              <w:top w:val="double" w:sz="4" w:space="0" w:color="auto"/>
              <w:left w:val="nil"/>
              <w:bottom w:val="nil"/>
              <w:right w:val="nil"/>
            </w:tcBorders>
            <w:shd w:val="clear" w:color="auto" w:fill="DAEEF3" w:themeFill="accent5" w:themeFillTint="33"/>
            <w:noWrap/>
            <w:hideMark/>
          </w:tcPr>
          <w:p w:rsidR="00487A05" w:rsidRPr="00487A05" w:rsidRDefault="00487A05" w:rsidP="00487A05">
            <w:pPr>
              <w:keepNext/>
              <w:keepLines/>
              <w:spacing w:line="240" w:lineRule="auto"/>
              <w:rPr>
                <w:rFonts w:ascii="Times New Roman" w:hAnsi="Times New Roman"/>
              </w:rPr>
            </w:pPr>
            <w:r>
              <w:rPr>
                <w:rFonts w:ascii="Times New Roman" w:hAnsi="Times New Roman"/>
              </w:rPr>
              <w:t>Source : SCRP3, mars 2011</w:t>
            </w:r>
          </w:p>
        </w:tc>
      </w:tr>
    </w:tbl>
    <w:p w:rsidR="007F1584" w:rsidRDefault="007F1584" w:rsidP="007F1584">
      <w:pPr>
        <w:tabs>
          <w:tab w:val="num" w:pos="720"/>
        </w:tabs>
        <w:spacing w:line="276" w:lineRule="auto"/>
        <w:rPr>
          <w:rFonts w:ascii="Times New Roman" w:hAnsi="Times New Roman"/>
          <w:b/>
          <w:sz w:val="24"/>
        </w:rPr>
      </w:pPr>
    </w:p>
    <w:p w:rsidR="007F1584" w:rsidRDefault="007F1584" w:rsidP="007F1584">
      <w:pPr>
        <w:tabs>
          <w:tab w:val="num" w:pos="720"/>
        </w:tabs>
        <w:spacing w:line="276" w:lineRule="auto"/>
        <w:rPr>
          <w:rFonts w:ascii="Times New Roman" w:hAnsi="Times New Roman"/>
          <w:sz w:val="24"/>
        </w:rPr>
      </w:pPr>
      <w:r w:rsidRPr="00CB197E">
        <w:rPr>
          <w:rFonts w:ascii="Times New Roman" w:hAnsi="Times New Roman"/>
          <w:sz w:val="24"/>
        </w:rPr>
        <w:t xml:space="preserve">Globalement, </w:t>
      </w:r>
      <w:r>
        <w:rPr>
          <w:rFonts w:ascii="Times New Roman" w:hAnsi="Times New Roman"/>
          <w:sz w:val="24"/>
        </w:rPr>
        <w:t>le taux d’exécution des dépenses sociales reste relativement élevé. A fin décembre 2011, il est estimé à</w:t>
      </w:r>
      <w:r w:rsidRPr="00CB197E">
        <w:rPr>
          <w:rFonts w:ascii="Times New Roman" w:hAnsi="Times New Roman"/>
          <w:sz w:val="24"/>
        </w:rPr>
        <w:t xml:space="preserve"> 74,6%. Pour pallier les difficultés rencontr</w:t>
      </w:r>
      <w:r>
        <w:rPr>
          <w:rFonts w:ascii="Times New Roman" w:hAnsi="Times New Roman"/>
          <w:sz w:val="24"/>
        </w:rPr>
        <w:t xml:space="preserve">ées </w:t>
      </w:r>
      <w:r w:rsidRPr="00CB197E">
        <w:rPr>
          <w:rFonts w:ascii="Times New Roman" w:hAnsi="Times New Roman"/>
          <w:sz w:val="24"/>
        </w:rPr>
        <w:t xml:space="preserve">dans la mise en œuvre au cours de l’année 2011 et en vue de porter le taux d’exécution à 100% à fin décembre 2012, le suivi de l’exécution desdites dépenses </w:t>
      </w:r>
      <w:r>
        <w:rPr>
          <w:rFonts w:ascii="Times New Roman" w:hAnsi="Times New Roman"/>
          <w:sz w:val="24"/>
        </w:rPr>
        <w:t xml:space="preserve">a été renforcé </w:t>
      </w:r>
      <w:r w:rsidRPr="00CB197E">
        <w:rPr>
          <w:rFonts w:ascii="Times New Roman" w:hAnsi="Times New Roman"/>
          <w:sz w:val="24"/>
        </w:rPr>
        <w:t xml:space="preserve">au moyen d’un réseau de points focaux mis en place et coordonné par la Direction </w:t>
      </w:r>
      <w:r>
        <w:rPr>
          <w:rFonts w:ascii="Times New Roman" w:hAnsi="Times New Roman"/>
          <w:sz w:val="24"/>
        </w:rPr>
        <w:t>G</w:t>
      </w:r>
      <w:r w:rsidRPr="00CB197E">
        <w:rPr>
          <w:rFonts w:ascii="Times New Roman" w:hAnsi="Times New Roman"/>
          <w:sz w:val="24"/>
        </w:rPr>
        <w:t xml:space="preserve">énérale du </w:t>
      </w:r>
      <w:r>
        <w:rPr>
          <w:rFonts w:ascii="Times New Roman" w:hAnsi="Times New Roman"/>
          <w:sz w:val="24"/>
        </w:rPr>
        <w:t>B</w:t>
      </w:r>
      <w:r w:rsidRPr="00CB197E">
        <w:rPr>
          <w:rFonts w:ascii="Times New Roman" w:hAnsi="Times New Roman"/>
          <w:sz w:val="24"/>
        </w:rPr>
        <w:t>udget. En complément, les dispositions ont été prises pour s’assurer de la pertinence des lignes budgétaires sélectionnées au regard des objectifs de la SCRP3.</w:t>
      </w:r>
    </w:p>
    <w:p w:rsidR="007F1584" w:rsidRDefault="007F1584" w:rsidP="007F1584">
      <w:pPr>
        <w:spacing w:line="276" w:lineRule="auto"/>
        <w:rPr>
          <w:rFonts w:ascii="Times New Roman" w:hAnsi="Times New Roman"/>
          <w:b/>
          <w:sz w:val="24"/>
        </w:rPr>
      </w:pPr>
    </w:p>
    <w:p w:rsidR="007F1584" w:rsidRPr="003D269E" w:rsidRDefault="007F1584" w:rsidP="007F1584">
      <w:pPr>
        <w:pStyle w:val="T511"/>
        <w:numPr>
          <w:ilvl w:val="0"/>
          <w:numId w:val="0"/>
        </w:numPr>
        <w:spacing w:after="0"/>
        <w:rPr>
          <w:b w:val="0"/>
        </w:rPr>
      </w:pPr>
      <w:r w:rsidRPr="003D269E">
        <w:rPr>
          <w:b w:val="0"/>
        </w:rPr>
        <w:t xml:space="preserve">Pour illustrer les effets de quelques mesures de politiques économiques, </w:t>
      </w:r>
      <w:r w:rsidR="00D5133A">
        <w:rPr>
          <w:b w:val="0"/>
        </w:rPr>
        <w:t>quatre</w:t>
      </w:r>
      <w:r w:rsidR="00D5133A" w:rsidRPr="003D269E">
        <w:rPr>
          <w:b w:val="0"/>
        </w:rPr>
        <w:t xml:space="preserve"> </w:t>
      </w:r>
      <w:r w:rsidRPr="003D269E">
        <w:rPr>
          <w:b w:val="0"/>
        </w:rPr>
        <w:t xml:space="preserve">simulations </w:t>
      </w:r>
      <w:r>
        <w:rPr>
          <w:b w:val="0"/>
        </w:rPr>
        <w:t xml:space="preserve">ont </w:t>
      </w:r>
      <w:r w:rsidR="00D5133A">
        <w:rPr>
          <w:b w:val="0"/>
        </w:rPr>
        <w:t xml:space="preserve">été </w:t>
      </w:r>
      <w:r>
        <w:rPr>
          <w:b w:val="0"/>
        </w:rPr>
        <w:t>effectuées</w:t>
      </w:r>
      <w:r w:rsidRPr="003D269E">
        <w:rPr>
          <w:b w:val="0"/>
        </w:rPr>
        <w:t xml:space="preserve">. </w:t>
      </w:r>
      <w:r>
        <w:rPr>
          <w:b w:val="0"/>
        </w:rPr>
        <w:t>Les deux premières</w:t>
      </w:r>
      <w:r w:rsidRPr="003D269E">
        <w:rPr>
          <w:b w:val="0"/>
        </w:rPr>
        <w:t xml:space="preserve"> </w:t>
      </w:r>
      <w:r w:rsidR="00D5133A">
        <w:rPr>
          <w:b w:val="0"/>
        </w:rPr>
        <w:t xml:space="preserve">et la quatrième </w:t>
      </w:r>
      <w:r w:rsidRPr="003D269E">
        <w:rPr>
          <w:b w:val="0"/>
        </w:rPr>
        <w:t>considèrent une hausse de 10% respective des dépenses d’éducation maternelle et primaire ainsi que de santé</w:t>
      </w:r>
      <w:r w:rsidR="00D5133A">
        <w:rPr>
          <w:b w:val="0"/>
        </w:rPr>
        <w:t xml:space="preserve"> et de l’agriculture,</w:t>
      </w:r>
      <w:r w:rsidR="00D5133A" w:rsidRPr="003D269E">
        <w:rPr>
          <w:b w:val="0"/>
        </w:rPr>
        <w:t xml:space="preserve"> </w:t>
      </w:r>
      <w:r w:rsidRPr="003D269E">
        <w:rPr>
          <w:b w:val="0"/>
        </w:rPr>
        <w:t xml:space="preserve">en réduisant </w:t>
      </w:r>
      <w:r w:rsidR="007D3070">
        <w:rPr>
          <w:b w:val="0"/>
        </w:rPr>
        <w:t>proportionnellement</w:t>
      </w:r>
      <w:r w:rsidR="007D3070" w:rsidRPr="003D269E">
        <w:rPr>
          <w:b w:val="0"/>
        </w:rPr>
        <w:t xml:space="preserve"> </w:t>
      </w:r>
      <w:r w:rsidRPr="003D269E">
        <w:rPr>
          <w:b w:val="0"/>
        </w:rPr>
        <w:t>les autres catégories de dépenses publiques afin de maintenir le déficit public constant (par rapport au scénario de base).</w:t>
      </w:r>
      <w:r w:rsidR="00D5133A">
        <w:rPr>
          <w:b w:val="0"/>
        </w:rPr>
        <w:t xml:space="preserve"> </w:t>
      </w:r>
      <w:r>
        <w:rPr>
          <w:b w:val="0"/>
        </w:rPr>
        <w:t>La troisième simulation suppose une hausse de 30% des investissements publics en faveur des infrastructures liées à l’assainissement afin de réaliser l’OMD 7.</w:t>
      </w:r>
    </w:p>
    <w:p w:rsidR="007F1584" w:rsidRDefault="007F1584" w:rsidP="007F1584">
      <w:pPr>
        <w:spacing w:line="276" w:lineRule="auto"/>
        <w:rPr>
          <w:rFonts w:ascii="Times New Roman" w:hAnsi="Times New Roman"/>
          <w:b/>
          <w:sz w:val="24"/>
        </w:rPr>
      </w:pPr>
    </w:p>
    <w:p w:rsidR="007F1584" w:rsidRDefault="007F1584" w:rsidP="007F1584">
      <w:pPr>
        <w:spacing w:line="276" w:lineRule="auto"/>
        <w:rPr>
          <w:rFonts w:ascii="Times New Roman" w:hAnsi="Times New Roman"/>
          <w:sz w:val="24"/>
        </w:rPr>
      </w:pPr>
      <w:r>
        <w:rPr>
          <w:rFonts w:ascii="Times New Roman" w:hAnsi="Times New Roman"/>
          <w:b/>
          <w:sz w:val="24"/>
        </w:rPr>
        <w:t>U</w:t>
      </w:r>
      <w:r w:rsidRPr="00ED4F1D">
        <w:rPr>
          <w:rFonts w:ascii="Times New Roman" w:hAnsi="Times New Roman"/>
          <w:b/>
          <w:sz w:val="24"/>
        </w:rPr>
        <w:t>ne hausse de 10% des dépenses d’éducation maternelle et primaire aux dépens des autres secteurs afin de maintenir inchangé le déficit budgétaire</w:t>
      </w:r>
      <w:r>
        <w:rPr>
          <w:rFonts w:ascii="Times New Roman" w:hAnsi="Times New Roman"/>
          <w:b/>
          <w:sz w:val="24"/>
        </w:rPr>
        <w:t xml:space="preserve"> induirait</w:t>
      </w:r>
      <w:r w:rsidRPr="00ED4F1D">
        <w:rPr>
          <w:rFonts w:ascii="Times New Roman" w:hAnsi="Times New Roman"/>
          <w:b/>
          <w:sz w:val="24"/>
        </w:rPr>
        <w:t xml:space="preserve"> une baisse de la production (en volume) de 0,8 point de pourcentage par rapport au scénario de base</w:t>
      </w:r>
      <w:r>
        <w:rPr>
          <w:rFonts w:ascii="Times New Roman" w:hAnsi="Times New Roman"/>
          <w:b/>
          <w:sz w:val="24"/>
        </w:rPr>
        <w:t xml:space="preserve">,  une légère amélioration de la production vivrière et </w:t>
      </w:r>
      <w:r w:rsidRPr="00D56738">
        <w:rPr>
          <w:rFonts w:ascii="Times New Roman" w:hAnsi="Times New Roman"/>
          <w:b/>
          <w:sz w:val="24"/>
        </w:rPr>
        <w:t>une hausse de la rémunération du facteur travail et une baisse de celle des facteurs terre et capital privé</w:t>
      </w:r>
      <w:r w:rsidRPr="00ED4F1D">
        <w:rPr>
          <w:rFonts w:ascii="Times New Roman" w:hAnsi="Times New Roman"/>
          <w:b/>
          <w:sz w:val="24"/>
        </w:rPr>
        <w:t>.</w:t>
      </w:r>
      <w:r>
        <w:rPr>
          <w:rFonts w:ascii="Times New Roman" w:hAnsi="Times New Roman"/>
          <w:sz w:val="24"/>
        </w:rPr>
        <w:t xml:space="preserve"> Pour les indicateurs OMD, ces effets ont </w:t>
      </w:r>
      <w:r w:rsidR="00432093">
        <w:rPr>
          <w:rFonts w:ascii="Times New Roman" w:hAnsi="Times New Roman"/>
          <w:sz w:val="24"/>
        </w:rPr>
        <w:t xml:space="preserve">entraîné </w:t>
      </w:r>
      <w:r>
        <w:rPr>
          <w:rFonts w:ascii="Times New Roman" w:hAnsi="Times New Roman"/>
          <w:sz w:val="24"/>
        </w:rPr>
        <w:t>par rapport au scénario de base, une nette amélioration de l’OMD 2 (taux net d’achèvement du primaire) et de l’OMD 4 (taux de mortalité infantile), ce qui souligne les effets bénéfiques de la promotion sur l’enseignement de base sur la santé infantile. Par contre, la réduction des autres types de dépenses a un effet néfaste sur l’OMD 1 (incidence de la pauvreté), l’OMD 5 (taux de mortalité maternelle), l’OMD 7a (proportion de la population ayant accès à l’eau potable) et l’OMD 7b (proportion de la population ayant accès à un assainissement sûr). L’augmentation de l’incidence de la pauvreté est induite par un accroissement plus rapide des prix à la consommation que le revenu des ménages et ceci en relation avec la hausse des salaires.</w:t>
      </w:r>
    </w:p>
    <w:p w:rsidR="007F1584" w:rsidRDefault="007F1584" w:rsidP="007F1584">
      <w:pPr>
        <w:spacing w:line="276" w:lineRule="auto"/>
        <w:rPr>
          <w:rFonts w:ascii="Times New Roman" w:hAnsi="Times New Roman"/>
          <w:sz w:val="24"/>
        </w:rPr>
      </w:pPr>
    </w:p>
    <w:p w:rsidR="007F1584" w:rsidRDefault="004D6E98" w:rsidP="007F1584">
      <w:pPr>
        <w:spacing w:line="276" w:lineRule="auto"/>
        <w:rPr>
          <w:rFonts w:ascii="Times New Roman" w:hAnsi="Times New Roman"/>
          <w:sz w:val="24"/>
        </w:rPr>
      </w:pPr>
      <w:r>
        <w:rPr>
          <w:rFonts w:ascii="Times New Roman" w:hAnsi="Times New Roman"/>
          <w:b/>
          <w:sz w:val="24"/>
        </w:rPr>
        <w:t xml:space="preserve">Une </w:t>
      </w:r>
      <w:r w:rsidR="007F1584" w:rsidRPr="00F00F3A">
        <w:rPr>
          <w:rFonts w:ascii="Times New Roman" w:hAnsi="Times New Roman"/>
          <w:b/>
          <w:sz w:val="24"/>
        </w:rPr>
        <w:t>hausse de 10% des dépenses de santé aux dépens des autres secteurs afin de maintenir inchangé le déficit budgétaire induit des résultats similaires à ceux de la première simulation mais avec des amplitudes différent</w:t>
      </w:r>
      <w:r w:rsidR="00432093">
        <w:rPr>
          <w:rFonts w:ascii="Times New Roman" w:hAnsi="Times New Roman"/>
          <w:b/>
          <w:sz w:val="24"/>
        </w:rPr>
        <w:t>e</w:t>
      </w:r>
      <w:r w:rsidR="007F1584" w:rsidRPr="00F00F3A">
        <w:rPr>
          <w:rFonts w:ascii="Times New Roman" w:hAnsi="Times New Roman"/>
          <w:b/>
          <w:sz w:val="24"/>
        </w:rPr>
        <w:t>s compte tenu du niveau des dépenses publiques en jeu</w:t>
      </w:r>
      <w:r w:rsidR="007F1584">
        <w:rPr>
          <w:rFonts w:ascii="Times New Roman" w:hAnsi="Times New Roman"/>
          <w:sz w:val="24"/>
        </w:rPr>
        <w:t xml:space="preserve">. Cette hausse des dépenses de santé entraîne une baisse de la production (en volume) de 0,4 point par rapport au scénario de base, une hausse de la rémunération du facteur travail et une baisse de celle des facteurs terre et capital privé. Seuls les revenus des ménages ruraux pauvres connaissent une augmentation par rapport au scénario de base, ce qui signifie qu’une telle politique engendre des externalités positives sur les populations rurales pauvres. Pour les indicateurs OMD, ces effets ont </w:t>
      </w:r>
      <w:r w:rsidR="00432093">
        <w:rPr>
          <w:rFonts w:ascii="Times New Roman" w:hAnsi="Times New Roman"/>
          <w:sz w:val="24"/>
        </w:rPr>
        <w:t xml:space="preserve">entraîné </w:t>
      </w:r>
      <w:r w:rsidR="007F1584">
        <w:rPr>
          <w:rFonts w:ascii="Times New Roman" w:hAnsi="Times New Roman"/>
          <w:sz w:val="24"/>
        </w:rPr>
        <w:t>par rapport au scénario de base, une nette amélioration de l’OMD 4 (taux de mortalité infantile) et de l’OMD 5 (taux de mortalité maternelle). Par contre, la réduction des autres types de dépenses a un effet néfaste sur l’OMD 1 (incidence de la pauvreté), l’OMD 2 (taux net d’achèvement du primaire), l’OMD 7a (proportion de la population ayant accès à l’eau potable) et l’OMD 7b (proportion de la population ayant accès à un assainissement sûr).</w:t>
      </w:r>
    </w:p>
    <w:p w:rsidR="007F1584" w:rsidRDefault="007F1584" w:rsidP="007F1584">
      <w:pPr>
        <w:spacing w:line="276" w:lineRule="auto"/>
        <w:rPr>
          <w:rFonts w:ascii="Times New Roman" w:hAnsi="Times New Roman"/>
          <w:sz w:val="24"/>
          <w:szCs w:val="24"/>
        </w:rPr>
      </w:pPr>
    </w:p>
    <w:p w:rsidR="00071595" w:rsidRPr="0060655D" w:rsidRDefault="00071595" w:rsidP="00071595">
      <w:pPr>
        <w:spacing w:line="276" w:lineRule="auto"/>
        <w:rPr>
          <w:rFonts w:ascii="Times New Roman" w:hAnsi="Times New Roman"/>
          <w:sz w:val="24"/>
          <w:szCs w:val="24"/>
        </w:rPr>
      </w:pPr>
      <w:r w:rsidRPr="0060655D">
        <w:rPr>
          <w:rFonts w:ascii="Times New Roman" w:hAnsi="Times New Roman"/>
          <w:b/>
          <w:sz w:val="24"/>
        </w:rPr>
        <w:t>Une hausse de 10% des dépenses du secteur de l’agriculture</w:t>
      </w:r>
      <w:r>
        <w:rPr>
          <w:rFonts w:ascii="Times New Roman" w:hAnsi="Times New Roman"/>
          <w:b/>
          <w:sz w:val="24"/>
        </w:rPr>
        <w:t xml:space="preserve"> </w:t>
      </w:r>
      <w:r w:rsidRPr="00ED4F1D">
        <w:rPr>
          <w:rFonts w:ascii="Times New Roman" w:hAnsi="Times New Roman"/>
          <w:b/>
          <w:sz w:val="24"/>
        </w:rPr>
        <w:t>aux dépens des autres secteurs afin de maintenir inchangé le déficit budgétaire</w:t>
      </w:r>
      <w:r>
        <w:rPr>
          <w:rFonts w:ascii="Times New Roman" w:hAnsi="Times New Roman"/>
          <w:b/>
          <w:sz w:val="24"/>
        </w:rPr>
        <w:t xml:space="preserve"> induirait</w:t>
      </w:r>
      <w:r w:rsidRPr="00ED4F1D">
        <w:rPr>
          <w:rFonts w:ascii="Times New Roman" w:hAnsi="Times New Roman"/>
          <w:b/>
          <w:sz w:val="24"/>
        </w:rPr>
        <w:t xml:space="preserve"> une </w:t>
      </w:r>
      <w:r>
        <w:rPr>
          <w:rFonts w:ascii="Times New Roman" w:hAnsi="Times New Roman"/>
          <w:b/>
          <w:sz w:val="24"/>
        </w:rPr>
        <w:t xml:space="preserve">amélioration de la croissance de </w:t>
      </w:r>
      <w:r w:rsidRPr="00ED4F1D">
        <w:rPr>
          <w:rFonts w:ascii="Times New Roman" w:hAnsi="Times New Roman"/>
          <w:b/>
          <w:sz w:val="24"/>
        </w:rPr>
        <w:t>0,</w:t>
      </w:r>
      <w:r>
        <w:rPr>
          <w:rFonts w:ascii="Times New Roman" w:hAnsi="Times New Roman"/>
          <w:b/>
          <w:sz w:val="24"/>
        </w:rPr>
        <w:t xml:space="preserve">03 </w:t>
      </w:r>
      <w:r w:rsidRPr="00E945E7">
        <w:rPr>
          <w:rFonts w:ascii="Times New Roman" w:hAnsi="Times New Roman"/>
          <w:b/>
          <w:sz w:val="24"/>
        </w:rPr>
        <w:t>point de pourcentage par rapport au scénario de base, une hausse la rémunération</w:t>
      </w:r>
      <w:r>
        <w:rPr>
          <w:rFonts w:ascii="Times New Roman" w:hAnsi="Times New Roman"/>
          <w:sz w:val="24"/>
        </w:rPr>
        <w:t>,</w:t>
      </w:r>
      <w:r w:rsidRPr="0060655D">
        <w:rPr>
          <w:rFonts w:ascii="Times New Roman" w:hAnsi="Times New Roman"/>
          <w:sz w:val="24"/>
        </w:rPr>
        <w:t xml:space="preserve"> </w:t>
      </w:r>
      <w:r w:rsidRPr="00E945E7">
        <w:rPr>
          <w:rFonts w:ascii="Times New Roman" w:hAnsi="Times New Roman"/>
          <w:b/>
          <w:sz w:val="24"/>
        </w:rPr>
        <w:t xml:space="preserve">comparativement au scénario de base des facteurs terre et travail, notamment pour la main-d’œuvre du niveau « moins du secondaire général ». </w:t>
      </w:r>
      <w:r w:rsidRPr="0060655D">
        <w:rPr>
          <w:rFonts w:ascii="Times New Roman" w:hAnsi="Times New Roman"/>
          <w:sz w:val="24"/>
        </w:rPr>
        <w:t xml:space="preserve">Pour les indicateurs OMD, ces effets ont entrainé  par rapport au scénario de base, une réduction de l’incidence de pauvreté (OMD 1), une légère amélioration de l’OMD 2 (taux net d’achèvement du primaire), de l’OMD 7a (proportion de la population ayant accès à l’eau potable) et l’OMD 7b (proportion de la population ayant accès à un assainissement sûr). </w:t>
      </w:r>
    </w:p>
    <w:p w:rsidR="00071595" w:rsidRPr="00AC4EC2" w:rsidRDefault="00071595" w:rsidP="00071595">
      <w:pPr>
        <w:spacing w:line="276" w:lineRule="auto"/>
        <w:rPr>
          <w:rFonts w:ascii="Times New Roman" w:hAnsi="Times New Roman"/>
          <w:sz w:val="24"/>
          <w:szCs w:val="24"/>
          <w:highlight w:val="yellow"/>
        </w:rPr>
      </w:pPr>
    </w:p>
    <w:p w:rsidR="00071595" w:rsidRDefault="00071595" w:rsidP="00071595">
      <w:pPr>
        <w:spacing w:line="276" w:lineRule="auto"/>
        <w:rPr>
          <w:rFonts w:ascii="Times New Roman" w:hAnsi="Times New Roman"/>
          <w:sz w:val="24"/>
        </w:rPr>
      </w:pPr>
      <w:r w:rsidRPr="001B3311">
        <w:rPr>
          <w:rFonts w:ascii="Times New Roman" w:hAnsi="Times New Roman"/>
          <w:sz w:val="24"/>
        </w:rPr>
        <w:t>En somme, les résultats des simulations réalisées confirment les externalités positives des dépenses publiques en éducation, en santé, en agriculture et en infrastructures d’assainissement sur les salaires</w:t>
      </w:r>
      <w:r>
        <w:rPr>
          <w:rFonts w:ascii="Times New Roman" w:hAnsi="Times New Roman"/>
          <w:sz w:val="24"/>
        </w:rPr>
        <w:t xml:space="preserve"> </w:t>
      </w:r>
      <w:r w:rsidRPr="001B3311">
        <w:rPr>
          <w:rFonts w:ascii="Times New Roman" w:hAnsi="Times New Roman"/>
          <w:sz w:val="24"/>
        </w:rPr>
        <w:t>, la consommation des ménages, notamment des ménages ruraux pauvres et l’atteinte des OMD 2, 4 et 5. En outre, ils montrent</w:t>
      </w:r>
      <w:r>
        <w:rPr>
          <w:rFonts w:ascii="Times New Roman" w:hAnsi="Times New Roman"/>
          <w:sz w:val="24"/>
        </w:rPr>
        <w:t xml:space="preserve"> </w:t>
      </w:r>
      <w:r w:rsidRPr="001B3311">
        <w:rPr>
          <w:rFonts w:ascii="Times New Roman" w:hAnsi="Times New Roman"/>
          <w:sz w:val="24"/>
        </w:rPr>
        <w:t>que les dépenses publiques en agriculture et en infrastructures d’assainissement  concourent à la réduction de la pauvreté</w:t>
      </w:r>
      <w:r>
        <w:rPr>
          <w:rFonts w:ascii="Times New Roman" w:hAnsi="Times New Roman"/>
          <w:sz w:val="24"/>
        </w:rPr>
        <w:t xml:space="preserve">, ce qui ne semble pas être le cas, </w:t>
      </w:r>
      <w:r w:rsidRPr="009176FC">
        <w:rPr>
          <w:rFonts w:ascii="Times New Roman" w:hAnsi="Times New Roman"/>
          <w:sz w:val="24"/>
        </w:rPr>
        <w:t>à court et moyen termes</w:t>
      </w:r>
      <w:r>
        <w:rPr>
          <w:rFonts w:ascii="Times New Roman" w:hAnsi="Times New Roman"/>
          <w:sz w:val="24"/>
        </w:rPr>
        <w:t xml:space="preserve"> pour les</w:t>
      </w:r>
      <w:r w:rsidRPr="009176FC">
        <w:rPr>
          <w:rFonts w:ascii="Times New Roman" w:hAnsi="Times New Roman"/>
          <w:sz w:val="24"/>
        </w:rPr>
        <w:t xml:space="preserve"> dépenses publiques </w:t>
      </w:r>
      <w:r>
        <w:rPr>
          <w:rFonts w:ascii="Times New Roman" w:hAnsi="Times New Roman"/>
          <w:sz w:val="24"/>
        </w:rPr>
        <w:t>en éducation et</w:t>
      </w:r>
      <w:r w:rsidRPr="001B3311">
        <w:rPr>
          <w:rFonts w:ascii="Times New Roman" w:hAnsi="Times New Roman"/>
          <w:sz w:val="24"/>
        </w:rPr>
        <w:t xml:space="preserve"> en santé</w:t>
      </w:r>
      <w:r>
        <w:rPr>
          <w:rFonts w:ascii="Times New Roman" w:hAnsi="Times New Roman"/>
          <w:sz w:val="24"/>
        </w:rPr>
        <w:t xml:space="preserve">. </w:t>
      </w:r>
      <w:r w:rsidRPr="009176FC">
        <w:rPr>
          <w:rFonts w:ascii="Times New Roman" w:hAnsi="Times New Roman"/>
          <w:sz w:val="24"/>
        </w:rPr>
        <w:t>En conséquence, la politique du Gouvernement ne doit pas viser uniquement les secteurs sociaux mais elle doit rechercher l’équilibre entre les dépenses sociales et les investissements en infrastructures.</w:t>
      </w:r>
    </w:p>
    <w:p w:rsidR="00071595" w:rsidRDefault="00071595" w:rsidP="00071595">
      <w:pPr>
        <w:spacing w:line="276" w:lineRule="auto"/>
        <w:rPr>
          <w:rFonts w:ascii="Times New Roman" w:hAnsi="Times New Roman"/>
          <w:sz w:val="24"/>
          <w:highlight w:val="yellow"/>
        </w:rPr>
      </w:pPr>
    </w:p>
    <w:p w:rsidR="00F16E57" w:rsidRDefault="00F16E57" w:rsidP="00071595">
      <w:pPr>
        <w:spacing w:line="276" w:lineRule="auto"/>
        <w:rPr>
          <w:rFonts w:ascii="Times New Roman" w:hAnsi="Times New Roman"/>
          <w:sz w:val="24"/>
          <w:highlight w:val="yellow"/>
        </w:rPr>
      </w:pPr>
    </w:p>
    <w:p w:rsidR="007F1584" w:rsidRPr="00670743" w:rsidRDefault="007F1584" w:rsidP="00670743">
      <w:pPr>
        <w:pStyle w:val="Titre2"/>
        <w:spacing w:before="0" w:line="276" w:lineRule="auto"/>
        <w:rPr>
          <w:rFonts w:ascii="Times New Roman" w:hAnsi="Times New Roman" w:cs="Times New Roman"/>
          <w:i w:val="0"/>
          <w:color w:val="31849B" w:themeColor="accent5" w:themeShade="BF"/>
        </w:rPr>
      </w:pPr>
      <w:bookmarkStart w:id="11" w:name="_Toc382322903"/>
      <w:r w:rsidRPr="00670743">
        <w:rPr>
          <w:rFonts w:ascii="Times New Roman" w:hAnsi="Times New Roman" w:cs="Times New Roman"/>
          <w:i w:val="0"/>
          <w:color w:val="31849B" w:themeColor="accent5" w:themeShade="BF"/>
        </w:rPr>
        <w:t>Politique de l’emploi et pauvreté</w:t>
      </w:r>
      <w:bookmarkEnd w:id="11"/>
    </w:p>
    <w:p w:rsidR="00CD1314" w:rsidRPr="00670743" w:rsidRDefault="00CD1314" w:rsidP="00CD1314">
      <w:pPr>
        <w:spacing w:line="240" w:lineRule="auto"/>
        <w:rPr>
          <w:rFonts w:ascii="Times New Roman" w:hAnsi="Times New Roman"/>
          <w:b/>
          <w:color w:val="333333"/>
          <w:sz w:val="12"/>
          <w:szCs w:val="12"/>
        </w:rPr>
      </w:pPr>
    </w:p>
    <w:p w:rsidR="007F1584" w:rsidRPr="009B132B" w:rsidRDefault="007F1584" w:rsidP="007F1584">
      <w:pPr>
        <w:spacing w:line="276" w:lineRule="auto"/>
        <w:rPr>
          <w:rFonts w:ascii="Times New Roman" w:hAnsi="Times New Roman"/>
          <w:sz w:val="24"/>
          <w:szCs w:val="24"/>
        </w:rPr>
      </w:pPr>
      <w:r w:rsidRPr="0019493F">
        <w:rPr>
          <w:rFonts w:ascii="Times New Roman" w:hAnsi="Times New Roman"/>
          <w:b/>
          <w:color w:val="333333"/>
          <w:sz w:val="24"/>
          <w:szCs w:val="24"/>
        </w:rPr>
        <w:t>L’analyse de l’interaction entre le marché du travail et la pauvreté révèle un paradoxe béninois</w:t>
      </w:r>
      <w:r>
        <w:rPr>
          <w:rFonts w:ascii="Times New Roman" w:hAnsi="Times New Roman"/>
          <w:color w:val="333333"/>
          <w:sz w:val="24"/>
          <w:szCs w:val="24"/>
        </w:rPr>
        <w:t xml:space="preserve">. Au Bénin en 2010, alors que le taux de chômage est faible (0,5%) selon le BIT, le taux de pauvreté monétaire des actifs occupés est relativement élevé (30,1%). Les taux les plus élevés de l’incidence de la pauvreté pour les actifs occupés sont obtenus dans l’agriculture (38,9%) et l’agroalimentaire (31,2%). Cette pauvreté touche davantage les femmes que les hommes. Ceci  montre que le marché du travail ne joue pas pleinement son rôle de réduction de pauvreté. Ceci est sans doute le résultat d’un secteur informel prépondérant et du fort taux de sous-emploi (cf. tableau 4). </w:t>
      </w:r>
    </w:p>
    <w:p w:rsidR="007F1584" w:rsidRDefault="007F1584" w:rsidP="007F1584">
      <w:pPr>
        <w:rPr>
          <w:rFonts w:ascii="Times New Roman" w:hAnsi="Times New Roman"/>
          <w:b/>
          <w:sz w:val="24"/>
          <w:szCs w:val="24"/>
        </w:rPr>
      </w:pPr>
    </w:p>
    <w:tbl>
      <w:tblPr>
        <w:tblW w:w="8789" w:type="dxa"/>
        <w:tblInd w:w="70" w:type="dxa"/>
        <w:tblCellMar>
          <w:left w:w="70" w:type="dxa"/>
          <w:right w:w="70" w:type="dxa"/>
        </w:tblCellMar>
        <w:tblLook w:val="04A0" w:firstRow="1" w:lastRow="0" w:firstColumn="1" w:lastColumn="0" w:noHBand="0" w:noVBand="1"/>
      </w:tblPr>
      <w:tblGrid>
        <w:gridCol w:w="3215"/>
        <w:gridCol w:w="1605"/>
        <w:gridCol w:w="1559"/>
        <w:gridCol w:w="2410"/>
      </w:tblGrid>
      <w:tr w:rsidR="004D6E98" w:rsidRPr="004D6E98" w:rsidTr="004D6E98">
        <w:trPr>
          <w:trHeight w:val="276"/>
          <w:tblHeader/>
        </w:trPr>
        <w:tc>
          <w:tcPr>
            <w:tcW w:w="8789" w:type="dxa"/>
            <w:gridSpan w:val="4"/>
            <w:tcBorders>
              <w:left w:val="nil"/>
              <w:bottom w:val="double" w:sz="4" w:space="0" w:color="auto"/>
              <w:right w:val="nil"/>
            </w:tcBorders>
            <w:shd w:val="clear" w:color="auto" w:fill="92CDDC" w:themeFill="accent5" w:themeFillTint="99"/>
            <w:noWrap/>
            <w:vAlign w:val="bottom"/>
            <w:hideMark/>
          </w:tcPr>
          <w:p w:rsidR="004D6E98" w:rsidRPr="004D6E98" w:rsidRDefault="004D6E98" w:rsidP="004D6E98">
            <w:pPr>
              <w:spacing w:before="120" w:line="240" w:lineRule="auto"/>
              <w:jc w:val="left"/>
              <w:rPr>
                <w:rFonts w:ascii="Times New Roman" w:eastAsia="Times New Roman" w:hAnsi="Times New Roman"/>
                <w:color w:val="000000"/>
                <w:lang w:eastAsia="fr-FR"/>
              </w:rPr>
            </w:pPr>
            <w:r w:rsidRPr="004D6E98">
              <w:rPr>
                <w:rFonts w:ascii="Times New Roman" w:hAnsi="Times New Roman"/>
              </w:rPr>
              <w:t xml:space="preserve">Tableau 0. </w:t>
            </w:r>
            <w:r w:rsidR="00182C97" w:rsidRPr="004D6E98">
              <w:rPr>
                <w:rFonts w:ascii="Times New Roman" w:hAnsi="Times New Roman"/>
              </w:rPr>
              <w:fldChar w:fldCharType="begin"/>
            </w:r>
            <w:r w:rsidRPr="004D6E98">
              <w:rPr>
                <w:rFonts w:ascii="Times New Roman" w:hAnsi="Times New Roman"/>
              </w:rPr>
              <w:instrText xml:space="preserve"> SEQ Tableau_0. \* ARABIC </w:instrText>
            </w:r>
            <w:r w:rsidR="00182C97" w:rsidRPr="004D6E98">
              <w:rPr>
                <w:rFonts w:ascii="Times New Roman" w:hAnsi="Times New Roman"/>
              </w:rPr>
              <w:fldChar w:fldCharType="separate"/>
            </w:r>
            <w:r w:rsidR="00AB1967">
              <w:rPr>
                <w:rFonts w:ascii="Times New Roman" w:hAnsi="Times New Roman"/>
                <w:noProof/>
              </w:rPr>
              <w:t>7</w:t>
            </w:r>
            <w:r w:rsidR="00182C97" w:rsidRPr="004D6E98">
              <w:rPr>
                <w:rFonts w:ascii="Times New Roman" w:hAnsi="Times New Roman"/>
              </w:rPr>
              <w:fldChar w:fldCharType="end"/>
            </w:r>
            <w:r w:rsidRPr="004D6E98">
              <w:rPr>
                <w:rFonts w:ascii="Times New Roman" w:hAnsi="Times New Roman"/>
              </w:rPr>
              <w:t>: Taux de sous-emploi visible et invisible selon les caractéristiques du ménage</w:t>
            </w:r>
          </w:p>
        </w:tc>
      </w:tr>
      <w:tr w:rsidR="007F1584" w:rsidRPr="00956782" w:rsidTr="004D6E98">
        <w:trPr>
          <w:trHeight w:val="844"/>
          <w:tblHeader/>
        </w:trPr>
        <w:tc>
          <w:tcPr>
            <w:tcW w:w="3215" w:type="dxa"/>
            <w:tcBorders>
              <w:top w:val="double" w:sz="4" w:space="0" w:color="auto"/>
              <w:left w:val="nil"/>
              <w:bottom w:val="single" w:sz="4" w:space="0" w:color="auto"/>
              <w:right w:val="nil"/>
            </w:tcBorders>
            <w:shd w:val="clear" w:color="auto" w:fill="DAEEF3" w:themeFill="accent5" w:themeFillTint="33"/>
            <w:noWrap/>
            <w:vAlign w:val="bottom"/>
            <w:hideMark/>
          </w:tcPr>
          <w:p w:rsidR="007F1584" w:rsidRPr="00956782" w:rsidRDefault="007F1584" w:rsidP="00224ADE">
            <w:pPr>
              <w:spacing w:line="240" w:lineRule="auto"/>
              <w:rPr>
                <w:rFonts w:ascii="Times New Roman" w:eastAsia="Times New Roman" w:hAnsi="Times New Roman"/>
                <w:lang w:eastAsia="fr-FR"/>
              </w:rPr>
            </w:pPr>
            <w:r w:rsidRPr="00956782">
              <w:rPr>
                <w:rFonts w:ascii="Times New Roman" w:eastAsia="Times New Roman" w:hAnsi="Times New Roman"/>
                <w:lang w:eastAsia="fr-FR"/>
              </w:rPr>
              <w:t> </w:t>
            </w:r>
          </w:p>
        </w:tc>
        <w:tc>
          <w:tcPr>
            <w:tcW w:w="1605" w:type="dxa"/>
            <w:tcBorders>
              <w:top w:val="double" w:sz="4" w:space="0" w:color="auto"/>
              <w:left w:val="nil"/>
              <w:bottom w:val="single" w:sz="4" w:space="0" w:color="auto"/>
              <w:right w:val="nil"/>
            </w:tcBorders>
            <w:shd w:val="clear" w:color="auto" w:fill="DAEEF3" w:themeFill="accent5" w:themeFillTint="33"/>
            <w:hideMark/>
          </w:tcPr>
          <w:p w:rsidR="007F1584" w:rsidRPr="00956782" w:rsidRDefault="007F1584" w:rsidP="00FD26EA">
            <w:pPr>
              <w:spacing w:before="120"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Répartition (%) de la population active</w:t>
            </w:r>
            <w:r>
              <w:rPr>
                <w:rStyle w:val="Appelnotedebasdep"/>
                <w:rFonts w:ascii="Times New Roman" w:eastAsia="Times New Roman" w:hAnsi="Times New Roman"/>
                <w:color w:val="000000"/>
                <w:lang w:eastAsia="fr-FR"/>
              </w:rPr>
              <w:footnoteReference w:id="12"/>
            </w:r>
          </w:p>
        </w:tc>
        <w:tc>
          <w:tcPr>
            <w:tcW w:w="1559" w:type="dxa"/>
            <w:tcBorders>
              <w:top w:val="double" w:sz="4" w:space="0" w:color="auto"/>
              <w:left w:val="nil"/>
              <w:bottom w:val="single" w:sz="4" w:space="0" w:color="auto"/>
              <w:right w:val="nil"/>
            </w:tcBorders>
            <w:shd w:val="clear" w:color="auto" w:fill="DAEEF3" w:themeFill="accent5" w:themeFillTint="33"/>
            <w:hideMark/>
          </w:tcPr>
          <w:p w:rsidR="007F1584" w:rsidRPr="00956782" w:rsidRDefault="00F16E57" w:rsidP="00FD26EA">
            <w:pPr>
              <w:spacing w:before="120"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T</w:t>
            </w:r>
            <w:r w:rsidR="007F1584" w:rsidRPr="00956782">
              <w:rPr>
                <w:rFonts w:ascii="Times New Roman" w:eastAsia="Times New Roman" w:hAnsi="Times New Roman"/>
                <w:color w:val="000000"/>
                <w:lang w:eastAsia="fr-FR"/>
              </w:rPr>
              <w:t>aux (%) de sous-emploi visible</w:t>
            </w:r>
            <w:r w:rsidR="007F1584">
              <w:rPr>
                <w:rStyle w:val="Appelnotedebasdep"/>
                <w:rFonts w:ascii="Times New Roman" w:eastAsia="Times New Roman" w:hAnsi="Times New Roman"/>
                <w:color w:val="000000"/>
                <w:lang w:eastAsia="fr-FR"/>
              </w:rPr>
              <w:footnoteReference w:id="13"/>
            </w:r>
          </w:p>
        </w:tc>
        <w:tc>
          <w:tcPr>
            <w:tcW w:w="2410" w:type="dxa"/>
            <w:tcBorders>
              <w:top w:val="double" w:sz="4" w:space="0" w:color="auto"/>
              <w:left w:val="nil"/>
              <w:bottom w:val="single" w:sz="4" w:space="0" w:color="auto"/>
              <w:right w:val="nil"/>
            </w:tcBorders>
            <w:shd w:val="clear" w:color="auto" w:fill="DAEEF3" w:themeFill="accent5" w:themeFillTint="33"/>
            <w:hideMark/>
          </w:tcPr>
          <w:p w:rsidR="007F1584" w:rsidRPr="00956782" w:rsidRDefault="00F16E57" w:rsidP="00FD26EA">
            <w:pPr>
              <w:spacing w:before="120"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T</w:t>
            </w:r>
            <w:r w:rsidR="007F1584" w:rsidRPr="00956782">
              <w:rPr>
                <w:rFonts w:ascii="Times New Roman" w:eastAsia="Times New Roman" w:hAnsi="Times New Roman"/>
                <w:color w:val="000000"/>
                <w:lang w:eastAsia="fr-FR"/>
              </w:rPr>
              <w:t>aux (%) de sous-emploi invisible</w:t>
            </w:r>
            <w:r w:rsidR="007F1584">
              <w:rPr>
                <w:rStyle w:val="Appelnotedebasdep"/>
                <w:rFonts w:ascii="Times New Roman" w:eastAsia="Times New Roman" w:hAnsi="Times New Roman"/>
                <w:color w:val="000000"/>
                <w:lang w:eastAsia="fr-FR"/>
              </w:rPr>
              <w:footnoteReference w:id="14"/>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noWrap/>
            <w:vAlign w:val="bottom"/>
            <w:hideMark/>
          </w:tcPr>
          <w:p w:rsidR="007F1584" w:rsidRPr="00956782" w:rsidRDefault="007F1584" w:rsidP="00224ADE">
            <w:pPr>
              <w:spacing w:line="240" w:lineRule="auto"/>
              <w:rPr>
                <w:rFonts w:ascii="Times New Roman" w:eastAsia="Times New Roman" w:hAnsi="Times New Roman"/>
                <w:b/>
                <w:bCs/>
                <w:lang w:eastAsia="fr-FR"/>
              </w:rPr>
            </w:pPr>
            <w:r w:rsidRPr="00956782">
              <w:rPr>
                <w:rFonts w:ascii="Times New Roman" w:eastAsia="Times New Roman" w:hAnsi="Times New Roman"/>
                <w:b/>
                <w:bCs/>
                <w:lang w:eastAsia="fr-FR"/>
              </w:rPr>
              <w:t>Sexe du chef de ménage (CM)</w:t>
            </w:r>
          </w:p>
        </w:tc>
        <w:tc>
          <w:tcPr>
            <w:tcW w:w="1605" w:type="dxa"/>
            <w:tcBorders>
              <w:top w:val="nil"/>
              <w:left w:val="nil"/>
              <w:bottom w:val="nil"/>
              <w:right w:val="nil"/>
            </w:tcBorders>
            <w:shd w:val="clear" w:color="auto" w:fill="DAEEF3" w:themeFill="accent5" w:themeFillTint="33"/>
            <w:vAlign w:val="bottom"/>
            <w:hideMark/>
          </w:tcPr>
          <w:p w:rsidR="007F1584" w:rsidRPr="00956782" w:rsidRDefault="007F1584" w:rsidP="00224ADE">
            <w:pPr>
              <w:spacing w:line="240" w:lineRule="auto"/>
              <w:rPr>
                <w:rFonts w:ascii="Times New Roman" w:eastAsia="Times New Roman" w:hAnsi="Times New Roman"/>
                <w:b/>
                <w:bCs/>
                <w:lang w:eastAsia="fr-FR"/>
              </w:rPr>
            </w:pPr>
          </w:p>
        </w:tc>
        <w:tc>
          <w:tcPr>
            <w:tcW w:w="1559" w:type="dxa"/>
            <w:tcBorders>
              <w:top w:val="nil"/>
              <w:left w:val="nil"/>
              <w:bottom w:val="nil"/>
              <w:right w:val="nil"/>
            </w:tcBorders>
            <w:shd w:val="clear" w:color="auto" w:fill="DAEEF3" w:themeFill="accent5" w:themeFillTint="33"/>
            <w:vAlign w:val="bottom"/>
            <w:hideMark/>
          </w:tcPr>
          <w:p w:rsidR="007F1584" w:rsidRPr="00956782" w:rsidRDefault="007F1584" w:rsidP="00224ADE">
            <w:pPr>
              <w:spacing w:line="240" w:lineRule="auto"/>
              <w:jc w:val="center"/>
              <w:rPr>
                <w:rFonts w:ascii="Times New Roman" w:eastAsia="Times New Roman" w:hAnsi="Times New Roman"/>
                <w:lang w:eastAsia="fr-FR"/>
              </w:rPr>
            </w:pPr>
          </w:p>
        </w:tc>
        <w:tc>
          <w:tcPr>
            <w:tcW w:w="2410" w:type="dxa"/>
            <w:tcBorders>
              <w:top w:val="nil"/>
              <w:left w:val="nil"/>
              <w:bottom w:val="nil"/>
              <w:right w:val="nil"/>
            </w:tcBorders>
            <w:shd w:val="clear" w:color="auto" w:fill="DAEEF3" w:themeFill="accent5" w:themeFillTint="33"/>
            <w:vAlign w:val="bottom"/>
            <w:hideMark/>
          </w:tcPr>
          <w:p w:rsidR="007F1584" w:rsidRPr="00956782" w:rsidRDefault="007F1584" w:rsidP="00224ADE">
            <w:pPr>
              <w:spacing w:line="240" w:lineRule="auto"/>
              <w:jc w:val="center"/>
              <w:rPr>
                <w:rFonts w:ascii="Times New Roman" w:eastAsia="Times New Roman" w:hAnsi="Times New Roman"/>
                <w:lang w:eastAsia="fr-FR"/>
              </w:rPr>
            </w:pP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Homme</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84,4</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29,9</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54,8</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Femme</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15,6</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29,5</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59,5</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Branche d'activité du CM</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b/>
                <w:bCs/>
                <w:color w:val="000000"/>
                <w:lang w:eastAsia="fr-FR"/>
              </w:rPr>
            </w:pP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r>
      <w:tr w:rsidR="007F1584" w:rsidRPr="00956782" w:rsidTr="00C561E4">
        <w:trPr>
          <w:trHeight w:val="32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Agriculture, élevage, pêche et forêt</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82,4</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35,9</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65,8</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Industrie</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2,4</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40,8</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55,8</w:t>
            </w:r>
          </w:p>
        </w:tc>
      </w:tr>
      <w:tr w:rsidR="007F1584" w:rsidRPr="00956782" w:rsidTr="00C561E4">
        <w:trPr>
          <w:trHeight w:val="446"/>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Eau, électricité et gaz/BTP/Banque et assurance</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4,3</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28,0</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58,9</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Commerce et restauration</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26,7</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57,4</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Transport et communication</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0,2</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44,3</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80,5</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Autres services</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8,4</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20,5</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48,8</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Secteur d'activité du CM</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b/>
                <w:bCs/>
                <w:color w:val="000000"/>
                <w:lang w:eastAsia="fr-FR"/>
              </w:rPr>
            </w:pP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Public</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4,7</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29,5</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27,9</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Privé formel</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4,1</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14,5</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25,8</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Privé informel</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91,2</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30,4</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58,4</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Total</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100,0</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29,7</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55,5</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Quintiles de dépenses par tête</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b/>
                <w:bCs/>
                <w:color w:val="000000"/>
                <w:lang w:eastAsia="fr-FR"/>
              </w:rPr>
            </w:pP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Plus pauvres</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17,1</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26,4</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47,4</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Pauvres</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18,6</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24,8</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44,5</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Moyens</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19,3</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26,6</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41,3</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Riches</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21,0</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26,2</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38,7</w:t>
            </w: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ind w:left="356"/>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Plus riches</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24,1</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21,5</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26,5</w:t>
            </w:r>
          </w:p>
        </w:tc>
      </w:tr>
      <w:tr w:rsidR="007F1584" w:rsidRPr="00956782" w:rsidTr="00C561E4">
        <w:trPr>
          <w:trHeight w:val="305"/>
        </w:trPr>
        <w:tc>
          <w:tcPr>
            <w:tcW w:w="3215" w:type="dxa"/>
            <w:tcBorders>
              <w:top w:val="nil"/>
              <w:left w:val="nil"/>
              <w:bottom w:val="nil"/>
              <w:right w:val="nil"/>
            </w:tcBorders>
            <w:shd w:val="clear" w:color="auto" w:fill="DAEEF3" w:themeFill="accent5" w:themeFillTint="33"/>
            <w:hideMark/>
          </w:tcPr>
          <w:p w:rsidR="007F1584" w:rsidRPr="00956782" w:rsidRDefault="007F1584" w:rsidP="003D42C3">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Statut de pauvreté entre 2006 et 2009</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b/>
                <w:bCs/>
                <w:color w:val="000000"/>
                <w:lang w:eastAsia="fr-FR"/>
              </w:rPr>
            </w:pP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lang w:eastAsia="fr-FR"/>
              </w:rPr>
            </w:pPr>
          </w:p>
        </w:tc>
      </w:tr>
      <w:tr w:rsidR="007F1584" w:rsidRPr="00956782" w:rsidTr="00C561E4">
        <w:trPr>
          <w:trHeight w:val="259"/>
        </w:trPr>
        <w:tc>
          <w:tcPr>
            <w:tcW w:w="3215" w:type="dxa"/>
            <w:tcBorders>
              <w:top w:val="nil"/>
              <w:left w:val="nil"/>
              <w:bottom w:val="nil"/>
              <w:right w:val="nil"/>
            </w:tcBorders>
            <w:shd w:val="clear" w:color="auto" w:fill="DAEEF3" w:themeFill="accent5" w:themeFillTint="33"/>
            <w:hideMark/>
          </w:tcPr>
          <w:p w:rsidR="007F1584" w:rsidRPr="00170BC9" w:rsidRDefault="007F1584" w:rsidP="003D42C3">
            <w:pPr>
              <w:spacing w:line="240" w:lineRule="auto"/>
              <w:ind w:left="356"/>
              <w:jc w:val="left"/>
              <w:rPr>
                <w:rFonts w:ascii="Times New Roman" w:eastAsia="Times New Roman" w:hAnsi="Times New Roman"/>
                <w:color w:val="000000"/>
                <w:lang w:eastAsia="fr-FR"/>
              </w:rPr>
            </w:pPr>
            <w:r w:rsidRPr="00170BC9">
              <w:rPr>
                <w:rFonts w:ascii="Times New Roman" w:eastAsia="Times New Roman" w:hAnsi="Times New Roman"/>
                <w:color w:val="000000"/>
                <w:lang w:eastAsia="fr-FR"/>
              </w:rPr>
              <w:t>Non pauvre</w:t>
            </w:r>
          </w:p>
        </w:tc>
        <w:tc>
          <w:tcPr>
            <w:tcW w:w="1605"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51,1</w:t>
            </w:r>
          </w:p>
        </w:tc>
        <w:tc>
          <w:tcPr>
            <w:tcW w:w="1559"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25,3</w:t>
            </w:r>
          </w:p>
        </w:tc>
        <w:tc>
          <w:tcPr>
            <w:tcW w:w="2410" w:type="dxa"/>
            <w:tcBorders>
              <w:top w:val="nil"/>
              <w:left w:val="nil"/>
              <w:bottom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36,3</w:t>
            </w:r>
          </w:p>
        </w:tc>
      </w:tr>
      <w:tr w:rsidR="007F1584" w:rsidRPr="00956782" w:rsidTr="00C561E4">
        <w:trPr>
          <w:trHeight w:val="259"/>
        </w:trPr>
        <w:tc>
          <w:tcPr>
            <w:tcW w:w="3215" w:type="dxa"/>
            <w:tcBorders>
              <w:top w:val="nil"/>
              <w:left w:val="nil"/>
              <w:right w:val="nil"/>
            </w:tcBorders>
            <w:shd w:val="clear" w:color="auto" w:fill="DAEEF3" w:themeFill="accent5" w:themeFillTint="33"/>
            <w:hideMark/>
          </w:tcPr>
          <w:p w:rsidR="007F1584" w:rsidRPr="00170BC9" w:rsidRDefault="007F1584" w:rsidP="003D42C3">
            <w:pPr>
              <w:spacing w:line="240" w:lineRule="auto"/>
              <w:ind w:left="356"/>
              <w:jc w:val="left"/>
              <w:rPr>
                <w:rFonts w:ascii="Times New Roman" w:eastAsia="Times New Roman" w:hAnsi="Times New Roman"/>
                <w:color w:val="000000"/>
                <w:lang w:eastAsia="fr-FR"/>
              </w:rPr>
            </w:pPr>
            <w:r w:rsidRPr="00170BC9">
              <w:rPr>
                <w:rFonts w:ascii="Times New Roman" w:eastAsia="Times New Roman" w:hAnsi="Times New Roman"/>
                <w:color w:val="000000"/>
                <w:lang w:eastAsia="fr-FR"/>
              </w:rPr>
              <w:t>Pauvres transitoires</w:t>
            </w:r>
          </w:p>
        </w:tc>
        <w:tc>
          <w:tcPr>
            <w:tcW w:w="1605" w:type="dxa"/>
            <w:tcBorders>
              <w:top w:val="nil"/>
              <w:left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37,3</w:t>
            </w:r>
          </w:p>
        </w:tc>
        <w:tc>
          <w:tcPr>
            <w:tcW w:w="1559" w:type="dxa"/>
            <w:tcBorders>
              <w:top w:val="nil"/>
              <w:left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25,1</w:t>
            </w:r>
          </w:p>
        </w:tc>
        <w:tc>
          <w:tcPr>
            <w:tcW w:w="2410" w:type="dxa"/>
            <w:tcBorders>
              <w:top w:val="nil"/>
              <w:left w:val="nil"/>
              <w:right w:val="nil"/>
            </w:tcBorders>
            <w:shd w:val="clear" w:color="auto" w:fill="DAEEF3" w:themeFill="accent5" w:themeFillTint="33"/>
            <w:noWrap/>
            <w:hideMark/>
          </w:tcPr>
          <w:p w:rsidR="007F1584" w:rsidRPr="00956782" w:rsidRDefault="007F1584" w:rsidP="00224ADE">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41,2</w:t>
            </w:r>
          </w:p>
        </w:tc>
      </w:tr>
      <w:tr w:rsidR="007F1584" w:rsidRPr="002F4433" w:rsidTr="00C561E4">
        <w:trPr>
          <w:trHeight w:val="259"/>
        </w:trPr>
        <w:tc>
          <w:tcPr>
            <w:tcW w:w="3215" w:type="dxa"/>
            <w:tcBorders>
              <w:left w:val="nil"/>
              <w:bottom w:val="double" w:sz="4" w:space="0" w:color="auto"/>
              <w:right w:val="nil"/>
            </w:tcBorders>
            <w:shd w:val="clear" w:color="auto" w:fill="DAEEF3" w:themeFill="accent5" w:themeFillTint="33"/>
            <w:hideMark/>
          </w:tcPr>
          <w:p w:rsidR="007F1584" w:rsidRPr="00CF4536" w:rsidRDefault="007F1584" w:rsidP="003D42C3">
            <w:pPr>
              <w:spacing w:line="240" w:lineRule="auto"/>
              <w:ind w:left="356"/>
              <w:jc w:val="left"/>
              <w:rPr>
                <w:rFonts w:ascii="Times New Roman" w:eastAsia="Times New Roman" w:hAnsi="Times New Roman"/>
                <w:color w:val="000000"/>
                <w:lang w:eastAsia="fr-FR"/>
              </w:rPr>
            </w:pPr>
            <w:r w:rsidRPr="00CF4536">
              <w:rPr>
                <w:rFonts w:ascii="Times New Roman" w:eastAsia="Times New Roman" w:hAnsi="Times New Roman"/>
                <w:color w:val="000000"/>
                <w:lang w:eastAsia="fr-FR"/>
              </w:rPr>
              <w:t>Pauvres permanents</w:t>
            </w:r>
          </w:p>
        </w:tc>
        <w:tc>
          <w:tcPr>
            <w:tcW w:w="1605" w:type="dxa"/>
            <w:tcBorders>
              <w:left w:val="nil"/>
              <w:bottom w:val="double" w:sz="4" w:space="0" w:color="auto"/>
              <w:right w:val="nil"/>
            </w:tcBorders>
            <w:shd w:val="clear" w:color="auto" w:fill="DAEEF3" w:themeFill="accent5" w:themeFillTint="33"/>
            <w:noWrap/>
            <w:hideMark/>
          </w:tcPr>
          <w:p w:rsidR="007F1584" w:rsidRPr="002F4433" w:rsidRDefault="007F1584" w:rsidP="00224ADE">
            <w:pPr>
              <w:spacing w:line="240" w:lineRule="auto"/>
              <w:jc w:val="center"/>
              <w:rPr>
                <w:rFonts w:ascii="Times New Roman" w:eastAsia="Times New Roman" w:hAnsi="Times New Roman"/>
                <w:color w:val="000000"/>
                <w:sz w:val="20"/>
                <w:szCs w:val="20"/>
                <w:lang w:eastAsia="fr-FR"/>
              </w:rPr>
            </w:pPr>
            <w:r w:rsidRPr="002F4433">
              <w:rPr>
                <w:rFonts w:ascii="Times New Roman" w:eastAsia="Times New Roman" w:hAnsi="Times New Roman"/>
                <w:color w:val="000000"/>
                <w:sz w:val="20"/>
                <w:szCs w:val="20"/>
                <w:lang w:eastAsia="fr-FR"/>
              </w:rPr>
              <w:t>11,7</w:t>
            </w:r>
          </w:p>
        </w:tc>
        <w:tc>
          <w:tcPr>
            <w:tcW w:w="1559" w:type="dxa"/>
            <w:tcBorders>
              <w:left w:val="nil"/>
              <w:bottom w:val="double" w:sz="4" w:space="0" w:color="auto"/>
              <w:right w:val="nil"/>
            </w:tcBorders>
            <w:shd w:val="clear" w:color="auto" w:fill="DAEEF3" w:themeFill="accent5" w:themeFillTint="33"/>
            <w:noWrap/>
            <w:hideMark/>
          </w:tcPr>
          <w:p w:rsidR="007F1584" w:rsidRPr="002F4433" w:rsidRDefault="007F1584" w:rsidP="00224ADE">
            <w:pPr>
              <w:spacing w:line="240" w:lineRule="auto"/>
              <w:jc w:val="center"/>
              <w:rPr>
                <w:rFonts w:ascii="Times New Roman" w:eastAsia="Times New Roman" w:hAnsi="Times New Roman"/>
                <w:color w:val="000000"/>
                <w:sz w:val="20"/>
                <w:szCs w:val="20"/>
                <w:lang w:eastAsia="fr-FR"/>
              </w:rPr>
            </w:pPr>
            <w:r w:rsidRPr="002F4433">
              <w:rPr>
                <w:rFonts w:ascii="Times New Roman" w:eastAsia="Times New Roman" w:hAnsi="Times New Roman"/>
                <w:color w:val="000000"/>
                <w:sz w:val="20"/>
                <w:szCs w:val="20"/>
                <w:lang w:eastAsia="fr-FR"/>
              </w:rPr>
              <w:t>22,8</w:t>
            </w:r>
          </w:p>
        </w:tc>
        <w:tc>
          <w:tcPr>
            <w:tcW w:w="2410" w:type="dxa"/>
            <w:tcBorders>
              <w:left w:val="nil"/>
              <w:bottom w:val="double" w:sz="4" w:space="0" w:color="auto"/>
              <w:right w:val="nil"/>
            </w:tcBorders>
            <w:shd w:val="clear" w:color="auto" w:fill="DAEEF3" w:themeFill="accent5" w:themeFillTint="33"/>
            <w:noWrap/>
            <w:hideMark/>
          </w:tcPr>
          <w:p w:rsidR="007F1584" w:rsidRPr="002F4433" w:rsidRDefault="007F1584" w:rsidP="00224ADE">
            <w:pPr>
              <w:spacing w:line="240" w:lineRule="auto"/>
              <w:jc w:val="center"/>
              <w:rPr>
                <w:rFonts w:ascii="Times New Roman" w:eastAsia="Times New Roman" w:hAnsi="Times New Roman"/>
                <w:color w:val="000000"/>
                <w:sz w:val="20"/>
                <w:szCs w:val="20"/>
                <w:lang w:eastAsia="fr-FR"/>
              </w:rPr>
            </w:pPr>
            <w:r w:rsidRPr="002F4433">
              <w:rPr>
                <w:rFonts w:ascii="Times New Roman" w:eastAsia="Times New Roman" w:hAnsi="Times New Roman"/>
                <w:color w:val="000000"/>
                <w:sz w:val="20"/>
                <w:szCs w:val="20"/>
                <w:lang w:eastAsia="fr-FR"/>
              </w:rPr>
              <w:t>42,5</w:t>
            </w:r>
          </w:p>
        </w:tc>
      </w:tr>
      <w:tr w:rsidR="00CF4536" w:rsidRPr="002F4433" w:rsidTr="00C561E4">
        <w:trPr>
          <w:trHeight w:val="259"/>
        </w:trPr>
        <w:tc>
          <w:tcPr>
            <w:tcW w:w="8789" w:type="dxa"/>
            <w:gridSpan w:val="4"/>
            <w:tcBorders>
              <w:top w:val="double" w:sz="4" w:space="0" w:color="auto"/>
              <w:left w:val="nil"/>
              <w:right w:val="nil"/>
            </w:tcBorders>
            <w:shd w:val="clear" w:color="auto" w:fill="DAEEF3" w:themeFill="accent5" w:themeFillTint="33"/>
            <w:hideMark/>
          </w:tcPr>
          <w:p w:rsidR="00CF4536" w:rsidRPr="00CF4536" w:rsidRDefault="00CF4536" w:rsidP="00CF4536">
            <w:pPr>
              <w:rPr>
                <w:rFonts w:ascii="Times New Roman" w:hAnsi="Times New Roman"/>
                <w:sz w:val="20"/>
                <w:szCs w:val="20"/>
              </w:rPr>
            </w:pPr>
            <w:r w:rsidRPr="002F4433">
              <w:rPr>
                <w:rFonts w:ascii="Times New Roman" w:hAnsi="Times New Roman"/>
                <w:sz w:val="20"/>
                <w:szCs w:val="20"/>
              </w:rPr>
              <w:t>Source : INSAE, 2013.</w:t>
            </w:r>
          </w:p>
        </w:tc>
      </w:tr>
    </w:tbl>
    <w:p w:rsidR="007F1584" w:rsidRDefault="007F1584" w:rsidP="007F1584">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r w:rsidRPr="008F18B5">
        <w:rPr>
          <w:rFonts w:ascii="Times New Roman" w:hAnsi="Times New Roman"/>
          <w:b/>
          <w:sz w:val="24"/>
          <w:szCs w:val="24"/>
        </w:rPr>
        <w:t>Pour les jeunes, les difficultés dans le marché du travail se posent avec plus d’acuité</w:t>
      </w:r>
      <w:r>
        <w:t xml:space="preserve">.  </w:t>
      </w:r>
      <w:r w:rsidRPr="008F18B5">
        <w:rPr>
          <w:rFonts w:ascii="Times New Roman" w:hAnsi="Times New Roman"/>
          <w:sz w:val="24"/>
          <w:szCs w:val="24"/>
        </w:rPr>
        <w:t>En effet,</w:t>
      </w:r>
      <w:r w:rsidR="00071595">
        <w:rPr>
          <w:rFonts w:ascii="Times New Roman" w:hAnsi="Times New Roman"/>
          <w:sz w:val="24"/>
          <w:szCs w:val="24"/>
        </w:rPr>
        <w:t xml:space="preserve"> </w:t>
      </w:r>
      <w:r>
        <w:rPr>
          <w:rFonts w:ascii="Times New Roman" w:hAnsi="Times New Roman"/>
          <w:sz w:val="24"/>
          <w:szCs w:val="24"/>
        </w:rPr>
        <w:t>l</w:t>
      </w:r>
      <w:r w:rsidRPr="008F18B5">
        <w:rPr>
          <w:rFonts w:ascii="Times New Roman" w:hAnsi="Times New Roman"/>
          <w:sz w:val="24"/>
          <w:szCs w:val="24"/>
        </w:rPr>
        <w:t>’emploi des jeunes souffre d’énormes insuffisances car 30,4% de jeunes sont sous-employés de façon visible à travers le nombre d’heures de travail et 63,2% de façon invisible à travers des rémunérations précaires et indécentes. Une autre réalité poignante de l’emploi des jeunes c’est que, seulement 7,9% des jeunes bénéficient d’un emploi salarié. Ce pourcentage met en évidence les difficultés d’absorption de l</w:t>
      </w:r>
      <w:r>
        <w:rPr>
          <w:rFonts w:ascii="Times New Roman" w:hAnsi="Times New Roman"/>
          <w:sz w:val="24"/>
          <w:szCs w:val="24"/>
        </w:rPr>
        <w:t>’offre</w:t>
      </w:r>
      <w:r w:rsidRPr="008F18B5">
        <w:rPr>
          <w:rFonts w:ascii="Times New Roman" w:hAnsi="Times New Roman"/>
          <w:sz w:val="24"/>
          <w:szCs w:val="24"/>
        </w:rPr>
        <w:t xml:space="preserve"> de travail des jeunes par le marché du travail et la nécessité pour les jeunes de se prendre en charge.</w:t>
      </w:r>
    </w:p>
    <w:p w:rsidR="007F1584" w:rsidRDefault="007F1584" w:rsidP="007F1584">
      <w:pPr>
        <w:spacing w:line="276" w:lineRule="auto"/>
        <w:rPr>
          <w:rFonts w:ascii="Times New Roman" w:hAnsi="Times New Roman"/>
          <w:sz w:val="24"/>
          <w:szCs w:val="24"/>
        </w:rPr>
      </w:pPr>
    </w:p>
    <w:tbl>
      <w:tblPr>
        <w:tblW w:w="9292" w:type="dxa"/>
        <w:tblInd w:w="70" w:type="dxa"/>
        <w:tblLayout w:type="fixed"/>
        <w:tblCellMar>
          <w:left w:w="70" w:type="dxa"/>
          <w:right w:w="70" w:type="dxa"/>
        </w:tblCellMar>
        <w:tblLook w:val="04A0" w:firstRow="1" w:lastRow="0" w:firstColumn="1" w:lastColumn="0" w:noHBand="0" w:noVBand="1"/>
      </w:tblPr>
      <w:tblGrid>
        <w:gridCol w:w="820"/>
        <w:gridCol w:w="173"/>
        <w:gridCol w:w="646"/>
        <w:gridCol w:w="957"/>
        <w:gridCol w:w="819"/>
        <w:gridCol w:w="684"/>
        <w:gridCol w:w="819"/>
        <w:gridCol w:w="62"/>
        <w:gridCol w:w="896"/>
        <w:gridCol w:w="683"/>
        <w:gridCol w:w="957"/>
        <w:gridCol w:w="819"/>
        <w:gridCol w:w="957"/>
      </w:tblGrid>
      <w:tr w:rsidR="009E4C1C" w:rsidRPr="00BD0B1E" w:rsidTr="009E4C1C">
        <w:trPr>
          <w:trHeight w:val="362"/>
        </w:trPr>
        <w:tc>
          <w:tcPr>
            <w:tcW w:w="9292" w:type="dxa"/>
            <w:gridSpan w:val="13"/>
            <w:tcBorders>
              <w:left w:val="nil"/>
              <w:bottom w:val="double" w:sz="4" w:space="0" w:color="auto"/>
              <w:right w:val="nil"/>
            </w:tcBorders>
            <w:shd w:val="clear" w:color="auto" w:fill="DAEEF3" w:themeFill="accent5" w:themeFillTint="33"/>
            <w:vAlign w:val="bottom"/>
            <w:hideMark/>
          </w:tcPr>
          <w:p w:rsidR="009E4C1C" w:rsidRPr="009E4C1C" w:rsidRDefault="009E4C1C" w:rsidP="009E4C1C">
            <w:pPr>
              <w:spacing w:line="240" w:lineRule="auto"/>
              <w:jc w:val="left"/>
              <w:rPr>
                <w:rFonts w:ascii="Times New Roman" w:eastAsia="Times New Roman" w:hAnsi="Times New Roman"/>
                <w:color w:val="000000"/>
                <w:sz w:val="24"/>
                <w:szCs w:val="24"/>
                <w:lang w:eastAsia="fr-FR"/>
              </w:rPr>
            </w:pPr>
            <w:r w:rsidRPr="009E4C1C">
              <w:rPr>
                <w:rFonts w:ascii="Times New Roman" w:hAnsi="Times New Roman"/>
                <w:sz w:val="24"/>
                <w:szCs w:val="24"/>
              </w:rPr>
              <w:t xml:space="preserve">Tableau 0. </w:t>
            </w:r>
            <w:r w:rsidR="00182C97" w:rsidRPr="009E4C1C">
              <w:rPr>
                <w:rFonts w:ascii="Times New Roman" w:hAnsi="Times New Roman"/>
                <w:sz w:val="24"/>
                <w:szCs w:val="24"/>
              </w:rPr>
              <w:fldChar w:fldCharType="begin"/>
            </w:r>
            <w:r w:rsidRPr="009E4C1C">
              <w:rPr>
                <w:rFonts w:ascii="Times New Roman" w:hAnsi="Times New Roman"/>
                <w:sz w:val="24"/>
                <w:szCs w:val="24"/>
              </w:rPr>
              <w:instrText xml:space="preserve"> SEQ Tableau_0. \* ARABIC </w:instrText>
            </w:r>
            <w:r w:rsidR="00182C97" w:rsidRPr="009E4C1C">
              <w:rPr>
                <w:rFonts w:ascii="Times New Roman" w:hAnsi="Times New Roman"/>
                <w:sz w:val="24"/>
                <w:szCs w:val="24"/>
              </w:rPr>
              <w:fldChar w:fldCharType="separate"/>
            </w:r>
            <w:r w:rsidR="00AB1967">
              <w:rPr>
                <w:rFonts w:ascii="Times New Roman" w:hAnsi="Times New Roman"/>
                <w:noProof/>
                <w:sz w:val="24"/>
                <w:szCs w:val="24"/>
              </w:rPr>
              <w:t>8</w:t>
            </w:r>
            <w:r w:rsidR="00182C97" w:rsidRPr="009E4C1C">
              <w:rPr>
                <w:rFonts w:ascii="Times New Roman" w:hAnsi="Times New Roman"/>
                <w:sz w:val="24"/>
                <w:szCs w:val="24"/>
              </w:rPr>
              <w:fldChar w:fldCharType="end"/>
            </w:r>
            <w:r w:rsidRPr="009E4C1C">
              <w:rPr>
                <w:rFonts w:ascii="Times New Roman" w:hAnsi="Times New Roman"/>
                <w:sz w:val="24"/>
                <w:szCs w:val="24"/>
              </w:rPr>
              <w:t>: Quelques caractéristiques de l’emploi des jeunes au Bénin</w:t>
            </w:r>
          </w:p>
        </w:tc>
      </w:tr>
      <w:tr w:rsidR="007F1584" w:rsidRPr="00BD0B1E" w:rsidTr="009E4C1C">
        <w:trPr>
          <w:trHeight w:val="1359"/>
        </w:trPr>
        <w:tc>
          <w:tcPr>
            <w:tcW w:w="820"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 </w:t>
            </w:r>
          </w:p>
        </w:tc>
        <w:tc>
          <w:tcPr>
            <w:tcW w:w="819" w:type="dxa"/>
            <w:gridSpan w:val="2"/>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d'occupation</w:t>
            </w:r>
          </w:p>
        </w:tc>
        <w:tc>
          <w:tcPr>
            <w:tcW w:w="957"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 chômage élargi</w:t>
            </w:r>
          </w:p>
        </w:tc>
        <w:tc>
          <w:tcPr>
            <w:tcW w:w="819"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Durée chômage (BIT)</w:t>
            </w:r>
          </w:p>
        </w:tc>
        <w:tc>
          <w:tcPr>
            <w:tcW w:w="684"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 sous-emploi visible</w:t>
            </w:r>
          </w:p>
        </w:tc>
        <w:tc>
          <w:tcPr>
            <w:tcW w:w="819"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 sous-emploi invisible</w:t>
            </w:r>
          </w:p>
        </w:tc>
        <w:tc>
          <w:tcPr>
            <w:tcW w:w="958" w:type="dxa"/>
            <w:gridSpan w:val="2"/>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Emplois salariés non agricoles</w:t>
            </w:r>
          </w:p>
        </w:tc>
        <w:tc>
          <w:tcPr>
            <w:tcW w:w="683"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d'auto-emploi</w:t>
            </w:r>
          </w:p>
        </w:tc>
        <w:tc>
          <w:tcPr>
            <w:tcW w:w="957"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Proportion Jeunes dans les emplois précaires (%)</w:t>
            </w:r>
          </w:p>
        </w:tc>
        <w:tc>
          <w:tcPr>
            <w:tcW w:w="819"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Jeunes dans le secteur informel (%)</w:t>
            </w:r>
          </w:p>
        </w:tc>
        <w:tc>
          <w:tcPr>
            <w:tcW w:w="957" w:type="dxa"/>
            <w:tcBorders>
              <w:top w:val="double" w:sz="4" w:space="0" w:color="auto"/>
              <w:left w:val="nil"/>
              <w:bottom w:val="single" w:sz="4" w:space="0" w:color="auto"/>
              <w:right w:val="nil"/>
            </w:tcBorders>
            <w:shd w:val="clear" w:color="auto" w:fill="DAEEF3" w:themeFill="accent5" w:themeFillTint="33"/>
            <w:vAlign w:val="bottom"/>
            <w:hideMark/>
          </w:tcPr>
          <w:p w:rsidR="007F1584" w:rsidRPr="00AC76D3" w:rsidRDefault="007F1584"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d'emplois vulnérables (%)</w:t>
            </w:r>
          </w:p>
        </w:tc>
      </w:tr>
      <w:tr w:rsidR="007F1584" w:rsidRPr="00BD0B1E" w:rsidTr="00C561E4">
        <w:trPr>
          <w:trHeight w:val="281"/>
        </w:trPr>
        <w:tc>
          <w:tcPr>
            <w:tcW w:w="9292" w:type="dxa"/>
            <w:gridSpan w:val="13"/>
            <w:tcBorders>
              <w:top w:val="nil"/>
              <w:left w:val="nil"/>
              <w:bottom w:val="nil"/>
              <w:right w:val="nil"/>
            </w:tcBorders>
            <w:shd w:val="clear" w:color="auto" w:fill="DAEEF3" w:themeFill="accent5" w:themeFillTint="33"/>
          </w:tcPr>
          <w:p w:rsidR="007F1584" w:rsidRPr="00BD0B1E" w:rsidRDefault="007F1584" w:rsidP="00224ADE">
            <w:pPr>
              <w:spacing w:line="240" w:lineRule="auto"/>
              <w:rPr>
                <w:rFonts w:ascii="Times New Roman" w:eastAsia="Times New Roman" w:hAnsi="Times New Roman"/>
                <w:b/>
                <w:color w:val="000000"/>
                <w:lang w:eastAsia="fr-FR"/>
              </w:rPr>
            </w:pPr>
            <w:r w:rsidRPr="00BD0B1E">
              <w:rPr>
                <w:rFonts w:ascii="Times New Roman" w:eastAsia="Times New Roman" w:hAnsi="Times New Roman"/>
                <w:b/>
                <w:color w:val="000000"/>
                <w:lang w:eastAsia="fr-FR"/>
              </w:rPr>
              <w:t>Milieu de résidence</w:t>
            </w:r>
          </w:p>
        </w:tc>
      </w:tr>
      <w:tr w:rsidR="007F1584" w:rsidRPr="00BD0B1E" w:rsidTr="00C561E4">
        <w:trPr>
          <w:trHeight w:val="281"/>
        </w:trPr>
        <w:tc>
          <w:tcPr>
            <w:tcW w:w="993" w:type="dxa"/>
            <w:gridSpan w:val="2"/>
            <w:tcBorders>
              <w:top w:val="nil"/>
              <w:left w:val="nil"/>
              <w:bottom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Urbain</w:t>
            </w:r>
          </w:p>
        </w:tc>
        <w:tc>
          <w:tcPr>
            <w:tcW w:w="64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97,3</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2,7</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35,9</w:t>
            </w:r>
          </w:p>
        </w:tc>
        <w:tc>
          <w:tcPr>
            <w:tcW w:w="684"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24,8</w:t>
            </w:r>
          </w:p>
        </w:tc>
        <w:tc>
          <w:tcPr>
            <w:tcW w:w="881"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52,6</w:t>
            </w:r>
          </w:p>
        </w:tc>
        <w:tc>
          <w:tcPr>
            <w:tcW w:w="89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15,0</w:t>
            </w:r>
          </w:p>
        </w:tc>
        <w:tc>
          <w:tcPr>
            <w:tcW w:w="683"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60,1</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11,0</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90,3</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73,3</w:t>
            </w:r>
          </w:p>
        </w:tc>
      </w:tr>
      <w:tr w:rsidR="007F1584" w:rsidRPr="00BD0B1E" w:rsidTr="00C561E4">
        <w:trPr>
          <w:trHeight w:val="281"/>
        </w:trPr>
        <w:tc>
          <w:tcPr>
            <w:tcW w:w="993" w:type="dxa"/>
            <w:gridSpan w:val="2"/>
            <w:tcBorders>
              <w:top w:val="nil"/>
              <w:left w:val="nil"/>
              <w:bottom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Rural</w:t>
            </w:r>
          </w:p>
        </w:tc>
        <w:tc>
          <w:tcPr>
            <w:tcW w:w="64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99,1</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0,9</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43,3</w:t>
            </w:r>
          </w:p>
        </w:tc>
        <w:tc>
          <w:tcPr>
            <w:tcW w:w="684"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34,6</w:t>
            </w:r>
          </w:p>
        </w:tc>
        <w:tc>
          <w:tcPr>
            <w:tcW w:w="881"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71,2</w:t>
            </w:r>
          </w:p>
        </w:tc>
        <w:tc>
          <w:tcPr>
            <w:tcW w:w="89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2,6</w:t>
            </w:r>
          </w:p>
        </w:tc>
        <w:tc>
          <w:tcPr>
            <w:tcW w:w="683"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63,9</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18,8</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98,4</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91,7</w:t>
            </w:r>
          </w:p>
        </w:tc>
      </w:tr>
      <w:tr w:rsidR="007F1584" w:rsidRPr="00BD0B1E" w:rsidTr="00C561E4">
        <w:trPr>
          <w:trHeight w:val="281"/>
        </w:trPr>
        <w:tc>
          <w:tcPr>
            <w:tcW w:w="9292" w:type="dxa"/>
            <w:gridSpan w:val="13"/>
            <w:tcBorders>
              <w:top w:val="nil"/>
              <w:left w:val="nil"/>
              <w:bottom w:val="nil"/>
              <w:right w:val="nil"/>
            </w:tcBorders>
            <w:shd w:val="clear" w:color="auto" w:fill="DAEEF3" w:themeFill="accent5" w:themeFillTint="33"/>
          </w:tcPr>
          <w:p w:rsidR="007F1584" w:rsidRPr="00BD0B1E" w:rsidRDefault="007F1584" w:rsidP="00224ADE">
            <w:pPr>
              <w:spacing w:line="240" w:lineRule="auto"/>
              <w:rPr>
                <w:rFonts w:ascii="Times New Roman" w:eastAsia="Times New Roman" w:hAnsi="Times New Roman"/>
                <w:b/>
                <w:color w:val="000000"/>
                <w:lang w:eastAsia="fr-FR"/>
              </w:rPr>
            </w:pPr>
            <w:r w:rsidRPr="00BD0B1E">
              <w:rPr>
                <w:rFonts w:ascii="Times New Roman" w:eastAsia="Times New Roman" w:hAnsi="Times New Roman"/>
                <w:b/>
                <w:color w:val="000000"/>
                <w:lang w:eastAsia="fr-FR"/>
              </w:rPr>
              <w:t>Sexe du jeune</w:t>
            </w:r>
          </w:p>
        </w:tc>
      </w:tr>
      <w:tr w:rsidR="007F1584" w:rsidRPr="00BD0B1E" w:rsidTr="00C561E4">
        <w:trPr>
          <w:trHeight w:val="281"/>
        </w:trPr>
        <w:tc>
          <w:tcPr>
            <w:tcW w:w="993" w:type="dxa"/>
            <w:gridSpan w:val="2"/>
            <w:tcBorders>
              <w:top w:val="nil"/>
              <w:left w:val="nil"/>
              <w:bottom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Masculin</w:t>
            </w:r>
          </w:p>
        </w:tc>
        <w:tc>
          <w:tcPr>
            <w:tcW w:w="64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98,4</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1,6</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30,4</w:t>
            </w:r>
          </w:p>
        </w:tc>
        <w:tc>
          <w:tcPr>
            <w:tcW w:w="684"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24,0</w:t>
            </w:r>
          </w:p>
        </w:tc>
        <w:tc>
          <w:tcPr>
            <w:tcW w:w="881"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48,2</w:t>
            </w:r>
          </w:p>
        </w:tc>
        <w:tc>
          <w:tcPr>
            <w:tcW w:w="89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12,7</w:t>
            </w:r>
          </w:p>
        </w:tc>
        <w:tc>
          <w:tcPr>
            <w:tcW w:w="683"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58,6</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17,7</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91,8</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76,0</w:t>
            </w:r>
          </w:p>
        </w:tc>
      </w:tr>
      <w:tr w:rsidR="007F1584" w:rsidRPr="00BD0B1E" w:rsidTr="00C561E4">
        <w:trPr>
          <w:trHeight w:val="281"/>
        </w:trPr>
        <w:tc>
          <w:tcPr>
            <w:tcW w:w="993" w:type="dxa"/>
            <w:gridSpan w:val="2"/>
            <w:tcBorders>
              <w:top w:val="nil"/>
              <w:left w:val="nil"/>
              <w:bottom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Féminin</w:t>
            </w:r>
          </w:p>
        </w:tc>
        <w:tc>
          <w:tcPr>
            <w:tcW w:w="64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98,2</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1,8</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43,5</w:t>
            </w:r>
          </w:p>
        </w:tc>
        <w:tc>
          <w:tcPr>
            <w:tcW w:w="684"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35,2</w:t>
            </w:r>
          </w:p>
        </w:tc>
        <w:tc>
          <w:tcPr>
            <w:tcW w:w="881"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74,7</w:t>
            </w:r>
          </w:p>
        </w:tc>
        <w:tc>
          <w:tcPr>
            <w:tcW w:w="89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4,4</w:t>
            </w:r>
          </w:p>
        </w:tc>
        <w:tc>
          <w:tcPr>
            <w:tcW w:w="683"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65,1</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13,7</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97,3</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89,6</w:t>
            </w:r>
          </w:p>
        </w:tc>
      </w:tr>
      <w:tr w:rsidR="007F1584" w:rsidRPr="00BD0B1E" w:rsidTr="00C561E4">
        <w:trPr>
          <w:trHeight w:val="281"/>
        </w:trPr>
        <w:tc>
          <w:tcPr>
            <w:tcW w:w="9292" w:type="dxa"/>
            <w:gridSpan w:val="13"/>
            <w:tcBorders>
              <w:top w:val="nil"/>
              <w:left w:val="nil"/>
              <w:bottom w:val="nil"/>
              <w:right w:val="nil"/>
            </w:tcBorders>
            <w:shd w:val="clear" w:color="auto" w:fill="DAEEF3" w:themeFill="accent5" w:themeFillTint="33"/>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b/>
                <w:color w:val="000000"/>
                <w:lang w:eastAsia="fr-FR"/>
              </w:rPr>
              <w:t>Age du jeune (années)</w:t>
            </w:r>
          </w:p>
        </w:tc>
      </w:tr>
      <w:tr w:rsidR="007F1584" w:rsidRPr="00BD0B1E" w:rsidTr="00C561E4">
        <w:trPr>
          <w:trHeight w:val="281"/>
        </w:trPr>
        <w:tc>
          <w:tcPr>
            <w:tcW w:w="820" w:type="dxa"/>
            <w:tcBorders>
              <w:top w:val="nil"/>
              <w:left w:val="nil"/>
              <w:bottom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15-19</w:t>
            </w:r>
          </w:p>
        </w:tc>
        <w:tc>
          <w:tcPr>
            <w:tcW w:w="819"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98,6</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1,4</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40,1</w:t>
            </w:r>
          </w:p>
        </w:tc>
        <w:tc>
          <w:tcPr>
            <w:tcW w:w="684"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31,6</w:t>
            </w:r>
          </w:p>
        </w:tc>
        <w:tc>
          <w:tcPr>
            <w:tcW w:w="881"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90,5</w:t>
            </w:r>
          </w:p>
        </w:tc>
        <w:tc>
          <w:tcPr>
            <w:tcW w:w="89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w:t>
            </w:r>
          </w:p>
        </w:tc>
        <w:tc>
          <w:tcPr>
            <w:tcW w:w="683"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17,3</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18,1</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99,1</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70,6</w:t>
            </w:r>
          </w:p>
        </w:tc>
      </w:tr>
      <w:tr w:rsidR="007F1584" w:rsidRPr="00BD0B1E" w:rsidTr="00C561E4">
        <w:trPr>
          <w:trHeight w:val="281"/>
        </w:trPr>
        <w:tc>
          <w:tcPr>
            <w:tcW w:w="820" w:type="dxa"/>
            <w:tcBorders>
              <w:top w:val="nil"/>
              <w:left w:val="nil"/>
              <w:bottom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20-24</w:t>
            </w:r>
          </w:p>
        </w:tc>
        <w:tc>
          <w:tcPr>
            <w:tcW w:w="819"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96,9</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31,2</w:t>
            </w:r>
          </w:p>
        </w:tc>
        <w:tc>
          <w:tcPr>
            <w:tcW w:w="684"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32,2</w:t>
            </w:r>
          </w:p>
        </w:tc>
        <w:tc>
          <w:tcPr>
            <w:tcW w:w="881" w:type="dxa"/>
            <w:gridSpan w:val="2"/>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74,7</w:t>
            </w:r>
          </w:p>
        </w:tc>
        <w:tc>
          <w:tcPr>
            <w:tcW w:w="896"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6,9</w:t>
            </w:r>
          </w:p>
        </w:tc>
        <w:tc>
          <w:tcPr>
            <w:tcW w:w="683"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49,3</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16,2</w:t>
            </w:r>
          </w:p>
        </w:tc>
        <w:tc>
          <w:tcPr>
            <w:tcW w:w="819"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96,2</w:t>
            </w:r>
          </w:p>
        </w:tc>
        <w:tc>
          <w:tcPr>
            <w:tcW w:w="957" w:type="dxa"/>
            <w:tcBorders>
              <w:top w:val="nil"/>
              <w:left w:val="nil"/>
              <w:bottom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79,0</w:t>
            </w:r>
          </w:p>
        </w:tc>
      </w:tr>
      <w:tr w:rsidR="007F1584" w:rsidRPr="00BD0B1E" w:rsidTr="00C561E4">
        <w:trPr>
          <w:trHeight w:val="281"/>
        </w:trPr>
        <w:tc>
          <w:tcPr>
            <w:tcW w:w="820" w:type="dxa"/>
            <w:tcBorders>
              <w:top w:val="nil"/>
              <w:left w:val="nil"/>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25-34</w:t>
            </w:r>
          </w:p>
        </w:tc>
        <w:tc>
          <w:tcPr>
            <w:tcW w:w="819" w:type="dxa"/>
            <w:gridSpan w:val="2"/>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98,6</w:t>
            </w:r>
          </w:p>
        </w:tc>
        <w:tc>
          <w:tcPr>
            <w:tcW w:w="957"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1,4</w:t>
            </w:r>
          </w:p>
        </w:tc>
        <w:tc>
          <w:tcPr>
            <w:tcW w:w="819"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42,1</w:t>
            </w:r>
          </w:p>
        </w:tc>
        <w:tc>
          <w:tcPr>
            <w:tcW w:w="684"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29,7</w:t>
            </w:r>
          </w:p>
        </w:tc>
        <w:tc>
          <w:tcPr>
            <w:tcW w:w="881" w:type="dxa"/>
            <w:gridSpan w:val="2"/>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55,7</w:t>
            </w:r>
          </w:p>
        </w:tc>
        <w:tc>
          <w:tcPr>
            <w:tcW w:w="896"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9,2</w:t>
            </w:r>
          </w:p>
        </w:tc>
        <w:tc>
          <w:tcPr>
            <w:tcW w:w="683"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75,1</w:t>
            </w:r>
          </w:p>
        </w:tc>
        <w:tc>
          <w:tcPr>
            <w:tcW w:w="957"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14,7</w:t>
            </w:r>
          </w:p>
        </w:tc>
        <w:tc>
          <w:tcPr>
            <w:tcW w:w="819"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93,7</w:t>
            </w:r>
          </w:p>
        </w:tc>
        <w:tc>
          <w:tcPr>
            <w:tcW w:w="957" w:type="dxa"/>
            <w:tcBorders>
              <w:top w:val="nil"/>
              <w:left w:val="nil"/>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87,8</w:t>
            </w:r>
          </w:p>
        </w:tc>
      </w:tr>
      <w:tr w:rsidR="007F1584" w:rsidRPr="00BD0B1E" w:rsidTr="00C561E4">
        <w:trPr>
          <w:trHeight w:val="281"/>
        </w:trPr>
        <w:tc>
          <w:tcPr>
            <w:tcW w:w="820" w:type="dxa"/>
            <w:tcBorders>
              <w:top w:val="nil"/>
              <w:left w:val="nil"/>
              <w:bottom w:val="double" w:sz="4" w:space="0" w:color="auto"/>
              <w:right w:val="nil"/>
            </w:tcBorders>
            <w:shd w:val="clear" w:color="auto" w:fill="DAEEF3" w:themeFill="accent5" w:themeFillTint="33"/>
            <w:hideMark/>
          </w:tcPr>
          <w:p w:rsidR="007F1584" w:rsidRPr="00BD0B1E" w:rsidRDefault="007F1584" w:rsidP="00224ADE">
            <w:pPr>
              <w:spacing w:line="240" w:lineRule="auto"/>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Total</w:t>
            </w:r>
          </w:p>
        </w:tc>
        <w:tc>
          <w:tcPr>
            <w:tcW w:w="819" w:type="dxa"/>
            <w:gridSpan w:val="2"/>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98,3</w:t>
            </w:r>
          </w:p>
        </w:tc>
        <w:tc>
          <w:tcPr>
            <w:tcW w:w="957"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1,7</w:t>
            </w:r>
          </w:p>
        </w:tc>
        <w:tc>
          <w:tcPr>
            <w:tcW w:w="819"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37,9</w:t>
            </w:r>
          </w:p>
        </w:tc>
        <w:tc>
          <w:tcPr>
            <w:tcW w:w="684"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30,4</w:t>
            </w:r>
          </w:p>
        </w:tc>
        <w:tc>
          <w:tcPr>
            <w:tcW w:w="881" w:type="dxa"/>
            <w:gridSpan w:val="2"/>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63,2</w:t>
            </w:r>
          </w:p>
        </w:tc>
        <w:tc>
          <w:tcPr>
            <w:tcW w:w="896"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7,9</w:t>
            </w:r>
          </w:p>
        </w:tc>
        <w:tc>
          <w:tcPr>
            <w:tcW w:w="683"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62,3</w:t>
            </w:r>
          </w:p>
        </w:tc>
        <w:tc>
          <w:tcPr>
            <w:tcW w:w="957"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15,4</w:t>
            </w:r>
          </w:p>
        </w:tc>
        <w:tc>
          <w:tcPr>
            <w:tcW w:w="819"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94,9</w:t>
            </w:r>
          </w:p>
        </w:tc>
        <w:tc>
          <w:tcPr>
            <w:tcW w:w="957" w:type="dxa"/>
            <w:tcBorders>
              <w:top w:val="nil"/>
              <w:left w:val="nil"/>
              <w:bottom w:val="double" w:sz="4" w:space="0" w:color="auto"/>
              <w:right w:val="nil"/>
            </w:tcBorders>
            <w:shd w:val="clear" w:color="auto" w:fill="DAEEF3" w:themeFill="accent5" w:themeFillTint="33"/>
            <w:noWrap/>
            <w:hideMark/>
          </w:tcPr>
          <w:p w:rsidR="007F1584" w:rsidRPr="00BD0B1E" w:rsidRDefault="007F1584"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83,8</w:t>
            </w:r>
          </w:p>
        </w:tc>
      </w:tr>
      <w:tr w:rsidR="00C561E4" w:rsidRPr="00BD0B1E" w:rsidTr="00C561E4">
        <w:trPr>
          <w:trHeight w:val="281"/>
        </w:trPr>
        <w:tc>
          <w:tcPr>
            <w:tcW w:w="9292" w:type="dxa"/>
            <w:gridSpan w:val="13"/>
            <w:tcBorders>
              <w:top w:val="double" w:sz="4" w:space="0" w:color="auto"/>
              <w:left w:val="nil"/>
              <w:right w:val="nil"/>
            </w:tcBorders>
            <w:shd w:val="clear" w:color="auto" w:fill="DAEEF3" w:themeFill="accent5" w:themeFillTint="33"/>
            <w:hideMark/>
          </w:tcPr>
          <w:p w:rsidR="00C561E4" w:rsidRPr="00C561E4" w:rsidRDefault="00C561E4" w:rsidP="00C561E4">
            <w:pPr>
              <w:spacing w:line="240" w:lineRule="auto"/>
              <w:rPr>
                <w:rFonts w:ascii="Times New Roman" w:hAnsi="Times New Roman"/>
                <w:sz w:val="20"/>
                <w:szCs w:val="20"/>
              </w:rPr>
            </w:pPr>
            <w:r w:rsidRPr="00C561E4">
              <w:rPr>
                <w:rFonts w:ascii="Times New Roman" w:hAnsi="Times New Roman"/>
                <w:sz w:val="20"/>
                <w:szCs w:val="20"/>
              </w:rPr>
              <w:t>Source : INSAE, 2013</w:t>
            </w:r>
          </w:p>
        </w:tc>
      </w:tr>
    </w:tbl>
    <w:p w:rsidR="007F1584" w:rsidRDefault="007F1584" w:rsidP="007F1584">
      <w:pPr>
        <w:autoSpaceDE w:val="0"/>
        <w:autoSpaceDN w:val="0"/>
        <w:adjustRightInd w:val="0"/>
        <w:spacing w:line="276" w:lineRule="auto"/>
        <w:rPr>
          <w:rFonts w:ascii="Times New Roman" w:hAnsi="Times New Roman"/>
          <w:sz w:val="24"/>
          <w:szCs w:val="24"/>
        </w:rPr>
      </w:pPr>
    </w:p>
    <w:p w:rsidR="007F1584" w:rsidRDefault="007F1584" w:rsidP="007F1584">
      <w:pPr>
        <w:autoSpaceDE w:val="0"/>
        <w:autoSpaceDN w:val="0"/>
        <w:adjustRightInd w:val="0"/>
        <w:spacing w:line="276" w:lineRule="auto"/>
        <w:rPr>
          <w:rFonts w:ascii="Times New Roman" w:hAnsi="Times New Roman"/>
          <w:sz w:val="24"/>
          <w:szCs w:val="24"/>
        </w:rPr>
      </w:pPr>
    </w:p>
    <w:p w:rsidR="007F1584" w:rsidRDefault="007F1584" w:rsidP="007F1584">
      <w:pPr>
        <w:autoSpaceDE w:val="0"/>
        <w:autoSpaceDN w:val="0"/>
        <w:adjustRightInd w:val="0"/>
        <w:spacing w:line="276" w:lineRule="auto"/>
        <w:rPr>
          <w:rFonts w:ascii="Times New Roman" w:hAnsi="Times New Roman"/>
          <w:sz w:val="24"/>
          <w:szCs w:val="24"/>
        </w:rPr>
      </w:pPr>
      <w:r>
        <w:rPr>
          <w:rFonts w:ascii="Times New Roman" w:hAnsi="Times New Roman"/>
          <w:b/>
          <w:sz w:val="24"/>
          <w:szCs w:val="24"/>
        </w:rPr>
        <w:t>Aujourd’hui, l</w:t>
      </w:r>
      <w:r w:rsidRPr="00C41B7B">
        <w:rPr>
          <w:rFonts w:ascii="Times New Roman" w:hAnsi="Times New Roman"/>
          <w:b/>
          <w:sz w:val="24"/>
          <w:szCs w:val="24"/>
        </w:rPr>
        <w:t>’emploi et en particulier celui des jeunes occupe une place importante dans la politique de lutte contre la pauvreté</w:t>
      </w:r>
      <w:r>
        <w:rPr>
          <w:rFonts w:ascii="Times New Roman" w:hAnsi="Times New Roman"/>
          <w:sz w:val="24"/>
          <w:szCs w:val="24"/>
        </w:rPr>
        <w:t>. Cette orientation relève sans doute de la jeunesse de la population béninoise. En effet, la population des moins de 15</w:t>
      </w:r>
      <w:r w:rsidR="001203FF">
        <w:rPr>
          <w:rFonts w:ascii="Times New Roman" w:hAnsi="Times New Roman"/>
          <w:sz w:val="24"/>
          <w:szCs w:val="24"/>
        </w:rPr>
        <w:t xml:space="preserve"> </w:t>
      </w:r>
      <w:r>
        <w:rPr>
          <w:rFonts w:ascii="Times New Roman" w:hAnsi="Times New Roman"/>
          <w:sz w:val="24"/>
          <w:szCs w:val="24"/>
        </w:rPr>
        <w:t xml:space="preserve">ans représente 46,8%  de la population totale contre 5,5% des personnes âgées de 60 ans et plus (cf. RGPH 2002). De plus, </w:t>
      </w:r>
      <w:r w:rsidRPr="0083569A">
        <w:rPr>
          <w:rFonts w:ascii="Times New Roman" w:hAnsi="Times New Roman"/>
          <w:sz w:val="24"/>
          <w:szCs w:val="24"/>
        </w:rPr>
        <w:t>la proportion des</w:t>
      </w:r>
      <w:r w:rsidR="00071595">
        <w:rPr>
          <w:rFonts w:ascii="Times New Roman" w:hAnsi="Times New Roman"/>
          <w:sz w:val="24"/>
          <w:szCs w:val="24"/>
        </w:rPr>
        <w:t xml:space="preserve"> </w:t>
      </w:r>
      <w:r w:rsidRPr="0083569A">
        <w:rPr>
          <w:rFonts w:ascii="Times New Roman" w:hAnsi="Times New Roman"/>
          <w:sz w:val="24"/>
          <w:szCs w:val="24"/>
        </w:rPr>
        <w:t>chômeurs</w:t>
      </w:r>
      <w:r>
        <w:rPr>
          <w:rFonts w:ascii="Times New Roman" w:hAnsi="Times New Roman"/>
          <w:sz w:val="24"/>
          <w:szCs w:val="24"/>
        </w:rPr>
        <w:t xml:space="preserve"> de moins de 35 ans est de</w:t>
      </w:r>
      <w:r w:rsidRPr="0083569A">
        <w:rPr>
          <w:rFonts w:ascii="Times New Roman" w:hAnsi="Times New Roman"/>
          <w:sz w:val="24"/>
          <w:szCs w:val="24"/>
        </w:rPr>
        <w:t xml:space="preserve"> 72%.</w:t>
      </w:r>
      <w:r>
        <w:rPr>
          <w:rFonts w:ascii="Times New Roman" w:hAnsi="Times New Roman"/>
          <w:sz w:val="24"/>
          <w:szCs w:val="24"/>
        </w:rPr>
        <w:t xml:space="preserve"> Il est donc important de redresser la tendance car la promotion de l’emploi décent des jeunes diminuera considérablement le nombre de pauvres puisqu’elle touchera la tranche majoritaire de la population. </w:t>
      </w:r>
    </w:p>
    <w:p w:rsidR="007F1584" w:rsidRDefault="007F1584" w:rsidP="007F1584">
      <w:pPr>
        <w:spacing w:line="276" w:lineRule="auto"/>
        <w:rPr>
          <w:rFonts w:ascii="Times New Roman" w:hAnsi="Times New Roman"/>
          <w:sz w:val="24"/>
          <w:szCs w:val="24"/>
        </w:rPr>
      </w:pPr>
    </w:p>
    <w:p w:rsidR="007F1584" w:rsidRDefault="007F1584" w:rsidP="007F1584">
      <w:pPr>
        <w:spacing w:line="276" w:lineRule="auto"/>
        <w:rPr>
          <w:rFonts w:ascii="Times New Roman" w:hAnsi="Times New Roman"/>
          <w:sz w:val="24"/>
          <w:szCs w:val="24"/>
        </w:rPr>
      </w:pPr>
      <w:r w:rsidRPr="003366C3">
        <w:rPr>
          <w:rFonts w:ascii="Times New Roman" w:hAnsi="Times New Roman"/>
          <w:sz w:val="24"/>
          <w:szCs w:val="24"/>
        </w:rPr>
        <w:t xml:space="preserve">Pour relever </w:t>
      </w:r>
      <w:r>
        <w:rPr>
          <w:rFonts w:ascii="Times New Roman" w:hAnsi="Times New Roman"/>
          <w:sz w:val="24"/>
          <w:szCs w:val="24"/>
        </w:rPr>
        <w:t>ce</w:t>
      </w:r>
      <w:r w:rsidRPr="003366C3">
        <w:rPr>
          <w:rFonts w:ascii="Times New Roman" w:hAnsi="Times New Roman"/>
          <w:sz w:val="24"/>
          <w:szCs w:val="24"/>
        </w:rPr>
        <w:t xml:space="preserve"> défi de la création d’emplois décents et durables pour le plus grand nombre des jeunes femmes et jeunes hommes qui arrivent sur le marché du travail, le </w:t>
      </w:r>
      <w:r w:rsidR="001203FF">
        <w:rPr>
          <w:rFonts w:ascii="Times New Roman" w:hAnsi="Times New Roman"/>
          <w:sz w:val="24"/>
          <w:szCs w:val="24"/>
        </w:rPr>
        <w:t>G</w:t>
      </w:r>
      <w:r w:rsidR="001203FF" w:rsidRPr="003366C3">
        <w:rPr>
          <w:rFonts w:ascii="Times New Roman" w:hAnsi="Times New Roman"/>
          <w:sz w:val="24"/>
          <w:szCs w:val="24"/>
        </w:rPr>
        <w:t xml:space="preserve">ouvernement </w:t>
      </w:r>
      <w:r w:rsidR="001203FF">
        <w:rPr>
          <w:rFonts w:ascii="Times New Roman" w:hAnsi="Times New Roman"/>
          <w:sz w:val="24"/>
          <w:szCs w:val="24"/>
        </w:rPr>
        <w:t>b</w:t>
      </w:r>
      <w:r w:rsidR="001203FF" w:rsidRPr="003366C3">
        <w:rPr>
          <w:rFonts w:ascii="Times New Roman" w:hAnsi="Times New Roman"/>
          <w:sz w:val="24"/>
          <w:szCs w:val="24"/>
        </w:rPr>
        <w:t xml:space="preserve">éninois </w:t>
      </w:r>
      <w:r w:rsidRPr="003366C3">
        <w:rPr>
          <w:rFonts w:ascii="Times New Roman" w:hAnsi="Times New Roman"/>
          <w:sz w:val="24"/>
          <w:szCs w:val="24"/>
        </w:rPr>
        <w:t>a mis en place, en 2010, un document stratégique intitulé « Politique Nationale de</w:t>
      </w:r>
      <w:r w:rsidRPr="007C4F7C">
        <w:rPr>
          <w:rFonts w:ascii="Times New Roman" w:hAnsi="Times New Roman"/>
          <w:sz w:val="24"/>
          <w:szCs w:val="24"/>
        </w:rPr>
        <w:t xml:space="preserve"> l’Emploi et Plan d’Actions 2010-2014 ».  Ce document donne les orientations de la Politique Nationale d’Emploi (PNE) ainsi que les stratégies à adopter pour offrir aux actifs béninois des emploi</w:t>
      </w:r>
      <w:r w:rsidR="001203FF">
        <w:rPr>
          <w:rFonts w:ascii="Times New Roman" w:hAnsi="Times New Roman"/>
          <w:sz w:val="24"/>
          <w:szCs w:val="24"/>
        </w:rPr>
        <w:t>s</w:t>
      </w:r>
      <w:r w:rsidRPr="007C4F7C">
        <w:rPr>
          <w:rFonts w:ascii="Times New Roman" w:hAnsi="Times New Roman"/>
          <w:sz w:val="24"/>
          <w:szCs w:val="24"/>
        </w:rPr>
        <w:t xml:space="preserve"> décents et durables permettant de réduire significativement la pauvreté</w:t>
      </w:r>
      <w:r>
        <w:rPr>
          <w:rFonts w:ascii="Times New Roman" w:hAnsi="Times New Roman"/>
          <w:sz w:val="24"/>
          <w:szCs w:val="24"/>
        </w:rPr>
        <w:t>. Auparavant</w:t>
      </w:r>
      <w:r w:rsidR="001203FF">
        <w:rPr>
          <w:rFonts w:ascii="Times New Roman" w:hAnsi="Times New Roman"/>
          <w:sz w:val="24"/>
          <w:szCs w:val="24"/>
        </w:rPr>
        <w:t>,</w:t>
      </w:r>
      <w:r>
        <w:rPr>
          <w:rFonts w:ascii="Times New Roman" w:hAnsi="Times New Roman"/>
          <w:sz w:val="24"/>
          <w:szCs w:val="24"/>
        </w:rPr>
        <w:t xml:space="preserve"> plusieurs</w:t>
      </w:r>
      <w:r w:rsidRPr="00F01082">
        <w:rPr>
          <w:rFonts w:ascii="Times New Roman" w:hAnsi="Times New Roman"/>
          <w:sz w:val="24"/>
          <w:szCs w:val="24"/>
        </w:rPr>
        <w:t xml:space="preserve"> initiatives </w:t>
      </w:r>
      <w:r>
        <w:rPr>
          <w:rFonts w:ascii="Times New Roman" w:hAnsi="Times New Roman"/>
          <w:sz w:val="24"/>
          <w:szCs w:val="24"/>
        </w:rPr>
        <w:t xml:space="preserve">avaient </w:t>
      </w:r>
      <w:r w:rsidRPr="00F01082">
        <w:rPr>
          <w:rFonts w:ascii="Times New Roman" w:hAnsi="Times New Roman"/>
          <w:sz w:val="24"/>
          <w:szCs w:val="24"/>
        </w:rPr>
        <w:t>été prises par le Gouvernement</w:t>
      </w:r>
      <w:r>
        <w:rPr>
          <w:rFonts w:ascii="Times New Roman" w:hAnsi="Times New Roman"/>
          <w:sz w:val="24"/>
          <w:szCs w:val="24"/>
        </w:rPr>
        <w:t xml:space="preserve">. Malgré ces mesures, </w:t>
      </w:r>
      <w:r w:rsidRPr="00B87BDC">
        <w:rPr>
          <w:rFonts w:ascii="Times New Roman" w:hAnsi="Times New Roman"/>
          <w:sz w:val="24"/>
          <w:szCs w:val="24"/>
        </w:rPr>
        <w:t xml:space="preserve">le niveau de pauvreté monétaire des actifs béninois reste très élevé </w:t>
      </w:r>
      <w:r>
        <w:rPr>
          <w:rFonts w:ascii="Times New Roman" w:hAnsi="Times New Roman"/>
          <w:sz w:val="24"/>
          <w:szCs w:val="24"/>
        </w:rPr>
        <w:t xml:space="preserve">comme mentionné ci-dessus.  </w:t>
      </w:r>
    </w:p>
    <w:p w:rsidR="007F1584" w:rsidRPr="001203FF" w:rsidRDefault="00832112" w:rsidP="007F1584">
      <w:pPr>
        <w:spacing w:before="100" w:beforeAutospacing="1" w:after="100" w:afterAutospacing="1" w:line="276" w:lineRule="auto"/>
        <w:rPr>
          <w:rFonts w:ascii="Times New Roman" w:hAnsi="Times New Roman"/>
          <w:sz w:val="24"/>
          <w:szCs w:val="24"/>
        </w:rPr>
      </w:pPr>
      <w:r w:rsidRPr="00832112">
        <w:rPr>
          <w:rFonts w:ascii="Times New Roman" w:hAnsi="Times New Roman"/>
          <w:sz w:val="24"/>
          <w:szCs w:val="24"/>
        </w:rPr>
        <w:t xml:space="preserve">Les enjeux de la politique d’emploi au Bénin aujourd’hui sont nombreux. Les plus urgents  sont de : (i) garantir un emploi décent et stable aux Béninois, (ii) réduire le secteur informel, (iii) favoriser la croissance inclusive. </w:t>
      </w:r>
    </w:p>
    <w:p w:rsidR="00CE79B0" w:rsidRPr="00670743" w:rsidRDefault="001064B7" w:rsidP="00670743">
      <w:pPr>
        <w:pStyle w:val="Titre2"/>
        <w:spacing w:before="0" w:line="276" w:lineRule="auto"/>
        <w:rPr>
          <w:rFonts w:ascii="Times New Roman" w:hAnsi="Times New Roman" w:cs="Times New Roman"/>
          <w:i w:val="0"/>
          <w:color w:val="31849B" w:themeColor="accent5" w:themeShade="BF"/>
        </w:rPr>
      </w:pPr>
      <w:bookmarkStart w:id="12" w:name="_Toc382322904"/>
      <w:r w:rsidRPr="00670743">
        <w:rPr>
          <w:rFonts w:ascii="Times New Roman" w:hAnsi="Times New Roman" w:cs="Times New Roman"/>
          <w:i w:val="0"/>
          <w:color w:val="31849B" w:themeColor="accent5" w:themeShade="BF"/>
        </w:rPr>
        <w:t xml:space="preserve">Inégalités d’accès </w:t>
      </w:r>
      <w:r w:rsidR="007578BB" w:rsidRPr="00670743">
        <w:rPr>
          <w:rFonts w:ascii="Times New Roman" w:hAnsi="Times New Roman" w:cs="Times New Roman"/>
          <w:i w:val="0"/>
          <w:color w:val="31849B" w:themeColor="accent5" w:themeShade="BF"/>
        </w:rPr>
        <w:t>entre sexe</w:t>
      </w:r>
      <w:r w:rsidR="001203FF">
        <w:rPr>
          <w:rFonts w:ascii="Times New Roman" w:hAnsi="Times New Roman" w:cs="Times New Roman"/>
          <w:i w:val="0"/>
          <w:color w:val="31849B" w:themeColor="accent5" w:themeShade="BF"/>
        </w:rPr>
        <w:t>s</w:t>
      </w:r>
      <w:bookmarkEnd w:id="12"/>
    </w:p>
    <w:p w:rsidR="00CD1314" w:rsidRPr="00CD1314" w:rsidRDefault="00CD1314" w:rsidP="00514BC8">
      <w:pPr>
        <w:spacing w:line="276" w:lineRule="auto"/>
        <w:rPr>
          <w:rFonts w:ascii="Times New Roman" w:hAnsi="Times New Roman"/>
          <w:sz w:val="12"/>
          <w:szCs w:val="12"/>
        </w:rPr>
      </w:pPr>
    </w:p>
    <w:p w:rsidR="00514BC8" w:rsidRDefault="00514BC8" w:rsidP="00514BC8">
      <w:pPr>
        <w:spacing w:line="276" w:lineRule="auto"/>
        <w:rPr>
          <w:rFonts w:ascii="Times New Roman" w:hAnsi="Times New Roman"/>
          <w:sz w:val="24"/>
          <w:szCs w:val="24"/>
        </w:rPr>
      </w:pPr>
      <w:r w:rsidRPr="00471BE3">
        <w:rPr>
          <w:rFonts w:ascii="Times New Roman" w:hAnsi="Times New Roman"/>
          <w:sz w:val="24"/>
          <w:szCs w:val="24"/>
        </w:rPr>
        <w:t xml:space="preserve">L’analyse est focalisée sur </w:t>
      </w:r>
      <w:r>
        <w:rPr>
          <w:rFonts w:ascii="Times New Roman" w:hAnsi="Times New Roman"/>
          <w:sz w:val="24"/>
          <w:szCs w:val="24"/>
        </w:rPr>
        <w:t xml:space="preserve">les </w:t>
      </w:r>
      <w:r w:rsidRPr="00471BE3">
        <w:rPr>
          <w:rFonts w:ascii="Times New Roman" w:hAnsi="Times New Roman"/>
          <w:sz w:val="24"/>
          <w:szCs w:val="24"/>
        </w:rPr>
        <w:t>inégalités d’accès entre sexe</w:t>
      </w:r>
      <w:r w:rsidR="001203FF">
        <w:rPr>
          <w:rFonts w:ascii="Times New Roman" w:hAnsi="Times New Roman"/>
          <w:sz w:val="24"/>
          <w:szCs w:val="24"/>
        </w:rPr>
        <w:t>s</w:t>
      </w:r>
      <w:r w:rsidRPr="00471BE3">
        <w:rPr>
          <w:rFonts w:ascii="Times New Roman" w:hAnsi="Times New Roman"/>
          <w:sz w:val="24"/>
          <w:szCs w:val="24"/>
        </w:rPr>
        <w:t>, notamment le pouvoir économique des femmes. Il est basé sur l’Indice de Développement et des Inégalités entre les Sexes en Afrique (IDISA).</w:t>
      </w:r>
    </w:p>
    <w:p w:rsidR="00514BC8" w:rsidRPr="00471BE3" w:rsidRDefault="00514BC8" w:rsidP="00514BC8">
      <w:pPr>
        <w:spacing w:line="276" w:lineRule="auto"/>
        <w:rPr>
          <w:rFonts w:ascii="Times New Roman" w:hAnsi="Times New Roman"/>
          <w:sz w:val="24"/>
          <w:szCs w:val="24"/>
        </w:rPr>
      </w:pPr>
    </w:p>
    <w:p w:rsidR="007578BB" w:rsidRPr="008F0B37" w:rsidRDefault="001064B7" w:rsidP="007578BB">
      <w:pPr>
        <w:spacing w:line="276" w:lineRule="auto"/>
        <w:rPr>
          <w:rFonts w:ascii="Times New Roman" w:hAnsi="Times New Roman"/>
          <w:sz w:val="24"/>
          <w:szCs w:val="24"/>
        </w:rPr>
      </w:pPr>
      <w:r w:rsidRPr="001064B7">
        <w:rPr>
          <w:rFonts w:ascii="Times New Roman" w:hAnsi="Times New Roman"/>
          <w:b/>
          <w:sz w:val="24"/>
          <w:szCs w:val="24"/>
        </w:rPr>
        <w:t>Les femmes sont caractérisées par un faible pouvoir économique comparées aux hommes mais elles apparaissent  moins vulnérables à la pauvreté que les hommes</w:t>
      </w:r>
      <w:r w:rsidR="007578BB" w:rsidRPr="008F0B37">
        <w:rPr>
          <w:rFonts w:ascii="Times New Roman" w:hAnsi="Times New Roman"/>
          <w:sz w:val="24"/>
          <w:szCs w:val="24"/>
        </w:rPr>
        <w:t xml:space="preserve">. Cette situation s’expliquerait en partie par le fait que les ménages dirigés par les femmes sont plus exposées aux chocs économiques qui ont un impact limité sur la pauvreté. Ce qui n’est pas le cas pour les ménages dirigés par les hommes qui ont davantage subi des chocs biophysiques qui sont avérés comme un des déterminants de la pauvreté au Bénin. En outre, </w:t>
      </w:r>
      <w:r w:rsidR="007578BB">
        <w:rPr>
          <w:rFonts w:ascii="Times New Roman" w:hAnsi="Times New Roman"/>
          <w:sz w:val="24"/>
          <w:szCs w:val="24"/>
        </w:rPr>
        <w:t xml:space="preserve"> les </w:t>
      </w:r>
      <w:r w:rsidR="007578BB" w:rsidRPr="006A6A25">
        <w:rPr>
          <w:rFonts w:ascii="Times New Roman" w:hAnsi="Times New Roman"/>
          <w:sz w:val="24"/>
          <w:szCs w:val="24"/>
        </w:rPr>
        <w:t xml:space="preserve">stratégies de lutte contre la pauvreté </w:t>
      </w:r>
      <w:r w:rsidR="007578BB">
        <w:rPr>
          <w:rFonts w:ascii="Times New Roman" w:hAnsi="Times New Roman"/>
          <w:sz w:val="24"/>
          <w:szCs w:val="24"/>
        </w:rPr>
        <w:t xml:space="preserve">mises en œuvre telles que </w:t>
      </w:r>
      <w:r w:rsidR="007578BB" w:rsidRPr="006A6A25">
        <w:rPr>
          <w:rFonts w:ascii="Times New Roman" w:hAnsi="Times New Roman"/>
          <w:sz w:val="24"/>
          <w:szCs w:val="24"/>
        </w:rPr>
        <w:t>le programm</w:t>
      </w:r>
      <w:r w:rsidR="007578BB">
        <w:rPr>
          <w:rFonts w:ascii="Times New Roman" w:hAnsi="Times New Roman"/>
          <w:sz w:val="24"/>
          <w:szCs w:val="24"/>
        </w:rPr>
        <w:t>e</w:t>
      </w:r>
      <w:r w:rsidR="007578BB" w:rsidRPr="006A6A25">
        <w:rPr>
          <w:rFonts w:ascii="Times New Roman" w:hAnsi="Times New Roman"/>
          <w:sz w:val="24"/>
          <w:szCs w:val="24"/>
        </w:rPr>
        <w:t xml:space="preserve"> de microcrédit aux plus pauvres </w:t>
      </w:r>
      <w:r w:rsidR="007578BB">
        <w:rPr>
          <w:rFonts w:ascii="Times New Roman" w:hAnsi="Times New Roman"/>
          <w:sz w:val="24"/>
          <w:szCs w:val="24"/>
        </w:rPr>
        <w:t>semble avoir plus  profité</w:t>
      </w:r>
      <w:r w:rsidR="007578BB" w:rsidRPr="006A6A25">
        <w:rPr>
          <w:rFonts w:ascii="Times New Roman" w:hAnsi="Times New Roman"/>
          <w:sz w:val="24"/>
          <w:szCs w:val="24"/>
        </w:rPr>
        <w:t xml:space="preserve"> aux femmes qu’aux hommes</w:t>
      </w:r>
      <w:r w:rsidR="007578BB">
        <w:rPr>
          <w:rFonts w:ascii="Times New Roman" w:hAnsi="Times New Roman"/>
          <w:sz w:val="24"/>
          <w:szCs w:val="24"/>
        </w:rPr>
        <w:t xml:space="preserve">. </w:t>
      </w:r>
    </w:p>
    <w:p w:rsidR="007578BB" w:rsidRDefault="007578BB" w:rsidP="007578BB">
      <w:pPr>
        <w:spacing w:line="276" w:lineRule="auto"/>
        <w:rPr>
          <w:rFonts w:ascii="Times New Roman" w:hAnsi="Times New Roman"/>
          <w:sz w:val="24"/>
          <w:szCs w:val="24"/>
          <w:highlight w:val="yellow"/>
        </w:rPr>
      </w:pPr>
    </w:p>
    <w:p w:rsidR="007578BB" w:rsidRPr="008717CD" w:rsidRDefault="007578BB" w:rsidP="007578BB">
      <w:pPr>
        <w:spacing w:line="276" w:lineRule="auto"/>
        <w:rPr>
          <w:rFonts w:ascii="Times New Roman" w:hAnsi="Times New Roman"/>
          <w:sz w:val="24"/>
          <w:szCs w:val="24"/>
        </w:rPr>
      </w:pPr>
      <w:r>
        <w:rPr>
          <w:rFonts w:ascii="Times New Roman" w:hAnsi="Times New Roman"/>
          <w:sz w:val="24"/>
          <w:szCs w:val="24"/>
        </w:rPr>
        <w:t xml:space="preserve">Les obstacles fondés sur le sexe qui expliquent les inégalités d’accès en termes de pouvoir économique au Bénin sont liés au </w:t>
      </w:r>
      <w:r w:rsidRPr="00E05850">
        <w:rPr>
          <w:rFonts w:ascii="Times New Roman" w:hAnsi="Times New Roman"/>
          <w:sz w:val="24"/>
          <w:szCs w:val="24"/>
        </w:rPr>
        <w:t xml:space="preserve">niveau d’instruction, </w:t>
      </w:r>
      <w:r w:rsidR="001203FF">
        <w:rPr>
          <w:rFonts w:ascii="Times New Roman" w:hAnsi="Times New Roman"/>
          <w:sz w:val="24"/>
          <w:szCs w:val="24"/>
        </w:rPr>
        <w:t xml:space="preserve">à </w:t>
      </w:r>
      <w:r w:rsidRPr="00E05850">
        <w:rPr>
          <w:rFonts w:ascii="Times New Roman" w:hAnsi="Times New Roman"/>
          <w:sz w:val="24"/>
          <w:szCs w:val="24"/>
        </w:rPr>
        <w:t>la taille du ménage</w:t>
      </w:r>
      <w:r>
        <w:rPr>
          <w:rFonts w:ascii="Times New Roman" w:hAnsi="Times New Roman"/>
          <w:sz w:val="24"/>
          <w:szCs w:val="24"/>
        </w:rPr>
        <w:t xml:space="preserve">, </w:t>
      </w:r>
      <w:r w:rsidR="001203FF">
        <w:rPr>
          <w:rFonts w:ascii="Times New Roman" w:hAnsi="Times New Roman"/>
          <w:sz w:val="24"/>
          <w:szCs w:val="24"/>
        </w:rPr>
        <w:t xml:space="preserve">au </w:t>
      </w:r>
      <w:r w:rsidRPr="00E05850">
        <w:rPr>
          <w:rFonts w:ascii="Times New Roman" w:hAnsi="Times New Roman"/>
          <w:sz w:val="24"/>
          <w:szCs w:val="24"/>
        </w:rPr>
        <w:t xml:space="preserve">type d’emploi, </w:t>
      </w:r>
      <w:r w:rsidR="001203FF">
        <w:rPr>
          <w:rFonts w:ascii="Times New Roman" w:hAnsi="Times New Roman"/>
          <w:sz w:val="24"/>
          <w:szCs w:val="24"/>
        </w:rPr>
        <w:t xml:space="preserve">à </w:t>
      </w:r>
      <w:r w:rsidRPr="00E05850">
        <w:rPr>
          <w:rFonts w:ascii="Times New Roman" w:hAnsi="Times New Roman"/>
          <w:sz w:val="24"/>
          <w:szCs w:val="24"/>
        </w:rPr>
        <w:t>la ca</w:t>
      </w:r>
      <w:r w:rsidR="00514BC8">
        <w:rPr>
          <w:rFonts w:ascii="Times New Roman" w:hAnsi="Times New Roman"/>
          <w:sz w:val="24"/>
          <w:szCs w:val="24"/>
        </w:rPr>
        <w:t xml:space="preserve">tégorie socioprofessionnelle, </w:t>
      </w:r>
      <w:r w:rsidR="001203FF">
        <w:rPr>
          <w:rFonts w:ascii="Times New Roman" w:hAnsi="Times New Roman"/>
          <w:sz w:val="24"/>
          <w:szCs w:val="24"/>
        </w:rPr>
        <w:t xml:space="preserve">à </w:t>
      </w:r>
      <w:r w:rsidRPr="00E05850">
        <w:rPr>
          <w:rFonts w:ascii="Times New Roman" w:hAnsi="Times New Roman"/>
          <w:sz w:val="24"/>
          <w:szCs w:val="24"/>
        </w:rPr>
        <w:t>la branche d’activités</w:t>
      </w:r>
      <w:r>
        <w:rPr>
          <w:rFonts w:ascii="Times New Roman" w:hAnsi="Times New Roman"/>
          <w:sz w:val="24"/>
          <w:szCs w:val="24"/>
        </w:rPr>
        <w:t xml:space="preserve">, </w:t>
      </w:r>
      <w:r w:rsidR="001203FF">
        <w:rPr>
          <w:rFonts w:ascii="Times New Roman" w:hAnsi="Times New Roman"/>
          <w:sz w:val="24"/>
          <w:szCs w:val="24"/>
        </w:rPr>
        <w:t xml:space="preserve">au </w:t>
      </w:r>
      <w:r>
        <w:rPr>
          <w:rFonts w:ascii="Times New Roman" w:hAnsi="Times New Roman"/>
          <w:sz w:val="24"/>
          <w:szCs w:val="24"/>
        </w:rPr>
        <w:t xml:space="preserve">milieu de résidence, </w:t>
      </w:r>
      <w:r w:rsidR="001203FF">
        <w:rPr>
          <w:rFonts w:ascii="Times New Roman" w:hAnsi="Times New Roman"/>
          <w:sz w:val="24"/>
          <w:szCs w:val="24"/>
        </w:rPr>
        <w:t xml:space="preserve">à </w:t>
      </w:r>
      <w:r>
        <w:rPr>
          <w:rFonts w:ascii="Times New Roman" w:hAnsi="Times New Roman"/>
          <w:sz w:val="24"/>
          <w:szCs w:val="24"/>
        </w:rPr>
        <w:t>l</w:t>
      </w:r>
      <w:r w:rsidRPr="00E05850">
        <w:rPr>
          <w:rFonts w:ascii="Times New Roman" w:hAnsi="Times New Roman"/>
          <w:sz w:val="24"/>
          <w:szCs w:val="24"/>
        </w:rPr>
        <w:t>’âge</w:t>
      </w:r>
      <w:r>
        <w:rPr>
          <w:rFonts w:ascii="Times New Roman" w:hAnsi="Times New Roman"/>
          <w:sz w:val="24"/>
          <w:szCs w:val="24"/>
        </w:rPr>
        <w:t xml:space="preserve"> et au </w:t>
      </w:r>
      <w:r w:rsidRPr="00223F40">
        <w:rPr>
          <w:rFonts w:ascii="Times New Roman" w:hAnsi="Times New Roman"/>
          <w:sz w:val="24"/>
          <w:szCs w:val="24"/>
        </w:rPr>
        <w:t>statut migratoire</w:t>
      </w:r>
      <w:r>
        <w:rPr>
          <w:rFonts w:ascii="Times New Roman" w:hAnsi="Times New Roman"/>
          <w:sz w:val="24"/>
          <w:szCs w:val="24"/>
        </w:rPr>
        <w:t xml:space="preserve">. </w:t>
      </w:r>
      <w:r w:rsidR="00514BC8">
        <w:rPr>
          <w:rFonts w:ascii="Times New Roman" w:hAnsi="Times New Roman"/>
          <w:sz w:val="24"/>
          <w:szCs w:val="24"/>
        </w:rPr>
        <w:t>Il</w:t>
      </w:r>
      <w:r>
        <w:rPr>
          <w:rFonts w:ascii="Times New Roman" w:hAnsi="Times New Roman"/>
          <w:sz w:val="24"/>
          <w:szCs w:val="24"/>
        </w:rPr>
        <w:t xml:space="preserve">s  constituent des </w:t>
      </w:r>
      <w:r w:rsidRPr="00E05850">
        <w:rPr>
          <w:rFonts w:ascii="Times New Roman" w:hAnsi="Times New Roman"/>
          <w:sz w:val="24"/>
          <w:szCs w:val="24"/>
        </w:rPr>
        <w:t xml:space="preserve"> facteurs de différenciation du niveau de pauvreté aussi bien chez les hommes que chez les femmes.</w:t>
      </w:r>
      <w:r>
        <w:rPr>
          <w:rFonts w:ascii="Times New Roman" w:hAnsi="Times New Roman"/>
          <w:sz w:val="24"/>
          <w:szCs w:val="24"/>
        </w:rPr>
        <w:t xml:space="preserve"> Toutefois, la taille du ménage met en exergue le fardeau du </w:t>
      </w:r>
      <w:r w:rsidRPr="00F012EC">
        <w:rPr>
          <w:rFonts w:ascii="Times New Roman" w:hAnsi="Times New Roman"/>
          <w:sz w:val="24"/>
          <w:szCs w:val="24"/>
        </w:rPr>
        <w:t>travail sans rémunération</w:t>
      </w:r>
      <w:r>
        <w:rPr>
          <w:rFonts w:ascii="Times New Roman" w:hAnsi="Times New Roman"/>
          <w:sz w:val="24"/>
          <w:szCs w:val="24"/>
        </w:rPr>
        <w:t xml:space="preserve"> qui caractérise les femmes</w:t>
      </w:r>
      <w:r w:rsidR="00C16AAF">
        <w:rPr>
          <w:rFonts w:ascii="Times New Roman" w:hAnsi="Times New Roman"/>
          <w:sz w:val="24"/>
          <w:szCs w:val="24"/>
        </w:rPr>
        <w:t xml:space="preserve"> et les prédispose à un pouvoir économique relativement faible</w:t>
      </w:r>
      <w:r>
        <w:rPr>
          <w:rFonts w:ascii="Times New Roman" w:hAnsi="Times New Roman"/>
          <w:sz w:val="24"/>
          <w:szCs w:val="24"/>
        </w:rPr>
        <w:t xml:space="preserve">. </w:t>
      </w:r>
    </w:p>
    <w:p w:rsidR="00332215" w:rsidRPr="00332215" w:rsidRDefault="00332215" w:rsidP="00332215">
      <w:pPr>
        <w:spacing w:line="276" w:lineRule="auto"/>
        <w:rPr>
          <w:rFonts w:ascii="Times New Roman" w:hAnsi="Times New Roman"/>
          <w:b/>
          <w:color w:val="31849B" w:themeColor="accent5" w:themeShade="BF"/>
          <w:sz w:val="24"/>
          <w:szCs w:val="24"/>
        </w:rPr>
      </w:pPr>
    </w:p>
    <w:p w:rsidR="00CE79B0" w:rsidRPr="00670743" w:rsidRDefault="001064B7" w:rsidP="00670743">
      <w:pPr>
        <w:pStyle w:val="Titre2"/>
        <w:spacing w:before="0" w:line="276" w:lineRule="auto"/>
        <w:rPr>
          <w:rFonts w:ascii="Times New Roman" w:hAnsi="Times New Roman" w:cs="Times New Roman"/>
          <w:i w:val="0"/>
          <w:color w:val="31849B" w:themeColor="accent5" w:themeShade="BF"/>
        </w:rPr>
      </w:pPr>
      <w:bookmarkStart w:id="13" w:name="_Toc382322905"/>
      <w:r w:rsidRPr="00670743">
        <w:rPr>
          <w:rFonts w:ascii="Times New Roman" w:hAnsi="Times New Roman" w:cs="Times New Roman"/>
          <w:i w:val="0"/>
          <w:color w:val="31849B" w:themeColor="accent5" w:themeShade="BF"/>
        </w:rPr>
        <w:t>Dispositif de suivi</w:t>
      </w:r>
      <w:bookmarkEnd w:id="13"/>
    </w:p>
    <w:p w:rsidR="00670743" w:rsidRPr="00670743" w:rsidRDefault="00670743">
      <w:pPr>
        <w:spacing w:line="276" w:lineRule="auto"/>
        <w:rPr>
          <w:rFonts w:ascii="Times New Roman" w:hAnsi="Times New Roman"/>
          <w:sz w:val="12"/>
          <w:szCs w:val="12"/>
        </w:rPr>
      </w:pPr>
    </w:p>
    <w:p w:rsidR="00CE79B0" w:rsidRDefault="00110E3C">
      <w:pPr>
        <w:spacing w:line="276" w:lineRule="auto"/>
        <w:rPr>
          <w:rFonts w:ascii="Times New Roman" w:hAnsi="Times New Roman"/>
          <w:sz w:val="24"/>
          <w:szCs w:val="24"/>
        </w:rPr>
      </w:pPr>
      <w:r>
        <w:rPr>
          <w:rFonts w:ascii="Times New Roman" w:hAnsi="Times New Roman"/>
          <w:sz w:val="24"/>
          <w:szCs w:val="24"/>
        </w:rPr>
        <w:t xml:space="preserve">Globalement, le  dispositif  </w:t>
      </w:r>
      <w:r w:rsidRPr="007B43D0">
        <w:rPr>
          <w:rFonts w:ascii="Times New Roman" w:hAnsi="Times New Roman"/>
          <w:sz w:val="24"/>
          <w:szCs w:val="24"/>
        </w:rPr>
        <w:t>de suivi de la SCRP</w:t>
      </w:r>
      <w:r>
        <w:rPr>
          <w:rFonts w:ascii="Times New Roman" w:hAnsi="Times New Roman"/>
          <w:sz w:val="24"/>
          <w:szCs w:val="24"/>
        </w:rPr>
        <w:t xml:space="preserve"> à travers lequel le suivi de la pauvreté est réalisé au Bénin demeure pertinent. </w:t>
      </w:r>
      <w:r w:rsidR="00435815">
        <w:rPr>
          <w:rFonts w:ascii="Times New Roman" w:hAnsi="Times New Roman"/>
          <w:sz w:val="24"/>
          <w:szCs w:val="24"/>
        </w:rPr>
        <w:t>Le suivi de la pauvreté</w:t>
      </w:r>
      <w:r>
        <w:rPr>
          <w:rFonts w:ascii="Times New Roman" w:hAnsi="Times New Roman"/>
          <w:sz w:val="24"/>
          <w:szCs w:val="24"/>
        </w:rPr>
        <w:t xml:space="preserve"> repose sur un dispositif </w:t>
      </w:r>
      <w:r w:rsidRPr="00942987">
        <w:rPr>
          <w:rFonts w:ascii="Times New Roman" w:hAnsi="Times New Roman"/>
          <w:sz w:val="24"/>
          <w:szCs w:val="24"/>
        </w:rPr>
        <w:t>de collecte de données auprès des ménages à travers l’Enquête Modulaire Intégrée sur les Conditions de Vie des ménages (EMICoV)</w:t>
      </w:r>
      <w:r>
        <w:rPr>
          <w:rFonts w:ascii="Times New Roman" w:hAnsi="Times New Roman"/>
          <w:sz w:val="24"/>
          <w:szCs w:val="24"/>
        </w:rPr>
        <w:t xml:space="preserve">  mis en place par l’INSAE depuis</w:t>
      </w:r>
      <w:r w:rsidRPr="00942987">
        <w:rPr>
          <w:rFonts w:ascii="Times New Roman" w:hAnsi="Times New Roman"/>
          <w:sz w:val="24"/>
          <w:szCs w:val="24"/>
        </w:rPr>
        <w:t xml:space="preserve"> 2006</w:t>
      </w:r>
      <w:r>
        <w:rPr>
          <w:rFonts w:ascii="Times New Roman" w:hAnsi="Times New Roman"/>
          <w:sz w:val="24"/>
          <w:szCs w:val="24"/>
        </w:rPr>
        <w:t xml:space="preserve">. Il est </w:t>
      </w:r>
      <w:r w:rsidRPr="00942987">
        <w:rPr>
          <w:rFonts w:ascii="Times New Roman" w:hAnsi="Times New Roman"/>
          <w:sz w:val="24"/>
          <w:szCs w:val="24"/>
        </w:rPr>
        <w:t xml:space="preserve"> contenu dans la Stratégie Nationale de Développement de la Statistique (SNDS) couvrant la période </w:t>
      </w:r>
      <w:r w:rsidR="009B538A">
        <w:rPr>
          <w:rFonts w:ascii="Times New Roman" w:hAnsi="Times New Roman"/>
          <w:sz w:val="24"/>
          <w:szCs w:val="24"/>
        </w:rPr>
        <w:t>2008-2012</w:t>
      </w:r>
      <w:r w:rsidRPr="00942987">
        <w:rPr>
          <w:rFonts w:ascii="Times New Roman" w:hAnsi="Times New Roman"/>
          <w:sz w:val="24"/>
          <w:szCs w:val="24"/>
        </w:rPr>
        <w:t xml:space="preserve">. </w:t>
      </w:r>
    </w:p>
    <w:p w:rsidR="00110E3C" w:rsidRDefault="00110E3C" w:rsidP="00110E3C">
      <w:pPr>
        <w:spacing w:line="276" w:lineRule="auto"/>
        <w:ind w:left="114"/>
        <w:rPr>
          <w:rFonts w:ascii="Times New Roman" w:hAnsi="Times New Roman"/>
          <w:sz w:val="24"/>
          <w:szCs w:val="24"/>
        </w:rPr>
      </w:pPr>
    </w:p>
    <w:p w:rsidR="00CE79B0" w:rsidRDefault="00110E3C">
      <w:pPr>
        <w:spacing w:line="276" w:lineRule="auto"/>
        <w:rPr>
          <w:rFonts w:ascii="Times New Roman" w:hAnsi="Times New Roman"/>
          <w:sz w:val="24"/>
          <w:szCs w:val="24"/>
        </w:rPr>
      </w:pPr>
      <w:r>
        <w:rPr>
          <w:rFonts w:ascii="Times New Roman" w:hAnsi="Times New Roman"/>
          <w:sz w:val="24"/>
          <w:szCs w:val="24"/>
        </w:rPr>
        <w:t>Au regard des résultats issus de cette évaluation, plusieurs besoins se sont affichés</w:t>
      </w:r>
      <w:r w:rsidR="00435815">
        <w:rPr>
          <w:rFonts w:ascii="Times New Roman" w:hAnsi="Times New Roman"/>
          <w:sz w:val="24"/>
          <w:szCs w:val="24"/>
        </w:rPr>
        <w:t xml:space="preserve">. Ils se </w:t>
      </w:r>
      <w:r w:rsidR="002A3ACD">
        <w:rPr>
          <w:rFonts w:ascii="Times New Roman" w:hAnsi="Times New Roman"/>
          <w:sz w:val="24"/>
          <w:szCs w:val="24"/>
        </w:rPr>
        <w:t>présentent</w:t>
      </w:r>
      <w:r>
        <w:rPr>
          <w:rFonts w:ascii="Times New Roman" w:hAnsi="Times New Roman"/>
          <w:sz w:val="24"/>
          <w:szCs w:val="24"/>
        </w:rPr>
        <w:t xml:space="preserve"> en termes : (i) d’extension des indicateurs suivis, (ii) d’utilisation d</w:t>
      </w:r>
      <w:r w:rsidR="00A02BD0">
        <w:rPr>
          <w:rFonts w:ascii="Times New Roman" w:hAnsi="Times New Roman"/>
          <w:sz w:val="24"/>
          <w:szCs w:val="24"/>
        </w:rPr>
        <w:t xml:space="preserve">’approches méthodologiques adéquates </w:t>
      </w:r>
      <w:r>
        <w:rPr>
          <w:rFonts w:ascii="Times New Roman" w:hAnsi="Times New Roman"/>
          <w:sz w:val="24"/>
          <w:szCs w:val="24"/>
        </w:rPr>
        <w:t>pour le calcul des nouveaux indicateurs envisagés, (iii) de révision ou d’approfondissement de certaines démarches méthodologiques spécifiqu</w:t>
      </w:r>
      <w:r w:rsidR="00A02BD0">
        <w:rPr>
          <w:rFonts w:ascii="Times New Roman" w:hAnsi="Times New Roman"/>
          <w:sz w:val="24"/>
          <w:szCs w:val="24"/>
        </w:rPr>
        <w:t xml:space="preserve">es précédemment utilisées pour calculer </w:t>
      </w:r>
      <w:r>
        <w:rPr>
          <w:rFonts w:ascii="Times New Roman" w:hAnsi="Times New Roman"/>
          <w:sz w:val="24"/>
          <w:szCs w:val="24"/>
        </w:rPr>
        <w:t xml:space="preserve">des indicateurs, (iv) de révision ou d’adaptation des modules de l’enquête EMICoV pour intégrer les variables inhérentes aux nouveaux indicateurs (v) </w:t>
      </w:r>
      <w:r w:rsidR="001203FF">
        <w:rPr>
          <w:rFonts w:ascii="Times New Roman" w:hAnsi="Times New Roman"/>
          <w:sz w:val="24"/>
          <w:szCs w:val="24"/>
        </w:rPr>
        <w:t xml:space="preserve">de </w:t>
      </w:r>
      <w:r>
        <w:rPr>
          <w:rFonts w:ascii="Times New Roman" w:hAnsi="Times New Roman"/>
          <w:sz w:val="24"/>
          <w:szCs w:val="24"/>
        </w:rPr>
        <w:t xml:space="preserve">la régularité de la collecte des données , (vi) de conduite d’études d’impact rigoureuses et spécifiques et (vi) de pérennisation des acquis du dispositif existant. </w:t>
      </w:r>
    </w:p>
    <w:p w:rsidR="001203FF" w:rsidRDefault="001203FF">
      <w:pPr>
        <w:spacing w:line="276" w:lineRule="auto"/>
        <w:rPr>
          <w:rFonts w:ascii="Times New Roman" w:hAnsi="Times New Roman"/>
          <w:sz w:val="24"/>
          <w:szCs w:val="24"/>
        </w:rPr>
      </w:pPr>
    </w:p>
    <w:p w:rsidR="001203FF" w:rsidRDefault="001203FF">
      <w:pPr>
        <w:spacing w:line="276" w:lineRule="auto"/>
        <w:rPr>
          <w:rFonts w:ascii="Times New Roman" w:hAnsi="Times New Roman"/>
          <w:sz w:val="24"/>
          <w:szCs w:val="24"/>
        </w:rPr>
      </w:pPr>
    </w:p>
    <w:p w:rsidR="001203FF" w:rsidRDefault="001203FF">
      <w:pPr>
        <w:spacing w:line="276" w:lineRule="auto"/>
        <w:rPr>
          <w:rFonts w:ascii="Times New Roman" w:hAnsi="Times New Roman"/>
          <w:sz w:val="24"/>
          <w:szCs w:val="24"/>
        </w:rPr>
      </w:pPr>
    </w:p>
    <w:p w:rsidR="001203FF" w:rsidRDefault="001203FF">
      <w:pPr>
        <w:spacing w:line="276" w:lineRule="auto"/>
        <w:rPr>
          <w:rFonts w:ascii="Times New Roman" w:hAnsi="Times New Roman"/>
          <w:sz w:val="24"/>
          <w:szCs w:val="24"/>
        </w:rPr>
      </w:pPr>
    </w:p>
    <w:p w:rsidR="00110E3C" w:rsidRDefault="00110E3C" w:rsidP="00110E3C">
      <w:pPr>
        <w:spacing w:line="276" w:lineRule="auto"/>
        <w:ind w:left="114"/>
        <w:rPr>
          <w:rFonts w:ascii="Times New Roman" w:hAnsi="Times New Roman"/>
          <w:sz w:val="24"/>
          <w:szCs w:val="24"/>
        </w:rPr>
      </w:pPr>
    </w:p>
    <w:p w:rsidR="003C211F" w:rsidRDefault="003C211F" w:rsidP="00A77A39">
      <w:pPr>
        <w:sectPr w:rsidR="003C211F" w:rsidSect="001B4547">
          <w:pgSz w:w="11906" w:h="16838"/>
          <w:pgMar w:top="1417"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FA6D0D" w:rsidRPr="00E04E53" w:rsidTr="009D164E">
        <w:trPr>
          <w:trHeight w:val="1919"/>
        </w:trPr>
        <w:tc>
          <w:tcPr>
            <w:tcW w:w="1418" w:type="dxa"/>
            <w:tcBorders>
              <w:right w:val="thinThickSmallGap" w:sz="24" w:space="0" w:color="FFFFFF" w:themeColor="background1"/>
            </w:tcBorders>
            <w:shd w:val="clear" w:color="auto" w:fill="92CDDC" w:themeFill="accent5" w:themeFillTint="99"/>
          </w:tcPr>
          <w:p w:rsidR="00FA6D0D" w:rsidRPr="00494CC8" w:rsidRDefault="00FA6D0D" w:rsidP="009D164E">
            <w:pPr>
              <w:pStyle w:val="Titre1"/>
              <w:jc w:val="center"/>
              <w:outlineLvl w:val="0"/>
              <w:rPr>
                <w:rFonts w:ascii="Times New Roman" w:hAnsi="Times New Roman" w:cs="Times New Roman"/>
                <w:sz w:val="28"/>
                <w:szCs w:val="28"/>
              </w:rPr>
            </w:pP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FA6D0D" w:rsidRPr="00E04E53" w:rsidRDefault="00FA6D0D" w:rsidP="00FA6D0D">
            <w:pPr>
              <w:pStyle w:val="Titre1"/>
              <w:spacing w:before="120" w:after="0" w:line="276" w:lineRule="auto"/>
              <w:jc w:val="center"/>
              <w:outlineLvl w:val="0"/>
              <w:rPr>
                <w:rFonts w:ascii="Times New Roman" w:hAnsi="Times New Roman" w:cs="Times New Roman"/>
                <w:sz w:val="52"/>
                <w:szCs w:val="52"/>
              </w:rPr>
            </w:pPr>
            <w:bookmarkStart w:id="14" w:name="_Toc382322906"/>
            <w:r w:rsidRPr="00E04E53">
              <w:rPr>
                <w:rFonts w:ascii="Times New Roman" w:hAnsi="Times New Roman" w:cs="Times New Roman"/>
                <w:sz w:val="52"/>
                <w:szCs w:val="52"/>
              </w:rPr>
              <w:t>CHAPITRE</w:t>
            </w:r>
            <w:bookmarkEnd w:id="14"/>
          </w:p>
          <w:p w:rsidR="00FA6D0D" w:rsidRPr="00BB427F" w:rsidRDefault="00832112" w:rsidP="00FA6D0D">
            <w:pPr>
              <w:pStyle w:val="Titre1"/>
              <w:spacing w:before="120" w:after="0" w:line="276" w:lineRule="auto"/>
              <w:jc w:val="center"/>
              <w:outlineLvl w:val="0"/>
              <w:rPr>
                <w:rFonts w:ascii="Times New Roman" w:hAnsi="Times New Roman" w:cs="Times New Roman"/>
                <w:sz w:val="36"/>
                <w:szCs w:val="36"/>
              </w:rPr>
            </w:pPr>
            <w:bookmarkStart w:id="15" w:name="_Toc382322907"/>
            <w:r w:rsidRPr="00832112">
              <w:rPr>
                <w:rFonts w:ascii="Times New Roman" w:hAnsi="Times New Roman" w:cs="Times New Roman"/>
                <w:sz w:val="36"/>
                <w:szCs w:val="36"/>
              </w:rPr>
              <w:t>INTRODUCTIF</w:t>
            </w:r>
            <w:bookmarkEnd w:id="15"/>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CE79B0" w:rsidRDefault="00FA6D0D" w:rsidP="00C561E4">
            <w:pPr>
              <w:pStyle w:val="Titre1"/>
              <w:spacing w:line="240" w:lineRule="auto"/>
              <w:jc w:val="left"/>
              <w:outlineLvl w:val="0"/>
              <w:rPr>
                <w:rFonts w:ascii="Times New Roman" w:hAnsi="Times New Roman" w:cs="Times New Roman"/>
                <w:sz w:val="52"/>
                <w:szCs w:val="52"/>
              </w:rPr>
            </w:pPr>
            <w:bookmarkStart w:id="16" w:name="_Toc382322908"/>
            <w:r w:rsidRPr="00F92AF7">
              <w:rPr>
                <w:rFonts w:ascii="Times New Roman" w:hAnsi="Times New Roman" w:cs="Times New Roman"/>
                <w:sz w:val="52"/>
                <w:szCs w:val="52"/>
              </w:rPr>
              <w:t>Pourquoi une analyse approfondie de la pauvreté au Bénin ?</w:t>
            </w:r>
            <w:bookmarkEnd w:id="16"/>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FA6D0D" w:rsidRPr="00E04E53" w:rsidRDefault="00FA6D0D" w:rsidP="009D164E">
            <w:pPr>
              <w:pStyle w:val="Titre1"/>
              <w:spacing w:line="240" w:lineRule="auto"/>
              <w:jc w:val="center"/>
              <w:outlineLvl w:val="0"/>
              <w:rPr>
                <w:rFonts w:ascii="Times New Roman" w:hAnsi="Times New Roman" w:cs="Times New Roman"/>
                <w:sz w:val="52"/>
                <w:szCs w:val="52"/>
              </w:rPr>
            </w:pPr>
          </w:p>
        </w:tc>
      </w:tr>
    </w:tbl>
    <w:p w:rsidR="00FA6D0D" w:rsidRPr="00332215" w:rsidRDefault="00FA6D0D" w:rsidP="00FA6D0D">
      <w:pPr>
        <w:tabs>
          <w:tab w:val="left" w:pos="0"/>
        </w:tabs>
        <w:spacing w:line="276" w:lineRule="auto"/>
        <w:rPr>
          <w:rFonts w:ascii="Times New Roman" w:hAnsi="Times New Roman"/>
          <w:b/>
          <w:bCs/>
          <w:sz w:val="24"/>
          <w:szCs w:val="24"/>
        </w:rPr>
      </w:pPr>
    </w:p>
    <w:p w:rsidR="004E5410" w:rsidRDefault="004E5410" w:rsidP="004E5410">
      <w:pPr>
        <w:tabs>
          <w:tab w:val="left" w:pos="0"/>
        </w:tabs>
        <w:spacing w:line="240" w:lineRule="auto"/>
        <w:rPr>
          <w:rFonts w:ascii="Times New Roman" w:hAnsi="Times New Roman"/>
          <w:b/>
          <w:bCs/>
          <w:sz w:val="28"/>
          <w:szCs w:val="28"/>
        </w:rPr>
      </w:pPr>
    </w:p>
    <w:p w:rsidR="0064665D" w:rsidRPr="00910784" w:rsidRDefault="0064665D" w:rsidP="00910784">
      <w:pPr>
        <w:pStyle w:val="Titre2"/>
        <w:spacing w:before="0" w:after="0" w:line="240" w:lineRule="auto"/>
        <w:rPr>
          <w:rFonts w:ascii="Times New Roman" w:hAnsi="Times New Roman" w:cs="Times New Roman"/>
          <w:i w:val="0"/>
          <w:color w:val="31849B" w:themeColor="accent5" w:themeShade="BF"/>
        </w:rPr>
      </w:pPr>
      <w:bookmarkStart w:id="17" w:name="_Toc382322909"/>
      <w:r w:rsidRPr="00910784">
        <w:rPr>
          <w:rFonts w:ascii="Times New Roman" w:hAnsi="Times New Roman" w:cs="Times New Roman"/>
          <w:i w:val="0"/>
          <w:color w:val="31849B" w:themeColor="accent5" w:themeShade="BF"/>
        </w:rPr>
        <w:t>Contexte</w:t>
      </w:r>
      <w:bookmarkEnd w:id="17"/>
    </w:p>
    <w:p w:rsidR="004E5410" w:rsidRDefault="004E5410" w:rsidP="004E5410">
      <w:pPr>
        <w:pStyle w:val="Paragraphedeliste"/>
        <w:spacing w:line="240" w:lineRule="auto"/>
        <w:ind w:left="0"/>
        <w:contextualSpacing w:val="0"/>
        <w:rPr>
          <w:rFonts w:ascii="Times New Roman" w:hAnsi="Times New Roman"/>
          <w:b/>
          <w:sz w:val="24"/>
          <w:szCs w:val="24"/>
        </w:rPr>
      </w:pPr>
    </w:p>
    <w:p w:rsidR="001B3BC1" w:rsidRPr="007B43D0" w:rsidRDefault="001B3BC1" w:rsidP="001B3BC1">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b/>
          <w:sz w:val="24"/>
          <w:szCs w:val="24"/>
        </w:rPr>
        <w:t xml:space="preserve">Au cours des dix dernières années, le Bénin a enregistré une croissance annuelle moyenne de l’ordre de </w:t>
      </w:r>
      <w:r w:rsidRPr="008F70EC">
        <w:rPr>
          <w:rFonts w:ascii="Times New Roman" w:hAnsi="Times New Roman"/>
          <w:b/>
          <w:sz w:val="24"/>
          <w:szCs w:val="24"/>
        </w:rPr>
        <w:t>3,7 %,</w:t>
      </w:r>
      <w:r w:rsidR="00071595">
        <w:rPr>
          <w:rFonts w:ascii="Times New Roman" w:hAnsi="Times New Roman"/>
          <w:b/>
          <w:sz w:val="24"/>
          <w:szCs w:val="24"/>
        </w:rPr>
        <w:t xml:space="preserve"> </w:t>
      </w:r>
      <w:r w:rsidRPr="001B3BC1">
        <w:rPr>
          <w:rFonts w:ascii="Times New Roman" w:hAnsi="Times New Roman"/>
          <w:sz w:val="24"/>
          <w:szCs w:val="24"/>
        </w:rPr>
        <w:t>ce qui est loin du taux de 7 % par an jugé nécessaire pour atteindre les objectifs de développement pour le Millénaire</w:t>
      </w:r>
      <w:r w:rsidRPr="001B3BC1">
        <w:rPr>
          <w:rFonts w:ascii="Times New Roman" w:hAnsi="Times New Roman"/>
          <w:sz w:val="24"/>
          <w:szCs w:val="24"/>
          <w:vertAlign w:val="superscript"/>
        </w:rPr>
        <w:footnoteReference w:id="15"/>
      </w:r>
      <w:r w:rsidRPr="001B3BC1">
        <w:rPr>
          <w:rFonts w:ascii="Times New Roman" w:hAnsi="Times New Roman"/>
          <w:sz w:val="24"/>
          <w:szCs w:val="24"/>
        </w:rPr>
        <w:t xml:space="preserve">. </w:t>
      </w:r>
      <w:r>
        <w:rPr>
          <w:rFonts w:ascii="Times New Roman" w:hAnsi="Times New Roman"/>
          <w:sz w:val="24"/>
          <w:szCs w:val="24"/>
        </w:rPr>
        <w:t>L</w:t>
      </w:r>
      <w:r w:rsidRPr="007B43D0">
        <w:rPr>
          <w:rFonts w:ascii="Times New Roman" w:hAnsi="Times New Roman"/>
          <w:sz w:val="24"/>
          <w:szCs w:val="24"/>
        </w:rPr>
        <w:t xml:space="preserve">a structure économique du Bénin n’a guère évolué au cours des récentes décennies </w:t>
      </w:r>
      <w:r>
        <w:rPr>
          <w:rFonts w:ascii="Times New Roman" w:hAnsi="Times New Roman"/>
          <w:sz w:val="24"/>
          <w:szCs w:val="24"/>
        </w:rPr>
        <w:t>pour favoriser efficacement l’atteinte de ces objectifs</w:t>
      </w:r>
      <w:r>
        <w:rPr>
          <w:rStyle w:val="Appelnotedebasdep"/>
          <w:rFonts w:ascii="Times New Roman" w:hAnsi="Times New Roman"/>
          <w:sz w:val="24"/>
          <w:szCs w:val="24"/>
        </w:rPr>
        <w:footnoteReference w:id="16"/>
      </w:r>
      <w:r w:rsidRPr="007B43D0">
        <w:rPr>
          <w:rFonts w:ascii="Times New Roman" w:hAnsi="Times New Roman"/>
          <w:sz w:val="24"/>
          <w:szCs w:val="24"/>
        </w:rPr>
        <w:t>. L’économie nationale demeure fortement tributaire du secteur cotonnier (lequel est actuellement en pleine mutation, ce qui ne serait in fine pas sans conséquence sur le niveau de pauvreté dans le pays) et du commerce de transit. Ce ralentissement est essentiellement dû aux difficultés rencontrées dans le secteur des réexportations et celui du coton, qui souffre d’une mauvaise organisation comme le reste du secteur agricole, ainsi qu’à la vulnérabilité de l’économie aux chocs tant internes qu’externes. L’économie béninoise demeure donc précaire et les défis à relever sont de taille : 1) stabilisation du cadre macroéconomique et gestion de l’impact des chocs extérieurs ; 2) diversification économique ; et 3) création d’un climat des affaires plus favorable aux entreprises et à la création d’emplois.</w:t>
      </w:r>
    </w:p>
    <w:p w:rsidR="0064665D" w:rsidRPr="007B43D0" w:rsidRDefault="0064665D" w:rsidP="00C561E4">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b/>
          <w:sz w:val="24"/>
          <w:szCs w:val="24"/>
        </w:rPr>
        <w:t>En dépit des problèmes susmentionnés et d’une croissance relativement faible</w:t>
      </w:r>
      <w:r w:rsidRPr="007B43D0">
        <w:rPr>
          <w:rFonts w:ascii="Times New Roman" w:hAnsi="Times New Roman"/>
          <w:sz w:val="24"/>
          <w:szCs w:val="24"/>
        </w:rPr>
        <w:t>, le pays a assez résisté aux différents chocs. Son bilan macroéconomique est resté positif malgré la crise économique mondiale et les contrecoups de la flambée des prix internationaux des produits énergétiques et alimentaires qui l’a précédée, l’affaire de la « pyramide de Ponzi » qui a récemment ébranlé le secteur de la microfinance et des milliers de ménages et individus, et les inondations encore plus récentes. L’inflation est restée modérée et la croissance positive, la dette extérieure a été réduite et la politique de rigueur budgétaire a été maintenue dans l’ensemble, malgré une augmentation préoccupante de la masse salariale au cours des dernières années. En 2009 et 2010, cependant, le pays s’est davantage ressenti des crises successives : l’économie nationale a ralenti parallèlement à la demande mondiale et les échanges commerciaux informels avec le Nigéria ont chuté, pour des raisons largement indépendantes de la crise économique mondiale.</w:t>
      </w:r>
    </w:p>
    <w:p w:rsidR="0064665D" w:rsidRPr="007B43D0" w:rsidRDefault="0064665D" w:rsidP="00C561E4">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b/>
          <w:sz w:val="24"/>
          <w:szCs w:val="24"/>
        </w:rPr>
        <w:t>Bien que le pays ait réussi à suffisamment bien gérer les chocs extérieurs précédents</w:t>
      </w:r>
      <w:r w:rsidRPr="007B43D0">
        <w:rPr>
          <w:rFonts w:ascii="Times New Roman" w:hAnsi="Times New Roman"/>
          <w:sz w:val="24"/>
          <w:szCs w:val="24"/>
        </w:rPr>
        <w:t xml:space="preserve"> pour en atténuer l’impact sur son économie, les inondations de 2010 qui ont frappé le pays dans le sillage des crises précédentes risquent d’avoir des effets graves et durables. Selon les données disponibles, la pauvreté pourrait s’être encore aggravée, prolongeant une tendance déjà préoccupante : la proportion de pauvres a augmenté dans un premier temps de 29 % à 37 % entre 2000 et 2006, est ensuite retombée à 33 % en 2007</w:t>
      </w:r>
      <w:r w:rsidRPr="007B43D0">
        <w:rPr>
          <w:rFonts w:ascii="Times New Roman" w:hAnsi="Times New Roman"/>
          <w:bCs/>
          <w:sz w:val="24"/>
          <w:szCs w:val="24"/>
          <w:vertAlign w:val="superscript"/>
        </w:rPr>
        <w:footnoteReference w:id="17"/>
      </w:r>
      <w:r w:rsidRPr="007B43D0">
        <w:rPr>
          <w:rFonts w:ascii="Times New Roman" w:hAnsi="Times New Roman"/>
          <w:sz w:val="24"/>
          <w:szCs w:val="24"/>
        </w:rPr>
        <w:t xml:space="preserve"> pour remonter à 35% en 2009. D’après les témoignages recueillis, les inondations passées ont détruit de nombreux biens et terres agricoles, à quoi s’ajoutent les sommes d’argent englouties dans les investissements frauduleux de la chaîne de Ponzi, les scandales économico-financiers tels que l’affaire CEN-SAD, les défaill</w:t>
      </w:r>
      <w:r w:rsidR="00053EDC">
        <w:rPr>
          <w:rFonts w:ascii="Times New Roman" w:hAnsi="Times New Roman"/>
          <w:sz w:val="24"/>
          <w:szCs w:val="24"/>
        </w:rPr>
        <w:t>anc</w:t>
      </w:r>
      <w:r w:rsidRPr="007B43D0">
        <w:rPr>
          <w:rFonts w:ascii="Times New Roman" w:hAnsi="Times New Roman"/>
          <w:sz w:val="24"/>
          <w:szCs w:val="24"/>
        </w:rPr>
        <w:t xml:space="preserve">es relevées aux premières heures du Programme de Microcrédit aux plus pauvres. Tout porterait donc à croire que la perte des sources de revenu et d’actifs va encore aggraver la pauvreté dans un pays où la croissance démographique ne faiblit pas pour autant. Face à ces tendances, le seul moyen de réduire la pauvreté est non seulement d’assurer une croissance supérieure aux niveaux visés par la Stratégie de croissance pour la réduction de la pauvreté (SCRP), mais aussi et surtout de veiller à ce que les pauvres et les groupes cibles vulnérables de la société puissent en bénéficier. Il sera essentiel d’accorder une plus grande attention à la gestion des chocs extérieurs, les taux de croissance macroéconomique ne suffisant pas à réduire la pauvreté et </w:t>
      </w:r>
      <w:r w:rsidR="001E69AE">
        <w:rPr>
          <w:rFonts w:ascii="Times New Roman" w:hAnsi="Times New Roman"/>
          <w:sz w:val="24"/>
          <w:szCs w:val="24"/>
        </w:rPr>
        <w:t>à</w:t>
      </w:r>
      <w:r w:rsidR="001E69AE" w:rsidRPr="007B43D0">
        <w:rPr>
          <w:rFonts w:ascii="Times New Roman" w:hAnsi="Times New Roman"/>
          <w:sz w:val="24"/>
          <w:szCs w:val="24"/>
        </w:rPr>
        <w:t xml:space="preserve"> </w:t>
      </w:r>
      <w:r w:rsidRPr="007B43D0">
        <w:rPr>
          <w:rFonts w:ascii="Times New Roman" w:hAnsi="Times New Roman"/>
          <w:sz w:val="24"/>
          <w:szCs w:val="24"/>
        </w:rPr>
        <w:t>limiter grâce à une meilleure gouvernance les chocs intérieurs. D’où la nécessité de comprendre pourquoi la pauvreté s’est maintenue à un niveau relativement élevé au cours de la dernière décennie, et de trouver des moyens d’encourager le pays à poursuivre les efforts déployés sur ce front.</w:t>
      </w:r>
    </w:p>
    <w:p w:rsidR="0064665D" w:rsidRPr="007B43D0" w:rsidRDefault="0064665D" w:rsidP="00C561E4">
      <w:pPr>
        <w:pStyle w:val="Paragraphedeliste"/>
        <w:tabs>
          <w:tab w:val="left" w:pos="0"/>
        </w:tabs>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De fait, le recul de la pauvreté au Bénin demeure incertain et les mesures prises dans ce sens au cours des dix dernières années ne paraissent pas concluantes, puisque le Bénin sur ce plan a une très forte probabilité de ne pas atteindre ce premier des Objectifs du Millénaire pour le Développement (OMD). D’une part, la croissance a été trop lente pour assurer une réduction sensible et durable de la pauvreté, et d’autre part elle ne semble pas avoir véritablement contribué à réduire l’emprise de la pauvreté. Les récents chocs extérieurs ont créé des difficultés supplémentaires. Pour que le pays puisse atteindre les objectifs de réduction de la pauvreté qu’il s’est fixé, il y a donc deux conditions à remplir : assurer une croissance beaucoup plus rapide et plus stable, et renforcer les liens entre croissance et recul de la pauvreté. S’il est clair que l’économie n’a pas tenu le rythme de la croissance démographique (3,</w:t>
      </w:r>
      <w:r w:rsidR="004C0297">
        <w:rPr>
          <w:rFonts w:ascii="Times New Roman" w:hAnsi="Times New Roman"/>
          <w:sz w:val="24"/>
          <w:szCs w:val="24"/>
        </w:rPr>
        <w:t>5</w:t>
      </w:r>
      <w:r w:rsidRPr="007B43D0">
        <w:rPr>
          <w:rFonts w:ascii="Times New Roman" w:hAnsi="Times New Roman"/>
          <w:sz w:val="24"/>
          <w:szCs w:val="24"/>
        </w:rPr>
        <w:t> %)</w:t>
      </w:r>
      <w:r w:rsidR="00431E32">
        <w:rPr>
          <w:rStyle w:val="Appelnotedebasdep"/>
          <w:rFonts w:ascii="Times New Roman" w:hAnsi="Times New Roman"/>
          <w:sz w:val="24"/>
          <w:szCs w:val="24"/>
        </w:rPr>
        <w:footnoteReference w:id="18"/>
      </w:r>
      <w:r w:rsidRPr="007B43D0">
        <w:rPr>
          <w:rFonts w:ascii="Times New Roman" w:hAnsi="Times New Roman"/>
          <w:sz w:val="24"/>
          <w:szCs w:val="24"/>
        </w:rPr>
        <w:t>, c’est loin d’être la seule cause de la  pauvreté chronique.</w:t>
      </w:r>
    </w:p>
    <w:p w:rsidR="0064665D" w:rsidRPr="007B43D0" w:rsidRDefault="0064665D" w:rsidP="00C561E4">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b/>
          <w:sz w:val="24"/>
          <w:szCs w:val="24"/>
        </w:rPr>
        <w:t>Il importe donc tout d’abord, de bien comprendre les caractéristiques et la dynamique de la pauvreté au Bénin</w:t>
      </w:r>
      <w:r w:rsidRPr="007B43D0">
        <w:rPr>
          <w:rFonts w:ascii="Times New Roman" w:hAnsi="Times New Roman"/>
          <w:sz w:val="24"/>
          <w:szCs w:val="24"/>
        </w:rPr>
        <w:t xml:space="preserve"> pour se faire une idée plus claire de la situation en procédant à une analyse ventilée par région, par secteur, par sexe et par groupe démographique. Les chocs survenus au cours des dernières années pourraient avoir radicalement modifié les caractéristiques de la pauvreté, d’où l’importance d’une approche axée sur la dynamique de la pauvreté. Ensuite, vu que les progrès économiques enregistrés ne se sont pas traduits par un recul de la pauvreté, il importe de se faire une meilleure idée des mécanismes de transmission entre croissance et réduction de la pauvreté. Pourquoi la croissance n’a-t-elle pas été plus favorable aux pauvres ? Troisièmement, après avoir dressé un tableau plus clair de la situation et des liens entre la croissance et la réduction de la pauvreté, il va falloir aborder les liens entre les services assurés par l’État et l’impact des dépenses publiques sur les mesures de lutte contre la pauvreté. Les dépenses publiques sont-elles un moyen de lutte efficace contre la pauvreté ? Comment pourraient-elles mieux répondre aux besoins des pauvres ? Enfin, l’analyse mettra l’accent sur une ventilation systématique - par région, par secteur, par sexe et par groupe démographique.</w:t>
      </w:r>
    </w:p>
    <w:p w:rsidR="0064665D" w:rsidRPr="007B43D0" w:rsidRDefault="0064665D" w:rsidP="00332215">
      <w:pPr>
        <w:pStyle w:val="Paragraphedeliste"/>
        <w:tabs>
          <w:tab w:val="left" w:pos="0"/>
        </w:tabs>
        <w:spacing w:before="120" w:line="276" w:lineRule="auto"/>
        <w:ind w:left="0"/>
        <w:contextualSpacing w:val="0"/>
        <w:rPr>
          <w:rFonts w:ascii="Times New Roman" w:hAnsi="Times New Roman"/>
          <w:sz w:val="24"/>
          <w:szCs w:val="24"/>
        </w:rPr>
      </w:pPr>
      <w:r w:rsidRPr="007B43D0">
        <w:rPr>
          <w:rFonts w:ascii="Times New Roman" w:hAnsi="Times New Roman"/>
          <w:sz w:val="24"/>
          <w:szCs w:val="24"/>
        </w:rPr>
        <w:t>En exploitant au mieux les données issues des différentes enquêtes ménages et autres données macroéconomiques, une ventilation poussée a permis d’obtenir des résultats qui aideront les pouvoirs publics à mettre en place des mesures et des programmes importants dans divers domaines tels que politiques et réformes sectorielles, décentralisation, répartition des ressources, ciblage des services publics essentiels, etc. Telles sont les questions fondamentales auxquelles cette évaluation de la pauvreté a tenté de répondre en vue d’aider le gouvernement à définir et mettre en œuvre des réformes, politiques et programmes qui permettent d’accélérer la réduction de la pauvreté.</w:t>
      </w:r>
    </w:p>
    <w:p w:rsidR="00332215" w:rsidRDefault="00332215" w:rsidP="00332215">
      <w:pPr>
        <w:pStyle w:val="Titre2"/>
        <w:spacing w:before="0" w:after="0" w:line="240" w:lineRule="auto"/>
        <w:rPr>
          <w:rFonts w:ascii="Times New Roman" w:hAnsi="Times New Roman" w:cs="Times New Roman"/>
          <w:i w:val="0"/>
          <w:color w:val="31849B" w:themeColor="accent5" w:themeShade="BF"/>
        </w:rPr>
      </w:pPr>
    </w:p>
    <w:p w:rsidR="00CE79B0" w:rsidRPr="00332215" w:rsidRDefault="0064665D" w:rsidP="00332215">
      <w:pPr>
        <w:pStyle w:val="Titre2"/>
        <w:spacing w:before="0" w:after="0" w:line="240" w:lineRule="auto"/>
        <w:rPr>
          <w:rFonts w:ascii="Times New Roman" w:hAnsi="Times New Roman" w:cs="Times New Roman"/>
          <w:i w:val="0"/>
          <w:color w:val="31849B" w:themeColor="accent5" w:themeShade="BF"/>
        </w:rPr>
      </w:pPr>
      <w:bookmarkStart w:id="18" w:name="_Toc382322910"/>
      <w:r w:rsidRPr="00332215">
        <w:rPr>
          <w:rFonts w:ascii="Times New Roman" w:hAnsi="Times New Roman" w:cs="Times New Roman"/>
          <w:i w:val="0"/>
          <w:color w:val="31849B" w:themeColor="accent5" w:themeShade="BF"/>
        </w:rPr>
        <w:t xml:space="preserve">Justification et objectifs de l’évaluation </w:t>
      </w:r>
      <w:r w:rsidR="009428A6" w:rsidRPr="00332215">
        <w:rPr>
          <w:rFonts w:ascii="Times New Roman" w:hAnsi="Times New Roman" w:cs="Times New Roman"/>
          <w:i w:val="0"/>
          <w:color w:val="31849B" w:themeColor="accent5" w:themeShade="BF"/>
        </w:rPr>
        <w:t xml:space="preserve">et </w:t>
      </w:r>
      <w:r w:rsidRPr="00332215">
        <w:rPr>
          <w:rFonts w:ascii="Times New Roman" w:hAnsi="Times New Roman" w:cs="Times New Roman"/>
          <w:i w:val="0"/>
          <w:color w:val="31849B" w:themeColor="accent5" w:themeShade="BF"/>
        </w:rPr>
        <w:t>Principales questions à examiner dans l’évaluation de la pauvreté envisagée</w:t>
      </w:r>
      <w:bookmarkEnd w:id="18"/>
    </w:p>
    <w:p w:rsidR="00332215" w:rsidRDefault="00332215" w:rsidP="00332215">
      <w:pPr>
        <w:spacing w:line="276" w:lineRule="auto"/>
        <w:rPr>
          <w:rFonts w:ascii="Times New Roman" w:hAnsi="Times New Roman"/>
          <w:b/>
          <w:color w:val="31849B" w:themeColor="accent5" w:themeShade="BF"/>
          <w:sz w:val="28"/>
          <w:szCs w:val="28"/>
        </w:rPr>
      </w:pPr>
    </w:p>
    <w:p w:rsidR="0064665D" w:rsidRPr="00332215" w:rsidRDefault="0064665D" w:rsidP="00332215">
      <w:pPr>
        <w:spacing w:line="276" w:lineRule="auto"/>
        <w:rPr>
          <w:rFonts w:ascii="Times New Roman" w:hAnsi="Times New Roman"/>
          <w:b/>
          <w:i/>
          <w:sz w:val="28"/>
          <w:szCs w:val="28"/>
        </w:rPr>
      </w:pPr>
      <w:r w:rsidRPr="00332215">
        <w:rPr>
          <w:rFonts w:ascii="Times New Roman" w:hAnsi="Times New Roman"/>
          <w:b/>
          <w:i/>
          <w:sz w:val="28"/>
          <w:szCs w:val="28"/>
        </w:rPr>
        <w:t>La pauvreté au Bénin</w:t>
      </w:r>
    </w:p>
    <w:p w:rsidR="0064665D" w:rsidRPr="007B43D0" w:rsidRDefault="0064665D" w:rsidP="00C561E4">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De nombreuses études ont été effectuées sur les déterminants de la pauvreté, comme mentionné dans l’évaluation de 2003 et les documents de stratégie pour la réduction de la pauvreté établis par le gouvernement (SCRP I, II et III). L’évaluation de 2003 a mis en lumière les principaux déterminants de la pauvreté, qui sont également liés à l’inégalité : le niveau d’instruction du chef de ménage, qui est associé à une amélioration de l’état nutritionnel et sanitaire; l’élargissement de l’accès aux services de base, qui permet de mieux faire face aux crises économiques, aux problèmes de santé et aux catastrophes naturelles ; le secteur d’emploi (la plupart des pauvres travaillent dans les secteurs informel et agricole, les taux de pauvreté étant comparables chez les paysans qui pratiquent une agriculture de subsistance et chez les producteurs de coton) ; et la composition des ménages (les ménages pauvres ont généralement plus d’enfants et autres personnes à charge).</w:t>
      </w:r>
    </w:p>
    <w:p w:rsidR="0064665D" w:rsidRPr="007B43D0" w:rsidRDefault="0064665D" w:rsidP="00C561E4">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La situation a cependant beaucoup changé au cours des six ou sept dernières années et les premières indications donnent à penser que la pauvreté s’est probablement aggravée. L’évaluation proposée approfondira naturellement la question. Selon la dernière grande étude  publiée par le gouvernement, qui date de 2006-07, la pauvreté se serait creusée jusqu’en 2003, et peut-être même au-delà, avant d’amorcer un recul spectaculaire entre 2006 et 2007, selon certains indicateurs. Compte tenu des faits récents, une nouvelle évaluation s’impose afin de se faire une idée plus claire de la situation actuelle. L’accent sera mis sur la dynamique de la pauvreté et les déterminants de cette dynamique, tels que les facteurs qui acculent une personne ou un ménage à la misère ou qui lui permettent d’en sortir, ce qui dépasse l’analyse des déterminants de la pauvreté à proprement parler. En outre, une analyse plus détaillée de la pauvreté permettrait de mieux aider les pouvoirs publics à définir les mesures et les réformes nécessaires et à répartir les ressources et les services publics par secteur, région et groupe visé.</w:t>
      </w:r>
    </w:p>
    <w:p w:rsidR="0064665D" w:rsidRPr="007B43D0"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 xml:space="preserve">Une autre question qui mériterait une attention particulière est l’impact des chocs extérieurs sur la pauvreté et ses indicateurs. Vu les caractéristiques de l’économie et sa vulnérabilité aux chocs, il serait bon de mieux cerner l’impact des chocs et de l’instabilité économique. Des informations sur les récentes inondations seraient également utiles dans la mesure où elles mettraient en relief la vulnérabilité de différents groupes et permettraient d’évaluer la portée et l’efficacité des stratégies d’adaptation et du système de protection sociale. Par ailleurs, la question de la vulnérabilité pourrait être cruciale pour l’analyse de la dynamique de la pauvreté. De même, il existe peut-être des différences entre hommes et  femmes en termes de vulnérabilité et de capacité d’adaptation aux chocs. Il serait intéressant de comparer les mécanismes d’adaptation des deux groupes. </w:t>
      </w:r>
    </w:p>
    <w:p w:rsidR="0064665D" w:rsidRPr="00332215" w:rsidRDefault="0064665D" w:rsidP="00332215">
      <w:pPr>
        <w:spacing w:line="276" w:lineRule="auto"/>
        <w:rPr>
          <w:rFonts w:ascii="Times New Roman" w:hAnsi="Times New Roman"/>
          <w:b/>
          <w:i/>
          <w:sz w:val="28"/>
          <w:szCs w:val="28"/>
        </w:rPr>
      </w:pPr>
      <w:r w:rsidRPr="00332215">
        <w:rPr>
          <w:rFonts w:ascii="Times New Roman" w:hAnsi="Times New Roman"/>
          <w:b/>
          <w:i/>
          <w:sz w:val="28"/>
          <w:szCs w:val="28"/>
        </w:rPr>
        <w:t>Lien entre croissance et pauvreté</w:t>
      </w:r>
    </w:p>
    <w:p w:rsidR="0064665D" w:rsidRPr="007B43D0"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 xml:space="preserve">En tirant parti des connaissances existantes, l’évaluation de la pauvreté envisagée aiderait à mieux comprendre le lien entre la croissance économique et la réduction de la pauvreté au Bénin. Il reste difficile de dégager une tendance dans les indicateurs de pauvreté. Selon l’évaluation de 2003, la proportion de pauvres a augmenté dans les années 90, pour atteindre 33 % en 1999-2000. Cependant, entre 1991 et 2000, l’économie nationale a progressé de près de 5 % (voir Mémorandum économique sur le Bénin de 2009, tableau 1.2, et Perspectives économiques mondiales, 2009). La question clé est de savoir pourquoi la pauvreté semble avoir augmenté alors que le pays affichait une croissance moyenne de 4 à 5 % par an. </w:t>
      </w:r>
    </w:p>
    <w:p w:rsidR="0064665D" w:rsidRPr="007B43D0"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 xml:space="preserve">Il est clair que la population galopante érode en partie les gains de la croissance. Mais </w:t>
      </w:r>
      <w:r w:rsidR="00224FAE">
        <w:rPr>
          <w:rFonts w:ascii="Times New Roman" w:hAnsi="Times New Roman"/>
          <w:sz w:val="24"/>
          <w:szCs w:val="24"/>
        </w:rPr>
        <w:t xml:space="preserve">d’autres facteurs </w:t>
      </w:r>
      <w:r w:rsidR="00961895">
        <w:rPr>
          <w:rFonts w:ascii="Times New Roman" w:hAnsi="Times New Roman"/>
          <w:sz w:val="24"/>
          <w:szCs w:val="24"/>
        </w:rPr>
        <w:t xml:space="preserve">autres </w:t>
      </w:r>
      <w:r w:rsidR="00224FAE">
        <w:rPr>
          <w:rFonts w:ascii="Times New Roman" w:hAnsi="Times New Roman"/>
          <w:sz w:val="24"/>
          <w:szCs w:val="24"/>
        </w:rPr>
        <w:t xml:space="preserve">que la croissance démographique pourraient contribuer à élucider ce paradoxe. A cet effet </w:t>
      </w:r>
      <w:r w:rsidRPr="007B43D0">
        <w:rPr>
          <w:rFonts w:ascii="Times New Roman" w:hAnsi="Times New Roman"/>
          <w:sz w:val="24"/>
          <w:szCs w:val="24"/>
        </w:rPr>
        <w:t>plusieurs hypothèses</w:t>
      </w:r>
      <w:r w:rsidR="00224FAE">
        <w:rPr>
          <w:rFonts w:ascii="Times New Roman" w:hAnsi="Times New Roman"/>
          <w:sz w:val="24"/>
          <w:szCs w:val="24"/>
        </w:rPr>
        <w:t xml:space="preserve"> peuvent être étudiées</w:t>
      </w:r>
      <w:r w:rsidRPr="007B43D0">
        <w:rPr>
          <w:rFonts w:ascii="Times New Roman" w:hAnsi="Times New Roman"/>
          <w:sz w:val="24"/>
          <w:szCs w:val="24"/>
        </w:rPr>
        <w:t xml:space="preserve"> : i) les secteurs restés en marge de la croissance sont ceux qui comptent le plus de pauvres – le secteur du coton pourrait être intéressant à cet égard ; ii) les acquis de la croissance et de la lutte contre la pauvreté ont été érodés par les chocs extérieurs ; iii) les pauvres ont difficilement accès aux principaux facteurs de production et aux actifs qui leur permettraient de profiter des fruits de la croissance, tels que l’accès à l’éducation, aux ressources foncières et au crédit ; iv) les faibles taux d’exécution du budget soulignent l’inefficacité des dépenses et des investissements publics et les difficultés des pouvoirs publics à appliquer des plans de dépenses en faveur des pauvres et à leur fournir les services dont ils ont besoin ; v) la croissance ayant été inégale selon les régions, la pauvreté a reculé dans les régions en expansion mais progressé dans les régions à la traîne ; vi) les chocs pourraient avoir des effets différents sur les pauvres, les quasi-pauvres et les non-pauvres, de sorte que certains groupes sont plus vulnérables et plus susceptibles de tomber dans la misère ou de rester pauvres, et là encore le secteur du coton pourrait être un facteur; et vii) les inégalités se creusent et certains groupes démographiques restent en marge de la croissance, tels que les femmes, les jeunes, etc. Il pourrait naturellement y avoir d’autres explications qui mériteraient une étude plus approfondie.</w:t>
      </w:r>
    </w:p>
    <w:p w:rsidR="0064665D" w:rsidRPr="007B43D0" w:rsidRDefault="00A66142" w:rsidP="0064665D">
      <w:pPr>
        <w:pStyle w:val="Paragraphedeliste"/>
        <w:spacing w:before="120" w:after="200" w:line="276" w:lineRule="auto"/>
        <w:ind w:left="0"/>
        <w:contextualSpacing w:val="0"/>
        <w:rPr>
          <w:rFonts w:ascii="Times New Roman" w:hAnsi="Times New Roman"/>
          <w:sz w:val="24"/>
          <w:szCs w:val="24"/>
        </w:rPr>
      </w:pPr>
      <w:r>
        <w:rPr>
          <w:rFonts w:ascii="Times New Roman" w:hAnsi="Times New Roman"/>
          <w:sz w:val="24"/>
          <w:szCs w:val="24"/>
        </w:rPr>
        <w:t>Aussi</w:t>
      </w:r>
      <w:r w:rsidR="0064665D" w:rsidRPr="007B43D0">
        <w:rPr>
          <w:rFonts w:ascii="Times New Roman" w:hAnsi="Times New Roman"/>
          <w:sz w:val="24"/>
          <w:szCs w:val="24"/>
        </w:rPr>
        <w:t>, l’analyse de l’interaction entre croissance et pauvreté permettra de tirer les conséquences de cette dynamique pour les dépenses et les programmes publics, en portant une attention particulière aux secteurs clés – éducation, agriculture, infrastructure et protection sociale. L’analyse aidera à déterminer les secteurs prioritaires pour accélérer la réduction de la pauvreté, et les dépenses publiques à engager à cette fin. Un autre élément à considérer est l’accès des pauvres aux facteurs de product</w:t>
      </w:r>
      <w:r w:rsidR="00440218">
        <w:rPr>
          <w:rFonts w:ascii="Times New Roman" w:hAnsi="Times New Roman"/>
          <w:sz w:val="24"/>
          <w:szCs w:val="24"/>
        </w:rPr>
        <w:t>ion</w:t>
      </w:r>
      <w:r w:rsidR="00071595">
        <w:rPr>
          <w:rFonts w:ascii="Times New Roman" w:hAnsi="Times New Roman"/>
          <w:sz w:val="24"/>
          <w:szCs w:val="24"/>
        </w:rPr>
        <w:t xml:space="preserve"> </w:t>
      </w:r>
      <w:r w:rsidR="0064665D" w:rsidRPr="007B43D0">
        <w:rPr>
          <w:rFonts w:ascii="Times New Roman" w:hAnsi="Times New Roman"/>
          <w:sz w:val="24"/>
          <w:szCs w:val="24"/>
        </w:rPr>
        <w:t xml:space="preserve">et aux actifs. </w:t>
      </w:r>
      <w:r w:rsidR="00071595">
        <w:rPr>
          <w:rFonts w:ascii="Times New Roman" w:hAnsi="Times New Roman"/>
          <w:sz w:val="24"/>
          <w:szCs w:val="24"/>
        </w:rPr>
        <w:t>A</w:t>
      </w:r>
      <w:r w:rsidR="00071595" w:rsidRPr="007B43D0">
        <w:rPr>
          <w:rFonts w:ascii="Times New Roman" w:hAnsi="Times New Roman"/>
          <w:sz w:val="24"/>
          <w:szCs w:val="24"/>
        </w:rPr>
        <w:t xml:space="preserve"> </w:t>
      </w:r>
      <w:r w:rsidR="0064665D" w:rsidRPr="007B43D0">
        <w:rPr>
          <w:rFonts w:ascii="Times New Roman" w:hAnsi="Times New Roman"/>
          <w:sz w:val="24"/>
          <w:szCs w:val="24"/>
        </w:rPr>
        <w:t xml:space="preserve">cet égard, deux questions se posent : d’une part, l’accès des pauvres aux actifs (par exemple, qualité de la main-d’œuvre, accès aux terres et au crédit) et les obstacles à cet égard, notamment pour les femmes, et d’autre part, le secteur dans lequel travaillent les pauvres, compte tenu de leurs actifs.  </w:t>
      </w:r>
    </w:p>
    <w:p w:rsidR="0064665D" w:rsidRPr="00332215" w:rsidRDefault="0064665D" w:rsidP="00332215">
      <w:pPr>
        <w:spacing w:line="276" w:lineRule="auto"/>
        <w:rPr>
          <w:rFonts w:ascii="Times New Roman" w:hAnsi="Times New Roman"/>
          <w:b/>
          <w:i/>
          <w:sz w:val="28"/>
          <w:szCs w:val="28"/>
        </w:rPr>
      </w:pPr>
      <w:r w:rsidRPr="00332215">
        <w:rPr>
          <w:rFonts w:ascii="Times New Roman" w:hAnsi="Times New Roman"/>
          <w:b/>
          <w:i/>
          <w:sz w:val="28"/>
          <w:szCs w:val="28"/>
        </w:rPr>
        <w:t>Dépenses publiques et réduction de la pauvreté</w:t>
      </w:r>
    </w:p>
    <w:p w:rsidR="0064665D"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 xml:space="preserve">L’exécution du budget et l’efficacité des dépenses publiques sont deux problèmes au Bénin, qui pourraient expliquer dans une large mesure la faible croissance économique et la persistance de la pauvreté. En particulier, d’après les résultats de l’examen des dépenses publiques, bien que des crédits budgétaires plus importants soient alloués aux secteurs, activités et investissements prioritaires, les faibles taux d’exécution du budget pourraient compromettre l’application des mesures prévues et détourner implicitement les ressources des secteurs prioritaires comme l’agriculture, l’éducation et la santé vers des secteurs moins prioritaires. Pour assurer une croissance régulière et faire durablement reculer la pauvreté, il est impératif que le gouvernement améliore la planification, les dépenses publiques et la gestion financière. </w:t>
      </w:r>
    </w:p>
    <w:p w:rsidR="0064665D"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Compte tenu de ce qui précède, des consultations ont eu lieu avec le gouvernement sur les questions qui pourraient être traitées dans ce volet de l’évaluation de la pauvreté, à savoir :</w:t>
      </w:r>
    </w:p>
    <w:p w:rsidR="0064665D" w:rsidRPr="007B43D0"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L’effet redistributif de la politique budgétaire, qui peut aider à accélérer la réduction de la pauvreté. Il s’agit d’identifier les bénéficiaires des dépenses publiques, de déterminer si les pauvres en profitent effectivement, en particulier dans les secteurs clés comme l’agriculture, l’éducation et la protection sociale, et d’étudier les groupes démographiques essentiels que sont les femmes et les jeunes. Les disparités et les tendances régionales seront également examinées, dans la mesure où les données disponibles le permettent.</w:t>
      </w:r>
    </w:p>
    <w:p w:rsidR="0064665D" w:rsidRPr="007B43D0"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Un récent examen des dépenses publiques (EDP) a permis de recenser et hiérarchiser les réformes institutionnelles nécessaires pour accroître la contribution des dépenses publiques au recul de la pauvreté. Cependant,  selon les résultats de l’évaluation de la pauvreté concernant l’efficacité des dépenses publiques, il pourrait s’avérer nécessaire d’approfondir certaines questions soulevées par l’EDP. À cet égard, l’évaluation de la pauvreté facilitera le processus de réforme institutionnelle défini et engagé suite à l’EDP et permettra de faire en sorte que ces réformes restent axées sur la lutte contre la pauvreté.</w:t>
      </w:r>
    </w:p>
    <w:p w:rsidR="0064665D" w:rsidRPr="007B43D0" w:rsidRDefault="0064665D" w:rsidP="0064665D">
      <w:pPr>
        <w:pStyle w:val="Paragraphedeliste"/>
        <w:spacing w:before="120" w:after="200" w:line="276" w:lineRule="auto"/>
        <w:ind w:left="0"/>
        <w:contextualSpacing w:val="0"/>
        <w:rPr>
          <w:rFonts w:ascii="Times New Roman" w:hAnsi="Times New Roman"/>
          <w:sz w:val="24"/>
          <w:szCs w:val="24"/>
        </w:rPr>
      </w:pPr>
      <w:r w:rsidRPr="007B43D0">
        <w:rPr>
          <w:rFonts w:ascii="Times New Roman" w:hAnsi="Times New Roman"/>
          <w:sz w:val="24"/>
          <w:szCs w:val="24"/>
        </w:rPr>
        <w:t xml:space="preserve">Pour assurer un suivi régulier des indicateurs de pauvreté, l’évaluation envisagera des moyens de renforcer le système actuel de suivi de la pauvreté. </w:t>
      </w:r>
      <w:r w:rsidR="00A66142">
        <w:rPr>
          <w:rFonts w:ascii="Times New Roman" w:hAnsi="Times New Roman"/>
          <w:sz w:val="24"/>
          <w:szCs w:val="24"/>
        </w:rPr>
        <w:t>L</w:t>
      </w:r>
      <w:r w:rsidRPr="007B43D0">
        <w:rPr>
          <w:rFonts w:ascii="Times New Roman" w:hAnsi="Times New Roman"/>
          <w:sz w:val="24"/>
          <w:szCs w:val="24"/>
        </w:rPr>
        <w:t xml:space="preserve">es résultats des analyses effectuées dans les domaines susmentionnés </w:t>
      </w:r>
      <w:r w:rsidR="00A66142">
        <w:rPr>
          <w:rFonts w:ascii="Times New Roman" w:hAnsi="Times New Roman"/>
          <w:sz w:val="24"/>
          <w:szCs w:val="24"/>
        </w:rPr>
        <w:t xml:space="preserve">aideront à </w:t>
      </w:r>
      <w:r w:rsidRPr="007B43D0">
        <w:rPr>
          <w:rFonts w:ascii="Times New Roman" w:hAnsi="Times New Roman"/>
          <w:sz w:val="24"/>
          <w:szCs w:val="24"/>
        </w:rPr>
        <w:t xml:space="preserve"> définir les indicateurs à inclure en priorité dans le cadre de suivi et d’évaluation mis en place par le gouvernement pour la SCRP de troisième génération, ou renforcer ceux qui existent. </w:t>
      </w:r>
    </w:p>
    <w:p w:rsidR="0064665D" w:rsidRPr="00332215" w:rsidRDefault="0064665D" w:rsidP="00332215">
      <w:pPr>
        <w:pStyle w:val="Titre2"/>
        <w:rPr>
          <w:rFonts w:ascii="Times New Roman" w:hAnsi="Times New Roman" w:cs="Times New Roman"/>
          <w:i w:val="0"/>
          <w:color w:val="31849B" w:themeColor="accent5" w:themeShade="BF"/>
        </w:rPr>
      </w:pPr>
      <w:bookmarkStart w:id="19" w:name="_Toc382322911"/>
      <w:r w:rsidRPr="00332215">
        <w:rPr>
          <w:rFonts w:ascii="Times New Roman" w:hAnsi="Times New Roman" w:cs="Times New Roman"/>
          <w:i w:val="0"/>
          <w:color w:val="31849B" w:themeColor="accent5" w:themeShade="BF"/>
        </w:rPr>
        <w:t>Démarche méthodologique</w:t>
      </w:r>
      <w:bookmarkEnd w:id="19"/>
    </w:p>
    <w:p w:rsidR="0064665D" w:rsidRPr="007B43D0" w:rsidRDefault="0064665D" w:rsidP="0064665D">
      <w:pPr>
        <w:spacing w:line="276" w:lineRule="auto"/>
        <w:rPr>
          <w:rFonts w:ascii="Times New Roman" w:hAnsi="Times New Roman"/>
          <w:sz w:val="24"/>
          <w:szCs w:val="24"/>
        </w:rPr>
      </w:pPr>
      <w:r w:rsidRPr="007B43D0">
        <w:rPr>
          <w:rFonts w:ascii="Times New Roman" w:hAnsi="Times New Roman"/>
          <w:sz w:val="24"/>
          <w:szCs w:val="24"/>
        </w:rPr>
        <w:t>Cette évaluation de la pauvreté au Bénin</w:t>
      </w:r>
      <w:r w:rsidR="001B3BC1">
        <w:rPr>
          <w:rFonts w:ascii="Times New Roman" w:hAnsi="Times New Roman"/>
          <w:sz w:val="24"/>
          <w:szCs w:val="24"/>
        </w:rPr>
        <w:t xml:space="preserve"> comporte huit</w:t>
      </w:r>
      <w:r w:rsidRPr="007B43D0">
        <w:rPr>
          <w:rFonts w:ascii="Times New Roman" w:hAnsi="Times New Roman"/>
          <w:sz w:val="24"/>
          <w:szCs w:val="24"/>
        </w:rPr>
        <w:t xml:space="preserve"> chapitres qui portent sur différentes thématiques et orientations méthodologiques. </w:t>
      </w:r>
      <w:r w:rsidR="001064B7" w:rsidRPr="001064B7">
        <w:rPr>
          <w:rFonts w:ascii="Times New Roman" w:hAnsi="Times New Roman"/>
          <w:sz w:val="24"/>
          <w:szCs w:val="24"/>
        </w:rPr>
        <w:t>Pour chaque chapitre, il est proposé des options méthodologiques spécifiques en rapport avec les objectifs visés</w:t>
      </w:r>
      <w:r w:rsidRPr="007B43D0">
        <w:rPr>
          <w:rFonts w:ascii="Times New Roman" w:hAnsi="Times New Roman"/>
          <w:sz w:val="24"/>
          <w:szCs w:val="24"/>
        </w:rPr>
        <w:t>.</w:t>
      </w:r>
      <w:r w:rsidR="001B3BC1">
        <w:rPr>
          <w:rFonts w:ascii="Times New Roman" w:hAnsi="Times New Roman"/>
          <w:sz w:val="24"/>
          <w:szCs w:val="24"/>
        </w:rPr>
        <w:t xml:space="preserve"> Les données proviennent des Enquêtes Modulaires Intégrées sur les  Conditions de Vie  des Ménages (EMICoV) réalisées par l’Institut National de la Statistique et de l’Analyse Economique (INSAE) en 2006, 2010 et 2011.</w:t>
      </w:r>
    </w:p>
    <w:p w:rsidR="0064665D" w:rsidRPr="007B43D0" w:rsidRDefault="0064665D" w:rsidP="0064665D">
      <w:pPr>
        <w:spacing w:line="276" w:lineRule="auto"/>
        <w:rPr>
          <w:rFonts w:ascii="Times New Roman" w:hAnsi="Times New Roman"/>
          <w:sz w:val="24"/>
          <w:szCs w:val="24"/>
        </w:rPr>
      </w:pPr>
    </w:p>
    <w:p w:rsidR="003C211F" w:rsidRDefault="00832112">
      <w:pPr>
        <w:spacing w:line="276" w:lineRule="auto"/>
        <w:rPr>
          <w:rFonts w:ascii="Times New Roman" w:hAnsi="Times New Roman"/>
          <w:sz w:val="24"/>
          <w:szCs w:val="24"/>
        </w:rPr>
      </w:pPr>
      <w:r w:rsidRPr="00832112">
        <w:rPr>
          <w:rFonts w:ascii="Times New Roman" w:hAnsi="Times New Roman"/>
          <w:sz w:val="24"/>
          <w:szCs w:val="24"/>
        </w:rPr>
        <w:t>Le rapport, outre le chapitre introductif, est composé de sept chapitres</w:t>
      </w:r>
      <w:r w:rsidR="00D761C6">
        <w:t> </w:t>
      </w:r>
      <w:r w:rsidR="00454BF3">
        <w:rPr>
          <w:rFonts w:ascii="Times New Roman" w:hAnsi="Times New Roman"/>
          <w:sz w:val="24"/>
          <w:szCs w:val="24"/>
        </w:rPr>
        <w:t xml:space="preserve">: (i) </w:t>
      </w:r>
      <w:hyperlink w:anchor="_Toc344716320" w:history="1">
        <w:r w:rsidR="00454BF3" w:rsidRPr="00454BF3">
          <w:rPr>
            <w:rFonts w:ascii="Times New Roman" w:hAnsi="Times New Roman"/>
            <w:sz w:val="24"/>
            <w:szCs w:val="24"/>
          </w:rPr>
          <w:t>Profil et dynamique de la pauvreté au Bénin</w:t>
        </w:r>
        <w:r w:rsidR="0050375C">
          <w:rPr>
            <w:rFonts w:ascii="Times New Roman" w:hAnsi="Times New Roman"/>
            <w:sz w:val="24"/>
            <w:szCs w:val="24"/>
          </w:rPr>
          <w:t xml:space="preserve">, </w:t>
        </w:r>
      </w:hyperlink>
      <w:r w:rsidR="006249D8">
        <w:rPr>
          <w:rFonts w:ascii="Times New Roman" w:hAnsi="Times New Roman"/>
          <w:sz w:val="24"/>
          <w:szCs w:val="24"/>
        </w:rPr>
        <w:t xml:space="preserve"> (ii) </w:t>
      </w:r>
      <w:r w:rsidR="00454BF3" w:rsidRPr="00454BF3">
        <w:rPr>
          <w:rFonts w:ascii="Times New Roman" w:hAnsi="Times New Roman"/>
          <w:sz w:val="24"/>
          <w:szCs w:val="24"/>
        </w:rPr>
        <w:t>Croissance économique et réduction de la pauvreté au Bénin</w:t>
      </w:r>
      <w:r w:rsidR="006249D8">
        <w:rPr>
          <w:rFonts w:ascii="Times New Roman" w:hAnsi="Times New Roman"/>
          <w:sz w:val="24"/>
          <w:szCs w:val="24"/>
        </w:rPr>
        <w:t>, (i</w:t>
      </w:r>
      <w:r w:rsidR="0050375C">
        <w:rPr>
          <w:rFonts w:ascii="Times New Roman" w:hAnsi="Times New Roman"/>
          <w:sz w:val="24"/>
          <w:szCs w:val="24"/>
        </w:rPr>
        <w:t>ii</w:t>
      </w:r>
      <w:r w:rsidR="006249D8">
        <w:rPr>
          <w:rFonts w:ascii="Times New Roman" w:hAnsi="Times New Roman"/>
          <w:sz w:val="24"/>
          <w:szCs w:val="24"/>
        </w:rPr>
        <w:t xml:space="preserve">) </w:t>
      </w:r>
      <w:r w:rsidR="00454BF3" w:rsidRPr="00454BF3">
        <w:rPr>
          <w:rFonts w:ascii="Times New Roman" w:hAnsi="Times New Roman"/>
          <w:sz w:val="24"/>
          <w:szCs w:val="24"/>
        </w:rPr>
        <w:t>Chocs, vulnérabilités et stratégies d’adaptation des ménages</w:t>
      </w:r>
      <w:r w:rsidR="006249D8">
        <w:rPr>
          <w:rFonts w:ascii="Times New Roman" w:hAnsi="Times New Roman"/>
          <w:sz w:val="24"/>
          <w:szCs w:val="24"/>
        </w:rPr>
        <w:t>, (</w:t>
      </w:r>
      <w:r w:rsidR="0050375C">
        <w:rPr>
          <w:rFonts w:ascii="Times New Roman" w:hAnsi="Times New Roman"/>
          <w:sz w:val="24"/>
          <w:szCs w:val="24"/>
        </w:rPr>
        <w:t>i</w:t>
      </w:r>
      <w:r w:rsidR="006249D8">
        <w:rPr>
          <w:rFonts w:ascii="Times New Roman" w:hAnsi="Times New Roman"/>
          <w:sz w:val="24"/>
          <w:szCs w:val="24"/>
        </w:rPr>
        <w:t xml:space="preserve">v) </w:t>
      </w:r>
      <w:r w:rsidR="00454BF3" w:rsidRPr="00454BF3">
        <w:rPr>
          <w:rFonts w:ascii="Times New Roman" w:hAnsi="Times New Roman"/>
          <w:sz w:val="24"/>
          <w:szCs w:val="24"/>
        </w:rPr>
        <w:t>Politiques budgétaires et réduction de la pauvreté</w:t>
      </w:r>
      <w:r w:rsidR="006249D8">
        <w:rPr>
          <w:rFonts w:ascii="Times New Roman" w:hAnsi="Times New Roman"/>
          <w:sz w:val="24"/>
          <w:szCs w:val="24"/>
        </w:rPr>
        <w:t xml:space="preserve">, (v) </w:t>
      </w:r>
      <w:r w:rsidR="00454BF3" w:rsidRPr="00454BF3">
        <w:rPr>
          <w:rFonts w:ascii="Times New Roman" w:hAnsi="Times New Roman"/>
          <w:sz w:val="24"/>
          <w:szCs w:val="24"/>
        </w:rPr>
        <w:t>Politique de l’emploi et pauvreté</w:t>
      </w:r>
      <w:r w:rsidR="006249D8">
        <w:rPr>
          <w:rFonts w:ascii="Times New Roman" w:hAnsi="Times New Roman"/>
          <w:sz w:val="24"/>
          <w:szCs w:val="24"/>
        </w:rPr>
        <w:t xml:space="preserve">, </w:t>
      </w:r>
      <w:r w:rsidR="001064B7" w:rsidRPr="001064B7">
        <w:rPr>
          <w:rFonts w:ascii="Times New Roman" w:hAnsi="Times New Roman"/>
          <w:sz w:val="24"/>
          <w:szCs w:val="24"/>
        </w:rPr>
        <w:t>(vi) Inégalités d’accès et inégalités de bénéfices</w:t>
      </w:r>
      <w:r w:rsidR="00AB3652">
        <w:rPr>
          <w:rFonts w:ascii="Times New Roman" w:hAnsi="Times New Roman"/>
          <w:sz w:val="24"/>
          <w:szCs w:val="24"/>
        </w:rPr>
        <w:t xml:space="preserve"> et (vii) </w:t>
      </w:r>
      <w:r w:rsidR="00AB3652" w:rsidRPr="00454BF3">
        <w:rPr>
          <w:rFonts w:ascii="Times New Roman" w:hAnsi="Times New Roman"/>
          <w:sz w:val="24"/>
          <w:szCs w:val="24"/>
        </w:rPr>
        <w:t xml:space="preserve">Suivi de la pauvreté au </w:t>
      </w:r>
      <w:r w:rsidR="00AB3652" w:rsidRPr="00343E59">
        <w:rPr>
          <w:rFonts w:ascii="Times New Roman" w:hAnsi="Times New Roman"/>
          <w:sz w:val="24"/>
          <w:szCs w:val="24"/>
        </w:rPr>
        <w:t>Bénin</w:t>
      </w:r>
    </w:p>
    <w:p w:rsidR="00454BF3" w:rsidRDefault="00454BF3" w:rsidP="00454BF3">
      <w:pPr>
        <w:rPr>
          <w:rFonts w:ascii="Times New Roman" w:hAnsi="Times New Roman"/>
          <w:sz w:val="24"/>
          <w:szCs w:val="24"/>
        </w:rPr>
      </w:pPr>
    </w:p>
    <w:p w:rsidR="00262C5D" w:rsidRDefault="00262C5D" w:rsidP="00454BF3">
      <w:pPr>
        <w:rPr>
          <w:rFonts w:ascii="Times New Roman" w:hAnsi="Times New Roman"/>
          <w:sz w:val="24"/>
          <w:szCs w:val="24"/>
        </w:rPr>
      </w:pPr>
    </w:p>
    <w:p w:rsidR="00262C5D" w:rsidRDefault="00262C5D" w:rsidP="00454BF3">
      <w:pPr>
        <w:rPr>
          <w:rFonts w:ascii="Times New Roman" w:hAnsi="Times New Roman"/>
          <w:sz w:val="24"/>
          <w:szCs w:val="24"/>
        </w:rPr>
      </w:pPr>
    </w:p>
    <w:p w:rsidR="00262C5D" w:rsidRDefault="00262C5D" w:rsidP="00454BF3">
      <w:pPr>
        <w:rPr>
          <w:rFonts w:ascii="Times New Roman" w:hAnsi="Times New Roman"/>
          <w:sz w:val="24"/>
          <w:szCs w:val="24"/>
        </w:rPr>
      </w:pPr>
    </w:p>
    <w:p w:rsidR="00454BF3" w:rsidRPr="00454BF3" w:rsidRDefault="00454BF3" w:rsidP="00454BF3">
      <w:pPr>
        <w:sectPr w:rsidR="00454BF3" w:rsidRPr="00454BF3" w:rsidSect="001B4547">
          <w:pgSz w:w="11906" w:h="16838"/>
          <w:pgMar w:top="1417"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AB1358" w:rsidTr="00AE15F2">
        <w:trPr>
          <w:trHeight w:val="1719"/>
        </w:trPr>
        <w:tc>
          <w:tcPr>
            <w:tcW w:w="1418" w:type="dxa"/>
            <w:tcBorders>
              <w:right w:val="thinThickSmallGap" w:sz="24" w:space="0" w:color="FFFFFF" w:themeColor="background1"/>
            </w:tcBorders>
            <w:shd w:val="clear" w:color="auto" w:fill="92CDDC" w:themeFill="accent5" w:themeFillTint="99"/>
          </w:tcPr>
          <w:p w:rsidR="00AB1358" w:rsidRPr="00494CC8" w:rsidRDefault="00AB1358" w:rsidP="00272B35">
            <w:pPr>
              <w:pStyle w:val="Titre1"/>
              <w:jc w:val="center"/>
              <w:outlineLvl w:val="0"/>
              <w:rPr>
                <w:rFonts w:ascii="Times New Roman" w:hAnsi="Times New Roman" w:cs="Times New Roman"/>
                <w:sz w:val="28"/>
                <w:szCs w:val="28"/>
              </w:rPr>
            </w:pP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AB1358" w:rsidRPr="00E04E53" w:rsidRDefault="00AB1358" w:rsidP="00272B35">
            <w:pPr>
              <w:pStyle w:val="Titre1"/>
              <w:spacing w:before="120" w:after="0" w:line="240" w:lineRule="auto"/>
              <w:jc w:val="center"/>
              <w:outlineLvl w:val="0"/>
              <w:rPr>
                <w:rFonts w:ascii="Times New Roman" w:hAnsi="Times New Roman" w:cs="Times New Roman"/>
                <w:sz w:val="52"/>
                <w:szCs w:val="52"/>
              </w:rPr>
            </w:pPr>
            <w:bookmarkStart w:id="20" w:name="_Toc382322912"/>
            <w:r w:rsidRPr="00E04E53">
              <w:rPr>
                <w:rFonts w:ascii="Times New Roman" w:hAnsi="Times New Roman" w:cs="Times New Roman"/>
                <w:sz w:val="52"/>
                <w:szCs w:val="52"/>
              </w:rPr>
              <w:t>CHAPITRE</w:t>
            </w:r>
            <w:bookmarkEnd w:id="20"/>
          </w:p>
          <w:p w:rsidR="00AB1358" w:rsidRPr="00E04E53" w:rsidRDefault="00DE0355" w:rsidP="00272B35">
            <w:pPr>
              <w:pStyle w:val="Titre1"/>
              <w:spacing w:before="0" w:after="0" w:line="240" w:lineRule="auto"/>
              <w:jc w:val="center"/>
              <w:outlineLvl w:val="0"/>
              <w:rPr>
                <w:rFonts w:ascii="Times New Roman" w:hAnsi="Times New Roman" w:cs="Times New Roman"/>
                <w:sz w:val="96"/>
                <w:szCs w:val="96"/>
              </w:rPr>
            </w:pPr>
            <w:bookmarkStart w:id="21" w:name="_Toc382322913"/>
            <w:r>
              <w:rPr>
                <w:rFonts w:ascii="Times New Roman" w:hAnsi="Times New Roman" w:cs="Times New Roman"/>
                <w:sz w:val="96"/>
                <w:szCs w:val="96"/>
              </w:rPr>
              <w:t>1</w:t>
            </w:r>
            <w:bookmarkEnd w:id="21"/>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AB1358" w:rsidRPr="00E04E53" w:rsidRDefault="00AB1358" w:rsidP="00AA7FDE">
            <w:pPr>
              <w:pStyle w:val="Titre1"/>
              <w:spacing w:before="120" w:line="240" w:lineRule="auto"/>
              <w:jc w:val="left"/>
              <w:outlineLvl w:val="0"/>
              <w:rPr>
                <w:rFonts w:ascii="Times New Roman" w:hAnsi="Times New Roman" w:cs="Times New Roman"/>
                <w:sz w:val="52"/>
                <w:szCs w:val="52"/>
              </w:rPr>
            </w:pPr>
            <w:bookmarkStart w:id="22" w:name="_Toc382322914"/>
            <w:r w:rsidRPr="00AB1358">
              <w:rPr>
                <w:rFonts w:ascii="Times New Roman" w:hAnsi="Times New Roman" w:cs="Times New Roman"/>
                <w:sz w:val="52"/>
                <w:szCs w:val="52"/>
              </w:rPr>
              <w:t>Profil et dynamique de la pauvreté au Bénin</w:t>
            </w:r>
            <w:bookmarkEnd w:id="22"/>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AB1358" w:rsidRPr="00E04E53" w:rsidRDefault="00AB1358" w:rsidP="00272B35">
            <w:pPr>
              <w:pStyle w:val="Titre1"/>
              <w:spacing w:line="240" w:lineRule="auto"/>
              <w:jc w:val="center"/>
              <w:outlineLvl w:val="0"/>
              <w:rPr>
                <w:rFonts w:ascii="Times New Roman" w:hAnsi="Times New Roman" w:cs="Times New Roman"/>
                <w:sz w:val="52"/>
                <w:szCs w:val="52"/>
              </w:rPr>
            </w:pPr>
          </w:p>
        </w:tc>
      </w:tr>
    </w:tbl>
    <w:p w:rsidR="003740B0" w:rsidRDefault="003740B0" w:rsidP="00EF413D">
      <w:pPr>
        <w:spacing w:line="240" w:lineRule="auto"/>
        <w:rPr>
          <w:rFonts w:ascii="Times New Roman" w:hAnsi="Times New Roman"/>
          <w:sz w:val="24"/>
          <w:szCs w:val="24"/>
        </w:rPr>
      </w:pPr>
    </w:p>
    <w:p w:rsidR="00AB1358" w:rsidRPr="007B43D0" w:rsidRDefault="00AB1358" w:rsidP="00EF413D">
      <w:pPr>
        <w:spacing w:line="240" w:lineRule="auto"/>
        <w:rPr>
          <w:rFonts w:ascii="Times New Roman" w:hAnsi="Times New Roman"/>
          <w:sz w:val="24"/>
          <w:szCs w:val="24"/>
        </w:rPr>
      </w:pPr>
    </w:p>
    <w:p w:rsidR="003740B0" w:rsidRPr="00CC312E" w:rsidRDefault="004355B3" w:rsidP="00EF413D">
      <w:pPr>
        <w:pStyle w:val="Titre2"/>
        <w:spacing w:line="276" w:lineRule="auto"/>
        <w:rPr>
          <w:rFonts w:ascii="Times New Roman" w:hAnsi="Times New Roman" w:cs="Times New Roman"/>
          <w:i w:val="0"/>
          <w:color w:val="31849B" w:themeColor="accent5" w:themeShade="BF"/>
        </w:rPr>
      </w:pPr>
      <w:bookmarkStart w:id="23" w:name="_Toc382322915"/>
      <w:r w:rsidRPr="00CC312E">
        <w:rPr>
          <w:rFonts w:ascii="Times New Roman" w:hAnsi="Times New Roman" w:cs="Times New Roman"/>
          <w:i w:val="0"/>
          <w:color w:val="31849B" w:themeColor="accent5" w:themeShade="BF"/>
        </w:rPr>
        <w:t>1</w:t>
      </w:r>
      <w:r w:rsidR="0016530E" w:rsidRPr="00CC312E">
        <w:rPr>
          <w:rFonts w:ascii="Times New Roman" w:hAnsi="Times New Roman" w:cs="Times New Roman"/>
          <w:i w:val="0"/>
          <w:color w:val="31849B" w:themeColor="accent5" w:themeShade="BF"/>
        </w:rPr>
        <w:t xml:space="preserve">.1 </w:t>
      </w:r>
      <w:r w:rsidR="003740B0" w:rsidRPr="00CC312E">
        <w:rPr>
          <w:rFonts w:ascii="Times New Roman" w:hAnsi="Times New Roman" w:cs="Times New Roman"/>
          <w:i w:val="0"/>
          <w:color w:val="31849B" w:themeColor="accent5" w:themeShade="BF"/>
        </w:rPr>
        <w:t>Introduction</w:t>
      </w:r>
      <w:bookmarkEnd w:id="23"/>
    </w:p>
    <w:p w:rsidR="00D4416A" w:rsidRPr="00EF413D" w:rsidRDefault="00D4416A" w:rsidP="00D4416A">
      <w:pPr>
        <w:spacing w:line="276" w:lineRule="auto"/>
        <w:rPr>
          <w:rFonts w:ascii="Times New Roman" w:hAnsi="Times New Roman"/>
          <w:sz w:val="20"/>
          <w:szCs w:val="20"/>
          <w:highlight w:val="yellow"/>
        </w:rPr>
      </w:pPr>
    </w:p>
    <w:p w:rsidR="009D597D" w:rsidRPr="00741474" w:rsidRDefault="00B76D0A" w:rsidP="009D597D">
      <w:pPr>
        <w:spacing w:line="276" w:lineRule="auto"/>
        <w:rPr>
          <w:rFonts w:ascii="Times New Roman" w:hAnsi="Times New Roman"/>
          <w:sz w:val="24"/>
          <w:szCs w:val="24"/>
        </w:rPr>
      </w:pPr>
      <w:r w:rsidRPr="00B76D0A">
        <w:rPr>
          <w:rFonts w:ascii="Times New Roman" w:hAnsi="Times New Roman"/>
          <w:sz w:val="24"/>
          <w:szCs w:val="24"/>
        </w:rPr>
        <w:t xml:space="preserve">Ce chapitre porte sur l’analyse du profil, de la dynamique de la pauvreté et de ses déterminants </w:t>
      </w:r>
      <w:r w:rsidR="00D761C6">
        <w:rPr>
          <w:rFonts w:ascii="Times New Roman" w:hAnsi="Times New Roman"/>
          <w:sz w:val="24"/>
          <w:szCs w:val="24"/>
        </w:rPr>
        <w:t xml:space="preserve">au </w:t>
      </w:r>
      <w:r w:rsidRPr="00B76D0A">
        <w:rPr>
          <w:rFonts w:ascii="Times New Roman" w:hAnsi="Times New Roman"/>
          <w:sz w:val="24"/>
          <w:szCs w:val="24"/>
        </w:rPr>
        <w:t xml:space="preserve">Bénin. </w:t>
      </w:r>
      <w:r w:rsidR="00195F02">
        <w:rPr>
          <w:rFonts w:ascii="Times New Roman" w:hAnsi="Times New Roman"/>
          <w:sz w:val="24"/>
          <w:szCs w:val="24"/>
        </w:rPr>
        <w:t>Il est destiné à offrir une meilleure connaissance de la portée</w:t>
      </w:r>
      <w:r w:rsidR="00CE0B23">
        <w:rPr>
          <w:rFonts w:ascii="Times New Roman" w:hAnsi="Times New Roman"/>
          <w:sz w:val="24"/>
          <w:szCs w:val="24"/>
        </w:rPr>
        <w:t>, des mouvements d’entrées et de sorties</w:t>
      </w:r>
      <w:r w:rsidR="00195F02">
        <w:rPr>
          <w:rFonts w:ascii="Times New Roman" w:hAnsi="Times New Roman"/>
          <w:sz w:val="24"/>
          <w:szCs w:val="24"/>
        </w:rPr>
        <w:t xml:space="preserve"> de la pauvreté et de ses caractéristiques au Bénin. C</w:t>
      </w:r>
      <w:r w:rsidRPr="00B76D0A">
        <w:rPr>
          <w:rFonts w:ascii="Times New Roman" w:hAnsi="Times New Roman"/>
          <w:sz w:val="24"/>
          <w:szCs w:val="24"/>
        </w:rPr>
        <w:t>e</w:t>
      </w:r>
      <w:r w:rsidR="006A0A2C">
        <w:rPr>
          <w:rFonts w:ascii="Times New Roman" w:hAnsi="Times New Roman"/>
          <w:sz w:val="24"/>
          <w:szCs w:val="24"/>
        </w:rPr>
        <w:t xml:space="preserve">tte contribution </w:t>
      </w:r>
      <w:r w:rsidR="00F01A3B">
        <w:rPr>
          <w:rFonts w:ascii="Times New Roman" w:hAnsi="Times New Roman"/>
          <w:sz w:val="24"/>
          <w:szCs w:val="24"/>
        </w:rPr>
        <w:t>doi</w:t>
      </w:r>
      <w:r w:rsidR="006A0A2C">
        <w:rPr>
          <w:rFonts w:ascii="Times New Roman" w:hAnsi="Times New Roman"/>
          <w:sz w:val="24"/>
          <w:szCs w:val="24"/>
        </w:rPr>
        <w:t xml:space="preserve">t favoriser une </w:t>
      </w:r>
      <w:r w:rsidRPr="00B76D0A">
        <w:rPr>
          <w:rFonts w:ascii="Times New Roman" w:hAnsi="Times New Roman"/>
          <w:sz w:val="24"/>
          <w:szCs w:val="24"/>
        </w:rPr>
        <w:t xml:space="preserve">meilleure </w:t>
      </w:r>
      <w:r w:rsidR="00184A60">
        <w:rPr>
          <w:rFonts w:ascii="Times New Roman" w:hAnsi="Times New Roman"/>
          <w:sz w:val="24"/>
          <w:szCs w:val="24"/>
        </w:rPr>
        <w:t>spécification du contenu des politiques de lutte contre la pauvreté</w:t>
      </w:r>
      <w:r w:rsidR="000D1911">
        <w:rPr>
          <w:rFonts w:ascii="Times New Roman" w:hAnsi="Times New Roman"/>
          <w:sz w:val="24"/>
          <w:szCs w:val="24"/>
        </w:rPr>
        <w:t xml:space="preserve"> au Bénin</w:t>
      </w:r>
      <w:r w:rsidRPr="00B76D0A">
        <w:rPr>
          <w:rFonts w:ascii="Times New Roman" w:hAnsi="Times New Roman"/>
          <w:sz w:val="24"/>
          <w:szCs w:val="24"/>
        </w:rPr>
        <w:t xml:space="preserve">. En effet, à l’instar de la plupart des pays en développement, le Bénin affronte actuellement deux défis majeurs que sont la persistance de la pauvreté et la résistance des inégalités à la baisse. </w:t>
      </w:r>
      <w:r w:rsidRPr="00097422">
        <w:rPr>
          <w:rFonts w:ascii="Times New Roman" w:hAnsi="Times New Roman"/>
          <w:sz w:val="24"/>
          <w:szCs w:val="24"/>
        </w:rPr>
        <w:t xml:space="preserve">Cette situation est d’actualité et reste plus préoccupante devant l’évolution erratique de la croissance économique et la faiblesse de son amplitude due notamment </w:t>
      </w:r>
      <w:r w:rsidR="00790046" w:rsidRPr="0014446D">
        <w:rPr>
          <w:rFonts w:ascii="Times New Roman" w:hAnsi="Times New Roman"/>
          <w:sz w:val="24"/>
          <w:szCs w:val="24"/>
        </w:rPr>
        <w:t>à la faible qualité de l’environnement des affaires</w:t>
      </w:r>
      <w:r w:rsidR="00097422" w:rsidRPr="0014446D">
        <w:rPr>
          <w:rFonts w:ascii="Times New Roman" w:hAnsi="Times New Roman"/>
          <w:sz w:val="24"/>
          <w:szCs w:val="24"/>
        </w:rPr>
        <w:t xml:space="preserve"> et</w:t>
      </w:r>
      <w:r w:rsidR="001106F8" w:rsidRPr="0014446D">
        <w:rPr>
          <w:rFonts w:ascii="Times New Roman" w:hAnsi="Times New Roman"/>
          <w:sz w:val="24"/>
          <w:szCs w:val="24"/>
        </w:rPr>
        <w:t xml:space="preserve"> de la gouvernance, </w:t>
      </w:r>
      <w:r w:rsidR="00097422" w:rsidRPr="0014446D">
        <w:rPr>
          <w:rFonts w:ascii="Times New Roman" w:hAnsi="Times New Roman"/>
          <w:sz w:val="24"/>
          <w:szCs w:val="24"/>
        </w:rPr>
        <w:t>à la faible diversification et du manque de compéti</w:t>
      </w:r>
      <w:r w:rsidR="00F059B8" w:rsidRPr="0014446D">
        <w:rPr>
          <w:rFonts w:ascii="Times New Roman" w:hAnsi="Times New Roman"/>
          <w:sz w:val="24"/>
          <w:szCs w:val="24"/>
        </w:rPr>
        <w:t>ti</w:t>
      </w:r>
      <w:r w:rsidR="00097422" w:rsidRPr="0014446D">
        <w:rPr>
          <w:rFonts w:ascii="Times New Roman" w:hAnsi="Times New Roman"/>
          <w:sz w:val="24"/>
          <w:szCs w:val="24"/>
        </w:rPr>
        <w:t>vité de l’économie</w:t>
      </w:r>
      <w:r w:rsidR="00F059B8" w:rsidRPr="0014446D">
        <w:rPr>
          <w:rFonts w:ascii="Times New Roman" w:hAnsi="Times New Roman"/>
          <w:sz w:val="24"/>
          <w:szCs w:val="24"/>
        </w:rPr>
        <w:t>,</w:t>
      </w:r>
      <w:r w:rsidR="00071595">
        <w:rPr>
          <w:rFonts w:ascii="Times New Roman" w:hAnsi="Times New Roman"/>
          <w:sz w:val="24"/>
          <w:szCs w:val="24"/>
        </w:rPr>
        <w:t xml:space="preserve"> </w:t>
      </w:r>
      <w:r w:rsidRPr="0014446D">
        <w:rPr>
          <w:rFonts w:ascii="Times New Roman" w:hAnsi="Times New Roman"/>
          <w:sz w:val="24"/>
          <w:szCs w:val="24"/>
        </w:rPr>
        <w:t>aux chocs macroéconomiques exogènes et aux chocs  naturel</w:t>
      </w:r>
      <w:r w:rsidR="001106F8" w:rsidRPr="0014446D">
        <w:rPr>
          <w:rFonts w:ascii="Times New Roman" w:hAnsi="Times New Roman"/>
          <w:sz w:val="24"/>
          <w:szCs w:val="24"/>
        </w:rPr>
        <w:t>s</w:t>
      </w:r>
      <w:r w:rsidRPr="0014446D">
        <w:rPr>
          <w:rFonts w:ascii="Times New Roman" w:hAnsi="Times New Roman"/>
          <w:sz w:val="24"/>
          <w:szCs w:val="24"/>
        </w:rPr>
        <w:t xml:space="preserve"> (inondations, retard des pluies, etc.)</w:t>
      </w:r>
      <w:r w:rsidR="006A0794">
        <w:rPr>
          <w:rFonts w:ascii="Times New Roman" w:hAnsi="Times New Roman"/>
          <w:sz w:val="24"/>
          <w:szCs w:val="24"/>
        </w:rPr>
        <w:t>.</w:t>
      </w:r>
    </w:p>
    <w:p w:rsidR="009D597D" w:rsidRDefault="009D597D" w:rsidP="00D4416A">
      <w:pPr>
        <w:spacing w:line="276" w:lineRule="auto"/>
        <w:rPr>
          <w:rFonts w:ascii="Times New Roman" w:hAnsi="Times New Roman"/>
          <w:sz w:val="24"/>
          <w:szCs w:val="24"/>
          <w:highlight w:val="yellow"/>
        </w:rPr>
      </w:pPr>
    </w:p>
    <w:p w:rsidR="00D4416A" w:rsidRDefault="00B76D0A" w:rsidP="00D4416A">
      <w:pPr>
        <w:spacing w:line="276" w:lineRule="auto"/>
        <w:rPr>
          <w:rFonts w:ascii="Times New Roman" w:hAnsi="Times New Roman"/>
          <w:sz w:val="24"/>
          <w:szCs w:val="24"/>
        </w:rPr>
      </w:pPr>
      <w:r w:rsidRPr="00B76D0A">
        <w:rPr>
          <w:rFonts w:ascii="Times New Roman" w:hAnsi="Times New Roman"/>
          <w:sz w:val="24"/>
          <w:szCs w:val="24"/>
        </w:rPr>
        <w:t xml:space="preserve">La première section </w:t>
      </w:r>
      <w:r w:rsidR="006A0A2C">
        <w:rPr>
          <w:rFonts w:ascii="Times New Roman" w:hAnsi="Times New Roman"/>
          <w:sz w:val="24"/>
          <w:szCs w:val="24"/>
        </w:rPr>
        <w:t>présente</w:t>
      </w:r>
      <w:r w:rsidRPr="00B76D0A">
        <w:rPr>
          <w:rFonts w:ascii="Times New Roman" w:hAnsi="Times New Roman"/>
          <w:sz w:val="24"/>
          <w:szCs w:val="24"/>
        </w:rPr>
        <w:t xml:space="preserve"> l’analyse du profil </w:t>
      </w:r>
      <w:r w:rsidR="006A0A2C">
        <w:rPr>
          <w:rFonts w:ascii="Times New Roman" w:hAnsi="Times New Roman"/>
          <w:sz w:val="24"/>
          <w:szCs w:val="24"/>
        </w:rPr>
        <w:t xml:space="preserve">et de la dynamique de la </w:t>
      </w:r>
      <w:r w:rsidRPr="00B76D0A">
        <w:rPr>
          <w:rFonts w:ascii="Times New Roman" w:hAnsi="Times New Roman"/>
          <w:sz w:val="24"/>
          <w:szCs w:val="24"/>
        </w:rPr>
        <w:t xml:space="preserve"> pauvreté au Bénin. La deuxième section présente la dynamique de transition de la pauvreté de 2006 et 2009. La troisième section élargit la gamme des facteurs en mesure d’infléchir la pauvreté des ménages selon une analyse économétrique des données de panel au niveau des départements</w:t>
      </w:r>
      <w:r w:rsidR="006A0A2C">
        <w:rPr>
          <w:rFonts w:ascii="Times New Roman" w:hAnsi="Times New Roman"/>
          <w:sz w:val="24"/>
          <w:szCs w:val="24"/>
        </w:rPr>
        <w:t>. Elle</w:t>
      </w:r>
      <w:r w:rsidRPr="00B76D0A">
        <w:rPr>
          <w:rFonts w:ascii="Times New Roman" w:hAnsi="Times New Roman"/>
          <w:sz w:val="24"/>
          <w:szCs w:val="24"/>
        </w:rPr>
        <w:t xml:space="preserve"> offre ainsi une occasion première pour étendre l’analyse dynamique de la pauvreté à l’échelle spatiale.</w:t>
      </w:r>
    </w:p>
    <w:p w:rsidR="003740B0" w:rsidRPr="007B43D0" w:rsidRDefault="003740B0" w:rsidP="003740B0">
      <w:pPr>
        <w:spacing w:line="276" w:lineRule="auto"/>
        <w:rPr>
          <w:rFonts w:ascii="Times New Roman" w:hAnsi="Times New Roman"/>
          <w:sz w:val="24"/>
          <w:szCs w:val="24"/>
        </w:rPr>
      </w:pPr>
    </w:p>
    <w:p w:rsidR="003740B0" w:rsidRPr="00CC312E" w:rsidRDefault="004355B3" w:rsidP="00EF413D">
      <w:pPr>
        <w:pStyle w:val="Titre2"/>
        <w:spacing w:before="120" w:after="0" w:line="276" w:lineRule="auto"/>
        <w:rPr>
          <w:rFonts w:ascii="Times New Roman" w:hAnsi="Times New Roman" w:cs="Times New Roman"/>
          <w:i w:val="0"/>
          <w:color w:val="31849B" w:themeColor="accent5" w:themeShade="BF"/>
        </w:rPr>
      </w:pPr>
      <w:bookmarkStart w:id="24" w:name="_Toc382322916"/>
      <w:r w:rsidRPr="00CC312E">
        <w:rPr>
          <w:rFonts w:ascii="Times New Roman" w:hAnsi="Times New Roman" w:cs="Times New Roman"/>
          <w:i w:val="0"/>
          <w:color w:val="31849B" w:themeColor="accent5" w:themeShade="BF"/>
        </w:rPr>
        <w:t>1</w:t>
      </w:r>
      <w:r w:rsidR="00A471E0" w:rsidRPr="00CC312E">
        <w:rPr>
          <w:rFonts w:ascii="Times New Roman" w:hAnsi="Times New Roman" w:cs="Times New Roman"/>
          <w:i w:val="0"/>
          <w:color w:val="31849B" w:themeColor="accent5" w:themeShade="BF"/>
        </w:rPr>
        <w:t>.</w:t>
      </w:r>
      <w:r w:rsidR="00AB5B17" w:rsidRPr="00CC312E">
        <w:rPr>
          <w:rFonts w:ascii="Times New Roman" w:hAnsi="Times New Roman" w:cs="Times New Roman"/>
          <w:i w:val="0"/>
          <w:color w:val="31849B" w:themeColor="accent5" w:themeShade="BF"/>
        </w:rPr>
        <w:t xml:space="preserve">2 </w:t>
      </w:r>
      <w:r w:rsidR="003740B0" w:rsidRPr="00CC312E">
        <w:rPr>
          <w:rFonts w:ascii="Times New Roman" w:hAnsi="Times New Roman" w:cs="Times New Roman"/>
          <w:i w:val="0"/>
          <w:color w:val="31849B" w:themeColor="accent5" w:themeShade="BF"/>
        </w:rPr>
        <w:t xml:space="preserve">Analyse du </w:t>
      </w:r>
      <w:r w:rsidR="00A854BE" w:rsidRPr="00CC312E">
        <w:rPr>
          <w:rFonts w:ascii="Times New Roman" w:hAnsi="Times New Roman" w:cs="Times New Roman"/>
          <w:i w:val="0"/>
          <w:color w:val="31849B" w:themeColor="accent5" w:themeShade="BF"/>
        </w:rPr>
        <w:t>p</w:t>
      </w:r>
      <w:r w:rsidR="003740B0" w:rsidRPr="00CC312E">
        <w:rPr>
          <w:rFonts w:ascii="Times New Roman" w:hAnsi="Times New Roman" w:cs="Times New Roman"/>
          <w:i w:val="0"/>
          <w:color w:val="31849B" w:themeColor="accent5" w:themeShade="BF"/>
        </w:rPr>
        <w:t>rofil de pauvreté au Bénin</w:t>
      </w:r>
      <w:bookmarkEnd w:id="24"/>
    </w:p>
    <w:p w:rsidR="003740B0" w:rsidRPr="007B43D0" w:rsidRDefault="003740B0" w:rsidP="003740B0">
      <w:pPr>
        <w:spacing w:line="240" w:lineRule="auto"/>
        <w:rPr>
          <w:rFonts w:ascii="Times New Roman" w:hAnsi="Times New Roman"/>
          <w:sz w:val="24"/>
          <w:szCs w:val="24"/>
        </w:rPr>
      </w:pPr>
    </w:p>
    <w:p w:rsidR="00783FFF" w:rsidRDefault="003740B0" w:rsidP="003740B0">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 xml:space="preserve">L’analyse du profil de pauvreté fournit les principaux indicateurs concernant la pauvreté et examine la structure de celle-ci selon les caractéristiques géographiques (milieu de résidence, département, etc.) et des caractéristiques des ménages (sexe du chef de ménage, la taille du ménage, la branche d’activité du chef de ménage, etc.). </w:t>
      </w:r>
      <w:r w:rsidR="00D4366A">
        <w:rPr>
          <w:rFonts w:ascii="Times New Roman" w:eastAsia="Arial Unicode MS" w:hAnsi="Times New Roman"/>
          <w:sz w:val="24"/>
          <w:szCs w:val="24"/>
        </w:rPr>
        <w:t xml:space="preserve">L’analyse est faite </w:t>
      </w:r>
      <w:r w:rsidRPr="007B43D0">
        <w:rPr>
          <w:rFonts w:ascii="Times New Roman" w:eastAsia="Arial Unicode MS" w:hAnsi="Times New Roman"/>
          <w:sz w:val="24"/>
          <w:szCs w:val="24"/>
        </w:rPr>
        <w:t xml:space="preserve">pour </w:t>
      </w:r>
      <w:r w:rsidR="0028505D" w:rsidRPr="007B43D0">
        <w:rPr>
          <w:rFonts w:ascii="Times New Roman" w:eastAsia="Arial Unicode MS" w:hAnsi="Times New Roman"/>
          <w:sz w:val="24"/>
          <w:szCs w:val="24"/>
        </w:rPr>
        <w:t>les années2006, 2009 et 2011</w:t>
      </w:r>
      <w:r w:rsidR="0028505D">
        <w:rPr>
          <w:rFonts w:ascii="Times New Roman" w:eastAsia="Arial Unicode MS" w:hAnsi="Times New Roman"/>
          <w:sz w:val="24"/>
          <w:szCs w:val="24"/>
        </w:rPr>
        <w:t xml:space="preserve"> et porte</w:t>
      </w:r>
      <w:r w:rsidR="00A854BE">
        <w:rPr>
          <w:rFonts w:ascii="Times New Roman" w:eastAsia="Arial Unicode MS" w:hAnsi="Times New Roman"/>
          <w:sz w:val="24"/>
          <w:szCs w:val="24"/>
        </w:rPr>
        <w:t xml:space="preserve"> sur deux dimensions à savoir la pauvreté monétaire et non </w:t>
      </w:r>
      <w:r w:rsidR="00A854BE" w:rsidRPr="008D58AC">
        <w:rPr>
          <w:rFonts w:ascii="Times New Roman" w:eastAsia="Arial Unicode MS" w:hAnsi="Times New Roman"/>
          <w:sz w:val="24"/>
          <w:szCs w:val="24"/>
        </w:rPr>
        <w:t>monétaire</w:t>
      </w:r>
      <w:r w:rsidR="008107D5">
        <w:rPr>
          <w:rFonts w:ascii="Times New Roman" w:eastAsia="Arial Unicode MS" w:hAnsi="Times New Roman"/>
          <w:sz w:val="24"/>
          <w:szCs w:val="24"/>
        </w:rPr>
        <w:t>.</w:t>
      </w:r>
    </w:p>
    <w:p w:rsidR="00783FFF" w:rsidRDefault="00783FFF" w:rsidP="003740B0">
      <w:pPr>
        <w:spacing w:line="276" w:lineRule="auto"/>
        <w:rPr>
          <w:rFonts w:ascii="Times New Roman" w:eastAsia="Arial Unicode MS" w:hAnsi="Times New Roman"/>
          <w:sz w:val="24"/>
          <w:szCs w:val="24"/>
        </w:rPr>
      </w:pPr>
    </w:p>
    <w:p w:rsidR="00EC658E" w:rsidRDefault="00B76D0A" w:rsidP="003740B0">
      <w:pPr>
        <w:spacing w:line="276" w:lineRule="auto"/>
        <w:rPr>
          <w:rFonts w:ascii="Times New Roman" w:eastAsia="Arial Unicode MS" w:hAnsi="Times New Roman"/>
          <w:sz w:val="24"/>
          <w:szCs w:val="24"/>
        </w:rPr>
      </w:pPr>
      <w:r w:rsidRPr="00B76D0A">
        <w:rPr>
          <w:rFonts w:ascii="Times New Roman" w:eastAsia="Arial Unicode MS" w:hAnsi="Times New Roman"/>
          <w:b/>
          <w:sz w:val="24"/>
          <w:szCs w:val="24"/>
        </w:rPr>
        <w:t>Comme le montre le graphique 2.1, l’incidence de la pauvreté monétaire, après avoir enregistré une baisse 2,3 point de pourcentage entre 2006 et 2009, a augmenté de 1 point de pourcentage entre 2009 et 2011</w:t>
      </w:r>
      <w:r w:rsidR="003740B0" w:rsidRPr="007B43D0">
        <w:rPr>
          <w:rFonts w:ascii="Times New Roman" w:eastAsia="Arial Unicode MS" w:hAnsi="Times New Roman"/>
          <w:sz w:val="24"/>
          <w:szCs w:val="24"/>
        </w:rPr>
        <w:t xml:space="preserve">. L’incidence de pauvreté </w:t>
      </w:r>
      <w:r w:rsidR="00AB0D84">
        <w:rPr>
          <w:rFonts w:ascii="Times New Roman" w:eastAsia="Arial Unicode MS" w:hAnsi="Times New Roman"/>
          <w:sz w:val="24"/>
          <w:szCs w:val="24"/>
        </w:rPr>
        <w:t xml:space="preserve">monétaire </w:t>
      </w:r>
      <w:r w:rsidR="003740B0" w:rsidRPr="007B43D0">
        <w:rPr>
          <w:rFonts w:ascii="Times New Roman" w:eastAsia="Arial Unicode MS" w:hAnsi="Times New Roman"/>
          <w:sz w:val="24"/>
          <w:szCs w:val="24"/>
        </w:rPr>
        <w:t xml:space="preserve">s’est établi à 36,2% en 2011 contre 35,2% en 2009. Au cours de la même période, l’indice d’écart de pauvreté et </w:t>
      </w:r>
      <w:r w:rsidR="007B5AB2">
        <w:rPr>
          <w:rFonts w:ascii="Times New Roman" w:eastAsia="Arial Unicode MS" w:hAnsi="Times New Roman"/>
          <w:sz w:val="24"/>
          <w:szCs w:val="24"/>
        </w:rPr>
        <w:t>la sévérité</w:t>
      </w:r>
      <w:r w:rsidR="003740B0" w:rsidRPr="007B43D0">
        <w:rPr>
          <w:rFonts w:ascii="Times New Roman" w:eastAsia="Arial Unicode MS" w:hAnsi="Times New Roman"/>
          <w:sz w:val="24"/>
          <w:szCs w:val="24"/>
        </w:rPr>
        <w:t xml:space="preserve"> de la pauvreté ont baissé de façon significative. La sévérité qui mesure l’inégalité dans la distribution des dépenses entre les pauvres est passée de 0,045 en 2009 à 0,039 en 2011. </w:t>
      </w:r>
      <w:r w:rsidR="00DA5BAE">
        <w:rPr>
          <w:rFonts w:ascii="Times New Roman" w:eastAsia="Arial Unicode MS" w:hAnsi="Times New Roman"/>
          <w:sz w:val="24"/>
          <w:szCs w:val="24"/>
        </w:rPr>
        <w:t xml:space="preserve"> </w:t>
      </w:r>
    </w:p>
    <w:p w:rsidR="004209A1" w:rsidRDefault="004209A1" w:rsidP="00402418">
      <w:pPr>
        <w:spacing w:line="276" w:lineRule="auto"/>
        <w:rPr>
          <w:rFonts w:ascii="Times New Roman" w:eastAsia="Arial Unicode MS" w:hAnsi="Times New Roman"/>
          <w:sz w:val="24"/>
          <w:szCs w:val="24"/>
        </w:rPr>
      </w:pPr>
    </w:p>
    <w:p w:rsidR="00402418" w:rsidRDefault="003740B0" w:rsidP="00402418">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Quant à la pauvreté non monétaire, elle</w:t>
      </w:r>
      <w:r w:rsidR="00EC658E">
        <w:rPr>
          <w:rFonts w:ascii="Times New Roman" w:eastAsia="Arial Unicode MS" w:hAnsi="Times New Roman"/>
          <w:sz w:val="24"/>
          <w:szCs w:val="24"/>
        </w:rPr>
        <w:t xml:space="preserve"> a</w:t>
      </w:r>
      <w:r w:rsidRPr="007B43D0">
        <w:rPr>
          <w:rFonts w:ascii="Times New Roman" w:eastAsia="Arial Unicode MS" w:hAnsi="Times New Roman"/>
          <w:sz w:val="24"/>
          <w:szCs w:val="24"/>
        </w:rPr>
        <w:t xml:space="preserve"> touch</w:t>
      </w:r>
      <w:r w:rsidR="00EC658E">
        <w:rPr>
          <w:rFonts w:ascii="Times New Roman" w:eastAsia="Arial Unicode MS" w:hAnsi="Times New Roman"/>
          <w:sz w:val="24"/>
          <w:szCs w:val="24"/>
        </w:rPr>
        <w:t>é</w:t>
      </w:r>
      <w:r w:rsidR="006C1727">
        <w:rPr>
          <w:rFonts w:ascii="Times New Roman" w:eastAsia="Arial Unicode MS" w:hAnsi="Times New Roman"/>
          <w:sz w:val="24"/>
          <w:szCs w:val="24"/>
        </w:rPr>
        <w:t xml:space="preserve"> 29,5</w:t>
      </w:r>
      <w:r w:rsidRPr="007B43D0">
        <w:rPr>
          <w:rFonts w:ascii="Times New Roman" w:eastAsia="Arial Unicode MS" w:hAnsi="Times New Roman"/>
          <w:sz w:val="24"/>
          <w:szCs w:val="24"/>
        </w:rPr>
        <w:t>% des individus en 2011 contre</w:t>
      </w:r>
      <w:r w:rsidR="006C1727">
        <w:rPr>
          <w:rFonts w:ascii="Times New Roman" w:eastAsia="Arial Unicode MS" w:hAnsi="Times New Roman"/>
          <w:sz w:val="24"/>
          <w:szCs w:val="24"/>
        </w:rPr>
        <w:t xml:space="preserve"> 44</w:t>
      </w:r>
      <w:r w:rsidRPr="007B43D0">
        <w:rPr>
          <w:rFonts w:ascii="Times New Roman" w:eastAsia="Arial Unicode MS" w:hAnsi="Times New Roman"/>
          <w:sz w:val="24"/>
          <w:szCs w:val="24"/>
        </w:rPr>
        <w:t>,1% en 2006 soit une baisse de 1</w:t>
      </w:r>
      <w:r w:rsidR="006C1727">
        <w:rPr>
          <w:rFonts w:ascii="Times New Roman" w:eastAsia="Arial Unicode MS" w:hAnsi="Times New Roman"/>
          <w:sz w:val="24"/>
          <w:szCs w:val="24"/>
        </w:rPr>
        <w:t>4</w:t>
      </w:r>
      <w:r w:rsidRPr="007B43D0">
        <w:rPr>
          <w:rFonts w:ascii="Times New Roman" w:eastAsia="Arial Unicode MS" w:hAnsi="Times New Roman"/>
          <w:sz w:val="24"/>
          <w:szCs w:val="24"/>
        </w:rPr>
        <w:t>,</w:t>
      </w:r>
      <w:r w:rsidR="006C1727">
        <w:rPr>
          <w:rFonts w:ascii="Times New Roman" w:eastAsia="Arial Unicode MS" w:hAnsi="Times New Roman"/>
          <w:sz w:val="24"/>
          <w:szCs w:val="24"/>
        </w:rPr>
        <w:t>6</w:t>
      </w:r>
      <w:r w:rsidRPr="007B43D0">
        <w:rPr>
          <w:rFonts w:ascii="Times New Roman" w:eastAsia="Arial Unicode MS" w:hAnsi="Times New Roman"/>
          <w:sz w:val="24"/>
          <w:szCs w:val="24"/>
        </w:rPr>
        <w:t xml:space="preserve"> point</w:t>
      </w:r>
      <w:r w:rsidR="006C1727">
        <w:rPr>
          <w:rFonts w:ascii="Times New Roman" w:eastAsia="Arial Unicode MS" w:hAnsi="Times New Roman"/>
          <w:sz w:val="24"/>
          <w:szCs w:val="24"/>
        </w:rPr>
        <w:t>s</w:t>
      </w:r>
      <w:r w:rsidRPr="007B43D0">
        <w:rPr>
          <w:rFonts w:ascii="Times New Roman" w:eastAsia="Arial Unicode MS" w:hAnsi="Times New Roman"/>
          <w:sz w:val="24"/>
          <w:szCs w:val="24"/>
        </w:rPr>
        <w:t xml:space="preserve"> de pourcentage</w:t>
      </w:r>
      <w:r w:rsidR="00801482">
        <w:rPr>
          <w:rFonts w:ascii="Times New Roman" w:eastAsia="Arial Unicode MS" w:hAnsi="Times New Roman"/>
          <w:sz w:val="24"/>
          <w:szCs w:val="24"/>
        </w:rPr>
        <w:t xml:space="preserve"> montrant ainsi l’amélioration d</w:t>
      </w:r>
      <w:r w:rsidR="00050E60">
        <w:rPr>
          <w:rFonts w:ascii="Times New Roman" w:eastAsia="Arial Unicode MS" w:hAnsi="Times New Roman"/>
          <w:sz w:val="24"/>
          <w:szCs w:val="24"/>
        </w:rPr>
        <w:t xml:space="preserve">es conditions de vie des ménages </w:t>
      </w:r>
      <w:r w:rsidR="00801482">
        <w:rPr>
          <w:rFonts w:ascii="Times New Roman" w:eastAsia="Arial Unicode MS" w:hAnsi="Times New Roman"/>
          <w:sz w:val="24"/>
          <w:szCs w:val="24"/>
        </w:rPr>
        <w:t>et par la même occasion</w:t>
      </w:r>
      <w:r w:rsidR="00BF258F">
        <w:rPr>
          <w:rFonts w:ascii="Times New Roman" w:eastAsia="Arial Unicode MS" w:hAnsi="Times New Roman"/>
          <w:sz w:val="24"/>
          <w:szCs w:val="24"/>
        </w:rPr>
        <w:t>,</w:t>
      </w:r>
      <w:r w:rsidR="00AC4286">
        <w:rPr>
          <w:rFonts w:ascii="Times New Roman" w:eastAsia="Arial Unicode MS" w:hAnsi="Times New Roman"/>
          <w:sz w:val="24"/>
          <w:szCs w:val="24"/>
        </w:rPr>
        <w:t xml:space="preserve"> </w:t>
      </w:r>
      <w:r w:rsidR="00B76D0A" w:rsidRPr="00B76D0A">
        <w:rPr>
          <w:rFonts w:ascii="Times New Roman" w:eastAsia="Arial Unicode MS" w:hAnsi="Times New Roman"/>
          <w:sz w:val="24"/>
          <w:szCs w:val="24"/>
        </w:rPr>
        <w:t xml:space="preserve">l’effort du gouvernement dans l’amélioration de l’accessibilité aux infrastructures de </w:t>
      </w:r>
      <w:r w:rsidR="00B76D0A" w:rsidRPr="004B57F1">
        <w:rPr>
          <w:rFonts w:ascii="Times New Roman" w:eastAsia="Arial Unicode MS" w:hAnsi="Times New Roman"/>
          <w:sz w:val="24"/>
          <w:szCs w:val="24"/>
        </w:rPr>
        <w:t>base</w:t>
      </w:r>
      <w:r w:rsidR="004B57F1" w:rsidRPr="004B57F1">
        <w:rPr>
          <w:rFonts w:ascii="Times New Roman" w:eastAsia="Arial Unicode MS" w:hAnsi="Times New Roman"/>
          <w:sz w:val="24"/>
          <w:szCs w:val="24"/>
        </w:rPr>
        <w:t xml:space="preserve"> (eau,</w:t>
      </w:r>
      <w:r w:rsidR="00AC4286">
        <w:rPr>
          <w:rFonts w:ascii="Times New Roman" w:eastAsia="Arial Unicode MS" w:hAnsi="Times New Roman"/>
          <w:sz w:val="24"/>
          <w:szCs w:val="24"/>
        </w:rPr>
        <w:t xml:space="preserve"> </w:t>
      </w:r>
      <w:r w:rsidR="004B57F1" w:rsidRPr="004B57F1">
        <w:rPr>
          <w:rFonts w:ascii="Times New Roman" w:eastAsia="Arial Unicode MS" w:hAnsi="Times New Roman"/>
          <w:sz w:val="24"/>
          <w:szCs w:val="24"/>
        </w:rPr>
        <w:t>énergie électrique)</w:t>
      </w:r>
      <w:r w:rsidR="00787858">
        <w:rPr>
          <w:rFonts w:ascii="Times New Roman" w:eastAsia="Arial Unicode MS" w:hAnsi="Times New Roman"/>
          <w:sz w:val="24"/>
          <w:szCs w:val="24"/>
        </w:rPr>
        <w:t>.</w:t>
      </w:r>
      <w:r w:rsidR="004B57F1" w:rsidRPr="002B4B7E">
        <w:rPr>
          <w:rFonts w:ascii="Times New Roman" w:eastAsia="Arial Unicode MS" w:hAnsi="Times New Roman"/>
          <w:b/>
          <w:sz w:val="24"/>
          <w:szCs w:val="24"/>
        </w:rPr>
        <w:t> </w:t>
      </w:r>
    </w:p>
    <w:p w:rsidR="00C71767" w:rsidRDefault="00C7176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C71767" w:rsidRPr="00C71767" w:rsidTr="00C71767">
        <w:trPr>
          <w:trHeight w:val="109"/>
        </w:trPr>
        <w:tc>
          <w:tcPr>
            <w:tcW w:w="9078" w:type="dxa"/>
            <w:shd w:val="clear" w:color="auto" w:fill="92CDDC" w:themeFill="accent5" w:themeFillTint="99"/>
          </w:tcPr>
          <w:p w:rsidR="00C71767" w:rsidRPr="00C71767" w:rsidRDefault="00C71767" w:rsidP="00C71767">
            <w:pPr>
              <w:spacing w:before="120" w:after="120" w:line="240" w:lineRule="auto"/>
              <w:jc w:val="left"/>
              <w:rPr>
                <w:rFonts w:ascii="Times New Roman" w:hAnsi="Times New Roman"/>
                <w:noProof/>
                <w:sz w:val="24"/>
                <w:szCs w:val="24"/>
                <w:lang w:eastAsia="fr-FR"/>
              </w:rPr>
            </w:pPr>
            <w:bookmarkStart w:id="25" w:name="_Toc373430603"/>
            <w:r w:rsidRPr="00C71767">
              <w:rPr>
                <w:rFonts w:ascii="Times New Roman" w:hAnsi="Times New Roman"/>
                <w:sz w:val="24"/>
                <w:szCs w:val="24"/>
              </w:rPr>
              <w:t>Graphique 1.</w:t>
            </w:r>
            <w:r w:rsidR="00182C97" w:rsidRPr="00C71767">
              <w:rPr>
                <w:rFonts w:ascii="Times New Roman" w:hAnsi="Times New Roman"/>
                <w:sz w:val="24"/>
                <w:szCs w:val="24"/>
              </w:rPr>
              <w:fldChar w:fldCharType="begin"/>
            </w:r>
            <w:r w:rsidRPr="00C71767">
              <w:rPr>
                <w:rFonts w:ascii="Times New Roman" w:hAnsi="Times New Roman"/>
                <w:sz w:val="24"/>
                <w:szCs w:val="24"/>
              </w:rPr>
              <w:instrText xml:space="preserve"> SEQ Graphique_2. \* ARABIC </w:instrText>
            </w:r>
            <w:r w:rsidR="00182C97" w:rsidRPr="00C71767">
              <w:rPr>
                <w:rFonts w:ascii="Times New Roman" w:hAnsi="Times New Roman"/>
                <w:sz w:val="24"/>
                <w:szCs w:val="24"/>
              </w:rPr>
              <w:fldChar w:fldCharType="separate"/>
            </w:r>
            <w:r w:rsidR="00AB1967">
              <w:rPr>
                <w:rFonts w:ascii="Times New Roman" w:hAnsi="Times New Roman"/>
                <w:noProof/>
                <w:sz w:val="24"/>
                <w:szCs w:val="24"/>
              </w:rPr>
              <w:t>1</w:t>
            </w:r>
            <w:r w:rsidR="00182C97" w:rsidRPr="00C71767">
              <w:rPr>
                <w:rFonts w:ascii="Times New Roman" w:hAnsi="Times New Roman"/>
                <w:sz w:val="24"/>
                <w:szCs w:val="24"/>
              </w:rPr>
              <w:fldChar w:fldCharType="end"/>
            </w:r>
            <w:r w:rsidRPr="00C71767">
              <w:rPr>
                <w:rFonts w:ascii="Times New Roman" w:eastAsia="Arial Unicode MS" w:hAnsi="Times New Roman"/>
                <w:sz w:val="24"/>
                <w:szCs w:val="24"/>
              </w:rPr>
              <w:t> : Évolution de l’incidence de la pauvreté au Bénin</w:t>
            </w:r>
            <w:bookmarkEnd w:id="25"/>
          </w:p>
        </w:tc>
      </w:tr>
      <w:tr w:rsidR="0028505D" w:rsidTr="003E6F2A">
        <w:tc>
          <w:tcPr>
            <w:tcW w:w="9078" w:type="dxa"/>
            <w:shd w:val="clear" w:color="auto" w:fill="DAEEF3" w:themeFill="accent5" w:themeFillTint="33"/>
          </w:tcPr>
          <w:p w:rsidR="0028505D" w:rsidRDefault="0028505D" w:rsidP="003E6F2A">
            <w:pPr>
              <w:spacing w:before="120" w:after="120" w:line="240" w:lineRule="auto"/>
              <w:ind w:left="-57"/>
              <w:jc w:val="center"/>
            </w:pPr>
            <w:r w:rsidRPr="00BA0389">
              <w:rPr>
                <w:noProof/>
                <w:lang w:eastAsia="fr-FR"/>
              </w:rPr>
              <w:drawing>
                <wp:inline distT="0" distB="0" distL="0" distR="0" wp14:anchorId="4CEA7E65" wp14:editId="5AFFBBEF">
                  <wp:extent cx="5611495" cy="2867025"/>
                  <wp:effectExtent l="19050" t="0" r="27305" b="0"/>
                  <wp:docPr id="3"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28505D" w:rsidRPr="0028505D" w:rsidTr="003E6F2A">
        <w:tc>
          <w:tcPr>
            <w:tcW w:w="9078" w:type="dxa"/>
            <w:shd w:val="clear" w:color="auto" w:fill="DAEEF3" w:themeFill="accent5" w:themeFillTint="33"/>
          </w:tcPr>
          <w:p w:rsidR="0028505D" w:rsidRPr="0028505D" w:rsidRDefault="0028505D" w:rsidP="003E6F2A">
            <w:pPr>
              <w:rPr>
                <w:rFonts w:ascii="Times New Roman" w:hAnsi="Times New Roman"/>
                <w:sz w:val="20"/>
                <w:szCs w:val="20"/>
              </w:rPr>
            </w:pPr>
            <w:r w:rsidRPr="0028505D">
              <w:rPr>
                <w:rFonts w:ascii="Times New Roman" w:hAnsi="Times New Roman"/>
                <w:sz w:val="20"/>
                <w:szCs w:val="20"/>
              </w:rPr>
              <w:t>Source : INSAE, EMICoV 2006, 2009 et 2011</w:t>
            </w:r>
          </w:p>
        </w:tc>
      </w:tr>
    </w:tbl>
    <w:p w:rsidR="0028505D" w:rsidRDefault="0028505D" w:rsidP="0028505D"/>
    <w:p w:rsidR="00AE15F2" w:rsidRDefault="00AE15F2" w:rsidP="00AE15F2">
      <w:pPr>
        <w:spacing w:line="276" w:lineRule="auto"/>
        <w:rPr>
          <w:rFonts w:ascii="Times New Roman" w:eastAsia="Arial Unicode MS" w:hAnsi="Times New Roman"/>
          <w:sz w:val="24"/>
          <w:szCs w:val="24"/>
        </w:rPr>
      </w:pPr>
      <w:r w:rsidRPr="002B4B7E">
        <w:rPr>
          <w:rFonts w:ascii="Times New Roman" w:eastAsia="Arial Unicode MS" w:hAnsi="Times New Roman"/>
          <w:b/>
          <w:sz w:val="24"/>
          <w:szCs w:val="24"/>
        </w:rPr>
        <w:t>Des performances ont été certes enregistrées dans l’atteinte des OMD dans l’accès à l’eau, à l’énergie électrique</w:t>
      </w:r>
      <w:r>
        <w:rPr>
          <w:rFonts w:ascii="Times New Roman" w:eastAsia="Arial Unicode MS" w:hAnsi="Times New Roman"/>
          <w:b/>
          <w:sz w:val="24"/>
          <w:szCs w:val="24"/>
        </w:rPr>
        <w:t xml:space="preserve"> et </w:t>
      </w:r>
      <w:r w:rsidRPr="002B4B7E">
        <w:rPr>
          <w:rFonts w:ascii="Times New Roman" w:eastAsia="Arial Unicode MS" w:hAnsi="Times New Roman"/>
          <w:b/>
          <w:sz w:val="24"/>
          <w:szCs w:val="24"/>
        </w:rPr>
        <w:t xml:space="preserve">à la santé ; mais </w:t>
      </w:r>
      <w:r>
        <w:rPr>
          <w:rFonts w:ascii="Times New Roman" w:eastAsia="Arial Unicode MS" w:hAnsi="Times New Roman"/>
          <w:b/>
          <w:sz w:val="24"/>
          <w:szCs w:val="24"/>
        </w:rPr>
        <w:t xml:space="preserve">des efforts restent à faire </w:t>
      </w:r>
      <w:r w:rsidRPr="002B4B7E">
        <w:rPr>
          <w:rFonts w:ascii="Times New Roman" w:eastAsia="Arial Unicode MS" w:hAnsi="Times New Roman"/>
          <w:b/>
          <w:sz w:val="24"/>
          <w:szCs w:val="24"/>
        </w:rPr>
        <w:t>dans ces domaine</w:t>
      </w:r>
      <w:r>
        <w:rPr>
          <w:rFonts w:ascii="Times New Roman" w:eastAsia="Arial Unicode MS" w:hAnsi="Times New Roman"/>
          <w:b/>
          <w:sz w:val="24"/>
          <w:szCs w:val="24"/>
        </w:rPr>
        <w:t>s</w:t>
      </w:r>
      <w:r w:rsidRPr="002B4B7E">
        <w:rPr>
          <w:rFonts w:ascii="Times New Roman" w:eastAsia="Arial Unicode MS" w:hAnsi="Times New Roman"/>
          <w:b/>
          <w:sz w:val="24"/>
          <w:szCs w:val="24"/>
        </w:rPr>
        <w:t>.</w:t>
      </w:r>
      <w:r w:rsidR="00AC4286">
        <w:rPr>
          <w:rFonts w:ascii="Times New Roman" w:eastAsia="Arial Unicode MS" w:hAnsi="Times New Roman"/>
          <w:b/>
          <w:sz w:val="24"/>
          <w:szCs w:val="24"/>
        </w:rPr>
        <w:t xml:space="preserve"> </w:t>
      </w:r>
      <w:r w:rsidRPr="00F35F6C">
        <w:rPr>
          <w:rFonts w:ascii="Times New Roman" w:eastAsia="Arial Unicode MS" w:hAnsi="Times New Roman"/>
          <w:sz w:val="24"/>
          <w:szCs w:val="24"/>
        </w:rPr>
        <w:t>Le développement  des</w:t>
      </w:r>
      <w:r w:rsidR="00AC4286">
        <w:rPr>
          <w:rFonts w:ascii="Times New Roman" w:eastAsia="Arial Unicode MS" w:hAnsi="Times New Roman"/>
          <w:sz w:val="24"/>
          <w:szCs w:val="24"/>
        </w:rPr>
        <w:t xml:space="preserve"> </w:t>
      </w:r>
      <w:r w:rsidRPr="00F35F6C">
        <w:rPr>
          <w:rFonts w:ascii="Times New Roman" w:eastAsia="Arial Unicode MS" w:hAnsi="Times New Roman"/>
          <w:sz w:val="24"/>
          <w:szCs w:val="24"/>
        </w:rPr>
        <w:t>infrastr</w:t>
      </w:r>
      <w:r>
        <w:rPr>
          <w:rFonts w:ascii="Times New Roman" w:eastAsia="Arial Unicode MS" w:hAnsi="Times New Roman"/>
          <w:sz w:val="24"/>
          <w:szCs w:val="24"/>
        </w:rPr>
        <w:t>uctures hydrauliques et d’assai</w:t>
      </w:r>
      <w:r w:rsidRPr="00F35F6C">
        <w:rPr>
          <w:rFonts w:ascii="Times New Roman" w:eastAsia="Arial Unicode MS" w:hAnsi="Times New Roman"/>
          <w:sz w:val="24"/>
          <w:szCs w:val="24"/>
        </w:rPr>
        <w:t>nissement a été renforcé avec le soutien</w:t>
      </w:r>
      <w:r>
        <w:rPr>
          <w:rFonts w:ascii="Times New Roman" w:eastAsia="Arial Unicode MS" w:hAnsi="Times New Roman"/>
          <w:sz w:val="24"/>
          <w:szCs w:val="24"/>
        </w:rPr>
        <w:t xml:space="preserve"> des  PTF. </w:t>
      </w:r>
      <w:r w:rsidRPr="00B9313D">
        <w:rPr>
          <w:rFonts w:ascii="Times New Roman" w:eastAsia="Arial Unicode MS" w:hAnsi="Times New Roman"/>
          <w:sz w:val="24"/>
          <w:szCs w:val="24"/>
        </w:rPr>
        <w:t>Au niveau</w:t>
      </w:r>
      <w:r w:rsidR="00AC4286">
        <w:rPr>
          <w:rFonts w:ascii="Times New Roman" w:eastAsia="Arial Unicode MS" w:hAnsi="Times New Roman"/>
          <w:sz w:val="24"/>
          <w:szCs w:val="24"/>
        </w:rPr>
        <w:t xml:space="preserve"> </w:t>
      </w:r>
      <w:r w:rsidRPr="00B9313D">
        <w:rPr>
          <w:rFonts w:ascii="Times New Roman" w:eastAsia="Arial Unicode MS" w:hAnsi="Times New Roman"/>
          <w:sz w:val="24"/>
          <w:szCs w:val="24"/>
        </w:rPr>
        <w:t>de l’hydraulique rural, l’évolution actuelle</w:t>
      </w:r>
      <w:r w:rsidR="00AC4286">
        <w:rPr>
          <w:rFonts w:ascii="Times New Roman" w:eastAsia="Arial Unicode MS" w:hAnsi="Times New Roman"/>
          <w:sz w:val="24"/>
          <w:szCs w:val="24"/>
        </w:rPr>
        <w:t xml:space="preserve"> </w:t>
      </w:r>
      <w:r w:rsidRPr="00B9313D">
        <w:rPr>
          <w:rFonts w:ascii="Times New Roman" w:eastAsia="Arial Unicode MS" w:hAnsi="Times New Roman"/>
          <w:sz w:val="24"/>
          <w:szCs w:val="24"/>
        </w:rPr>
        <w:t>du taux de desserte présage d’une atteinte</w:t>
      </w:r>
      <w:r w:rsidR="00AC4286">
        <w:rPr>
          <w:rFonts w:ascii="Times New Roman" w:eastAsia="Arial Unicode MS" w:hAnsi="Times New Roman"/>
          <w:sz w:val="24"/>
          <w:szCs w:val="24"/>
        </w:rPr>
        <w:t xml:space="preserve"> </w:t>
      </w:r>
      <w:r w:rsidRPr="00B9313D">
        <w:rPr>
          <w:rFonts w:ascii="Times New Roman" w:eastAsia="Arial Unicode MS" w:hAnsi="Times New Roman"/>
          <w:sz w:val="24"/>
          <w:szCs w:val="24"/>
        </w:rPr>
        <w:t xml:space="preserve">des Objectifs du Millénaire pour le </w:t>
      </w:r>
      <w:r>
        <w:rPr>
          <w:rFonts w:ascii="Times New Roman" w:eastAsia="Arial Unicode MS" w:hAnsi="Times New Roman"/>
          <w:sz w:val="24"/>
          <w:szCs w:val="24"/>
        </w:rPr>
        <w:t>Dévelop</w:t>
      </w:r>
      <w:r w:rsidRPr="00B9313D">
        <w:rPr>
          <w:rFonts w:ascii="Times New Roman" w:eastAsia="Arial Unicode MS" w:hAnsi="Times New Roman"/>
          <w:sz w:val="24"/>
          <w:szCs w:val="24"/>
        </w:rPr>
        <w:t>pemen</w:t>
      </w:r>
      <w:r>
        <w:rPr>
          <w:rFonts w:ascii="Times New Roman" w:eastAsia="Arial Unicode MS" w:hAnsi="Times New Roman"/>
          <w:sz w:val="24"/>
          <w:szCs w:val="24"/>
        </w:rPr>
        <w:t>t  (OMD) en matière d’approvi</w:t>
      </w:r>
      <w:r w:rsidRPr="00B9313D">
        <w:rPr>
          <w:rFonts w:ascii="Times New Roman" w:eastAsia="Arial Unicode MS" w:hAnsi="Times New Roman"/>
          <w:sz w:val="24"/>
          <w:szCs w:val="24"/>
        </w:rPr>
        <w:t>sionnement en eau potable en milieu</w:t>
      </w:r>
      <w:r w:rsidR="00AC4286">
        <w:rPr>
          <w:rFonts w:ascii="Times New Roman" w:eastAsia="Arial Unicode MS" w:hAnsi="Times New Roman"/>
          <w:sz w:val="24"/>
          <w:szCs w:val="24"/>
        </w:rPr>
        <w:t xml:space="preserve"> </w:t>
      </w:r>
      <w:r w:rsidRPr="00B9313D">
        <w:rPr>
          <w:rFonts w:ascii="Times New Roman" w:eastAsia="Arial Unicode MS" w:hAnsi="Times New Roman"/>
          <w:sz w:val="24"/>
          <w:szCs w:val="24"/>
        </w:rPr>
        <w:t>rural au Bénin</w:t>
      </w:r>
      <w:r>
        <w:rPr>
          <w:rStyle w:val="Appelnotedebasdep"/>
          <w:rFonts w:ascii="Times New Roman" w:eastAsia="Arial Unicode MS" w:hAnsi="Times New Roman"/>
          <w:sz w:val="24"/>
          <w:szCs w:val="24"/>
        </w:rPr>
        <w:footnoteReference w:id="19"/>
      </w:r>
      <w:r w:rsidRPr="00B9313D">
        <w:rPr>
          <w:rFonts w:ascii="Times New Roman" w:eastAsia="Arial Unicode MS" w:hAnsi="Times New Roman"/>
          <w:sz w:val="24"/>
          <w:szCs w:val="24"/>
        </w:rPr>
        <w:t>. En effet, le taux de desserte</w:t>
      </w:r>
      <w:r w:rsidR="00AC4286">
        <w:rPr>
          <w:rFonts w:ascii="Times New Roman" w:eastAsia="Arial Unicode MS" w:hAnsi="Times New Roman"/>
          <w:sz w:val="24"/>
          <w:szCs w:val="24"/>
        </w:rPr>
        <w:t xml:space="preserve"> </w:t>
      </w:r>
      <w:r w:rsidRPr="00B9313D">
        <w:rPr>
          <w:rFonts w:ascii="Times New Roman" w:eastAsia="Arial Unicode MS" w:hAnsi="Times New Roman"/>
          <w:sz w:val="24"/>
          <w:szCs w:val="24"/>
        </w:rPr>
        <w:t>a globalement progressé,</w:t>
      </w:r>
      <w:r>
        <w:rPr>
          <w:rFonts w:ascii="Times New Roman" w:eastAsia="Arial Unicode MS" w:hAnsi="Times New Roman"/>
          <w:sz w:val="24"/>
          <w:szCs w:val="24"/>
        </w:rPr>
        <w:t xml:space="preserve"> passant de 44</w:t>
      </w:r>
      <w:r w:rsidRPr="00FD15E0">
        <w:rPr>
          <w:rFonts w:ascii="Times New Roman" w:eastAsia="Arial Unicode MS" w:hAnsi="Times New Roman"/>
          <w:sz w:val="24"/>
          <w:szCs w:val="24"/>
        </w:rPr>
        <w:t>% en 2006 à 57,2% à fin2010</w:t>
      </w:r>
      <w:r>
        <w:rPr>
          <w:rFonts w:ascii="Times New Roman" w:eastAsia="Arial Unicode MS" w:hAnsi="Times New Roman"/>
          <w:sz w:val="24"/>
          <w:szCs w:val="24"/>
        </w:rPr>
        <w:t>. De 2011 à 2012, ce taux est passé de 62,1% à 63,4% pour le milieu urbain et de 61% à 63,7%pour le milieu rural</w:t>
      </w:r>
      <w:r>
        <w:rPr>
          <w:rStyle w:val="Appelnotedebasdep"/>
          <w:rFonts w:ascii="Times New Roman" w:eastAsia="Arial Unicode MS" w:hAnsi="Times New Roman"/>
          <w:sz w:val="24"/>
          <w:szCs w:val="24"/>
        </w:rPr>
        <w:footnoteReference w:id="20"/>
      </w:r>
      <w:r>
        <w:rPr>
          <w:rFonts w:ascii="Times New Roman" w:eastAsia="Arial Unicode MS" w:hAnsi="Times New Roman"/>
          <w:sz w:val="24"/>
          <w:szCs w:val="24"/>
        </w:rPr>
        <w:t>.Cette évolution non négligeable du taux de desserte pourrait en partie, expliquer l’accroissement du taux d’accès des ménages à l’eau potable ou améliorée. Ce taux</w:t>
      </w:r>
      <w:r w:rsidRPr="00FC2678">
        <w:rPr>
          <w:rFonts w:ascii="Times New Roman" w:eastAsia="Arial Unicode MS" w:hAnsi="Times New Roman"/>
          <w:sz w:val="24"/>
          <w:szCs w:val="24"/>
        </w:rPr>
        <w:t xml:space="preserve"> est passé de 63,4% en 2006</w:t>
      </w:r>
      <w:r w:rsidRPr="00FC2678">
        <w:rPr>
          <w:rStyle w:val="Appelnotedebasdep"/>
          <w:rFonts w:ascii="Times New Roman" w:eastAsia="Arial Unicode MS" w:hAnsi="Times New Roman"/>
          <w:sz w:val="24"/>
          <w:szCs w:val="24"/>
        </w:rPr>
        <w:footnoteReference w:id="21"/>
      </w:r>
      <w:r w:rsidR="00AC4286">
        <w:rPr>
          <w:rFonts w:ascii="Times New Roman" w:eastAsia="Arial Unicode MS" w:hAnsi="Times New Roman"/>
          <w:sz w:val="24"/>
          <w:szCs w:val="24"/>
        </w:rPr>
        <w:t xml:space="preserve"> </w:t>
      </w:r>
      <w:r w:rsidRPr="00FC2678">
        <w:rPr>
          <w:rFonts w:ascii="Times New Roman" w:eastAsia="Arial Unicode MS" w:hAnsi="Times New Roman"/>
          <w:sz w:val="24"/>
          <w:szCs w:val="24"/>
        </w:rPr>
        <w:t>à, 73,9% en 2011.</w:t>
      </w:r>
    </w:p>
    <w:p w:rsidR="00AE15F2" w:rsidRDefault="00AE15F2" w:rsidP="00AE15F2">
      <w:pPr>
        <w:pStyle w:val="Default"/>
        <w:spacing w:line="276" w:lineRule="auto"/>
        <w:jc w:val="both"/>
        <w:rPr>
          <w:rFonts w:eastAsia="Arial Unicode MS"/>
        </w:rPr>
      </w:pPr>
    </w:p>
    <w:p w:rsidR="00AE15F2" w:rsidRDefault="00AE15F2" w:rsidP="0028505D">
      <w:pPr>
        <w:rPr>
          <w:lang w:val="fr-CA"/>
        </w:rPr>
      </w:pPr>
    </w:p>
    <w:p w:rsidR="00AE15F2" w:rsidRDefault="00AE15F2" w:rsidP="0028505D">
      <w:pPr>
        <w:rPr>
          <w:lang w:val="fr-CA"/>
        </w:rPr>
      </w:pPr>
    </w:p>
    <w:p w:rsidR="00AE15F2" w:rsidRPr="00AE15F2" w:rsidRDefault="00AE15F2" w:rsidP="0028505D">
      <w:pPr>
        <w:rPr>
          <w:rFonts w:ascii="Times New Roman" w:hAnsi="Times New Roman"/>
          <w:sz w:val="12"/>
          <w:szCs w:val="12"/>
          <w:lang w:val="fr-C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4"/>
      </w:tblGrid>
      <w:tr w:rsidR="0028505D" w:rsidRPr="00F752BF" w:rsidTr="0028505D">
        <w:tc>
          <w:tcPr>
            <w:tcW w:w="910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28505D" w:rsidRPr="00F334CF" w:rsidRDefault="0028505D" w:rsidP="0028505D">
            <w:pPr>
              <w:spacing w:line="276" w:lineRule="auto"/>
              <w:rPr>
                <w:rFonts w:ascii="Times New Roman" w:eastAsia="Arial Unicode MS" w:hAnsi="Times New Roman"/>
                <w:b/>
                <w:sz w:val="24"/>
                <w:szCs w:val="24"/>
              </w:rPr>
            </w:pPr>
            <w:r w:rsidRPr="000738D7">
              <w:rPr>
                <w:rFonts w:ascii="Times New Roman" w:eastAsia="Arial Unicode MS" w:hAnsi="Times New Roman"/>
                <w:b/>
                <w:sz w:val="24"/>
                <w:szCs w:val="24"/>
              </w:rPr>
              <w:t>Encadré</w:t>
            </w:r>
            <w:r>
              <w:rPr>
                <w:rFonts w:ascii="Times New Roman" w:eastAsia="Arial Unicode MS" w:hAnsi="Times New Roman"/>
                <w:b/>
                <w:sz w:val="24"/>
                <w:szCs w:val="24"/>
              </w:rPr>
              <w:t xml:space="preserve"> 1.1</w:t>
            </w:r>
            <w:r w:rsidRPr="000738D7">
              <w:rPr>
                <w:rFonts w:ascii="Times New Roman" w:eastAsia="Arial Unicode MS" w:hAnsi="Times New Roman"/>
                <w:sz w:val="24"/>
                <w:szCs w:val="24"/>
              </w:rPr>
              <w:t xml:space="preserve">: </w:t>
            </w:r>
            <w:r w:rsidR="00832112" w:rsidRPr="00832112">
              <w:rPr>
                <w:rFonts w:ascii="Times New Roman" w:eastAsia="Arial Unicode MS" w:hAnsi="Times New Roman"/>
                <w:sz w:val="24"/>
                <w:szCs w:val="24"/>
              </w:rPr>
              <w:t>Détermination de l’indice de pauvreté non monétaire</w:t>
            </w:r>
          </w:p>
        </w:tc>
      </w:tr>
      <w:tr w:rsidR="0028505D" w:rsidRPr="00F752BF" w:rsidTr="00AE15F2">
        <w:trPr>
          <w:trHeight w:val="665"/>
        </w:trPr>
        <w:tc>
          <w:tcPr>
            <w:tcW w:w="9104" w:type="dxa"/>
            <w:tcBorders>
              <w:top w:val="single" w:sz="4" w:space="0" w:color="31849B" w:themeColor="accent5" w:themeShade="BF"/>
              <w:bottom w:val="single" w:sz="4" w:space="0" w:color="000000"/>
            </w:tcBorders>
            <w:shd w:val="clear" w:color="auto" w:fill="DBE5F1" w:themeFill="accent1" w:themeFillTint="33"/>
          </w:tcPr>
          <w:p w:rsidR="0028505D" w:rsidRPr="00F752BF"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La dimension de la pauvreté non monétaire analysée dans le cadre de cette étude porte sur les «conditions d'existence». Les dimensions « éducation » et « santé » n’ont pas été prises en compte parce que dans les enquêtes EMICoV, les variables qui s’y rapportent sont soit, inexistantes ou soit très spécifiques, ce qui limite la comparabilité de la pauvreté non monétaire dans le temps.</w:t>
            </w:r>
          </w:p>
          <w:p w:rsidR="0028505D" w:rsidRPr="00F752BF" w:rsidRDefault="0028505D" w:rsidP="0028505D">
            <w:pPr>
              <w:spacing w:line="240" w:lineRule="auto"/>
              <w:rPr>
                <w:rFonts w:ascii="Times New Roman" w:eastAsia="Arial Unicode MS" w:hAnsi="Times New Roman"/>
                <w:sz w:val="20"/>
                <w:szCs w:val="20"/>
              </w:rPr>
            </w:pPr>
          </w:p>
          <w:p w:rsidR="0028505D" w:rsidRPr="00F752BF"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 xml:space="preserve">Comme l'indicateur utilisé porte sur des stocks, il permet d'appréhender la pauvreté dans la durée, par opposition aux variables monétaires soumises à des variations conjoncturelles comme le revenu ou les dépenses (Razafindrako, M et Roubaud, F (2005)). Il s'agit d'un indicateur objectif non monétaire abordant la pauvreté sous l'angle des résultats plutôt que des moyens, même si le fait de disposer d'un logement confortable peut aussi constituer un moyen d'améliorer par exemple la productivité au travail et d'accroître son revenu. </w:t>
            </w:r>
          </w:p>
          <w:p w:rsidR="0028505D" w:rsidRPr="00F752BF" w:rsidRDefault="0028505D" w:rsidP="0028505D">
            <w:pPr>
              <w:spacing w:line="240" w:lineRule="auto"/>
              <w:rPr>
                <w:rFonts w:ascii="Times New Roman" w:eastAsia="Arial Unicode MS" w:hAnsi="Times New Roman"/>
                <w:sz w:val="20"/>
                <w:szCs w:val="20"/>
              </w:rPr>
            </w:pPr>
          </w:p>
          <w:p w:rsidR="0028505D" w:rsidRPr="00F752BF"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Cet indice est donc construit à partir des informations relatives aux biens possédés par les ménages (voiture, radio, mobylette, bicyclette, téléviseur, réfrigérateur, chaine HI-FI, lecteur VCD/DVD, Magnétoscope, cuisinière, groupe électrogène, ordinateurs, téléphone mobile, téléphone fixe) et aux caractéristiques de leur logement (matériaux de sol, matériaux du mur, matériaux de toit, électricité, mode d’aisance, modes d’évacuation des ordures, eau potable).</w:t>
            </w:r>
          </w:p>
          <w:p w:rsidR="0028505D" w:rsidRPr="00F752BF" w:rsidRDefault="0028505D" w:rsidP="0028505D">
            <w:pPr>
              <w:spacing w:line="240" w:lineRule="auto"/>
              <w:rPr>
                <w:rFonts w:ascii="Times New Roman" w:eastAsia="Arial Unicode MS" w:hAnsi="Times New Roman"/>
                <w:sz w:val="20"/>
                <w:szCs w:val="20"/>
              </w:rPr>
            </w:pPr>
          </w:p>
          <w:p w:rsidR="0028505D" w:rsidRPr="00F752BF"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Pour synthétiser cet ensemble d’informations en une seule variable, une méthode d’analyse factorielle est utilisée afin de qualifier au mieux les conditions de vie des ménages. Cette analyse attribue un score à chaque ménage sur la base des biens possédés et des caractéristiques du logement habité. Le score total d’un ménage est d’autant plus élevé que le ménage possède des avoirs qui caractérisent son bien-être matériel.</w:t>
            </w:r>
          </w:p>
          <w:p w:rsidR="0028505D" w:rsidRPr="00F752BF" w:rsidRDefault="0028505D" w:rsidP="0028505D">
            <w:pPr>
              <w:spacing w:line="240" w:lineRule="auto"/>
              <w:rPr>
                <w:rFonts w:ascii="Times New Roman" w:eastAsia="Arial Unicode MS" w:hAnsi="Times New Roman"/>
                <w:sz w:val="20"/>
                <w:szCs w:val="20"/>
              </w:rPr>
            </w:pPr>
          </w:p>
          <w:p w:rsidR="0028505D"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Pour prendre en compte le fait que certains actifs et caractéristiques des ménages peuvent refléter la richesse ou la pauvreté dans un milieu mieux que dans un autre, trois espaces d’analyse sont déterminés : Cotonou, autre milieu urbain et milieu rural. Ainsi, l’analyse factorielle a été conduite indépendamment dans chacune de ces trois strates.</w:t>
            </w:r>
          </w:p>
          <w:p w:rsidR="0028505D" w:rsidRPr="00F752BF" w:rsidRDefault="0028505D" w:rsidP="0028505D">
            <w:pPr>
              <w:spacing w:line="240" w:lineRule="auto"/>
              <w:rPr>
                <w:rFonts w:ascii="Times New Roman" w:eastAsia="Arial Unicode MS" w:hAnsi="Times New Roman"/>
                <w:sz w:val="20"/>
                <w:szCs w:val="20"/>
              </w:rPr>
            </w:pPr>
          </w:p>
          <w:p w:rsidR="0028505D" w:rsidRPr="00F752BF"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Pour chaque année (2006, 2010 et 2011) et pour chaque strate définie ci-dessus, l’analyse factorielle a été menée grâce à la procédure factor du logiciel SPSS. Les scores des ménages ainsi obtenus sont utilisés comme indice composite de niveau de vie. L’analyse a été faite selon un processus itératif au bout duquel les variables les mieux corrélées avec le premier axe sont retenues, toutes respectant le critère principal de la consistance ordinale sur le premier axe (COPA).</w:t>
            </w:r>
          </w:p>
          <w:p w:rsidR="0028505D" w:rsidRPr="00F752BF" w:rsidRDefault="0028505D" w:rsidP="0028505D">
            <w:pPr>
              <w:spacing w:line="240" w:lineRule="auto"/>
              <w:rPr>
                <w:rFonts w:ascii="Times New Roman" w:eastAsia="Arial Unicode MS" w:hAnsi="Times New Roman"/>
                <w:sz w:val="20"/>
                <w:szCs w:val="20"/>
              </w:rPr>
            </w:pPr>
          </w:p>
          <w:p w:rsidR="0028505D" w:rsidRPr="00F752BF" w:rsidRDefault="0028505D" w:rsidP="0028505D">
            <w:pPr>
              <w:spacing w:line="240" w:lineRule="auto"/>
              <w:rPr>
                <w:rFonts w:ascii="Times New Roman" w:eastAsia="Arial Unicode MS" w:hAnsi="Times New Roman"/>
                <w:sz w:val="20"/>
                <w:szCs w:val="20"/>
              </w:rPr>
            </w:pPr>
            <w:r w:rsidRPr="00F752BF">
              <w:rPr>
                <w:rFonts w:ascii="Times New Roman" w:eastAsia="Arial Unicode MS" w:hAnsi="Times New Roman"/>
                <w:sz w:val="20"/>
                <w:szCs w:val="20"/>
              </w:rPr>
              <w:t xml:space="preserve">En ce qui concerne le seuil de pauvreté, il est établi de sorte que les comparaisons puissent se faire sur une base objective. Le seuil spécifique à chaque strate, correspond à l’indice composite de niveau de vie du même ménage de référence pour chaque période considérée. En 2011, pour le milieu urbain, ce ménage de référence correspond à celui disposant d’une moto et d’un poste téléviseur. En outre, il vit dans un logement avec accès à l’électricité et dont les murs sont en matériaux modernes (ciment, pierre, brique, adobe, shingles). Un ménage non pauvre doit posséder ces caractéristiques minimales. Dans le cas contraire, il est considéré comme pauvre. </w:t>
            </w:r>
          </w:p>
          <w:p w:rsidR="0028505D" w:rsidRPr="00F752BF" w:rsidRDefault="0028505D" w:rsidP="0028505D">
            <w:pPr>
              <w:spacing w:line="240" w:lineRule="auto"/>
              <w:rPr>
                <w:rFonts w:ascii="Times New Roman" w:eastAsia="Arial Unicode MS" w:hAnsi="Times New Roman"/>
                <w:sz w:val="20"/>
                <w:szCs w:val="20"/>
              </w:rPr>
            </w:pPr>
          </w:p>
          <w:p w:rsidR="0028505D" w:rsidRPr="006B0732" w:rsidRDefault="0028505D" w:rsidP="006B0732">
            <w:pPr>
              <w:spacing w:after="120" w:line="240" w:lineRule="auto"/>
              <w:rPr>
                <w:rFonts w:ascii="Times New Roman" w:eastAsia="Arial Unicode MS" w:hAnsi="Times New Roman"/>
                <w:sz w:val="20"/>
                <w:szCs w:val="20"/>
              </w:rPr>
            </w:pPr>
            <w:r w:rsidRPr="00F752BF">
              <w:rPr>
                <w:rFonts w:ascii="Times New Roman" w:eastAsia="Arial Unicode MS" w:hAnsi="Times New Roman"/>
                <w:sz w:val="20"/>
                <w:szCs w:val="20"/>
              </w:rPr>
              <w:t>Par ailleurs, pour analyser la sensibilité de l’indice de pauvreté non monétaire  dans le temps par rapport aux coefficients de pondération utilisés pour déterminer le niveau de vie d’un ménage, nous avons reproduit l’analyse factorielle en utilisant comme données actives les données de chaque année considérée. Contrairement aux approches qui consistent à estimer un ensemble fixe de coefficients, elle permet de retenir les systèmes de pondérations qui permettent de maximiser l’inertie totale expliquée par le premier axe factoriel pour chaque année.</w:t>
            </w:r>
          </w:p>
        </w:tc>
      </w:tr>
      <w:tr w:rsidR="0028505D" w:rsidRPr="00F752BF" w:rsidTr="0028505D">
        <w:tc>
          <w:tcPr>
            <w:tcW w:w="9104" w:type="dxa"/>
            <w:tcBorders>
              <w:top w:val="single" w:sz="4" w:space="0" w:color="000000"/>
              <w:left w:val="nil"/>
              <w:bottom w:val="nil"/>
              <w:right w:val="nil"/>
            </w:tcBorders>
            <w:shd w:val="clear" w:color="auto" w:fill="DBE5F1" w:themeFill="accent1" w:themeFillTint="33"/>
          </w:tcPr>
          <w:p w:rsidR="0028505D" w:rsidRPr="00F752BF" w:rsidRDefault="0028505D" w:rsidP="0028505D">
            <w:pPr>
              <w:spacing w:line="240" w:lineRule="auto"/>
              <w:jc w:val="left"/>
              <w:rPr>
                <w:rFonts w:ascii="Times New Roman" w:eastAsia="Arial Unicode MS" w:hAnsi="Times New Roman"/>
                <w:sz w:val="20"/>
                <w:szCs w:val="20"/>
              </w:rPr>
            </w:pPr>
            <w:r w:rsidRPr="00797146">
              <w:rPr>
                <w:rFonts w:ascii="Times New Roman" w:eastAsia="Arial Unicode MS" w:hAnsi="Times New Roman"/>
                <w:sz w:val="20"/>
                <w:szCs w:val="20"/>
              </w:rPr>
              <w:t>Source : INSAE, 2013</w:t>
            </w:r>
          </w:p>
        </w:tc>
      </w:tr>
    </w:tbl>
    <w:p w:rsidR="0028505D" w:rsidRDefault="0028505D" w:rsidP="00402418">
      <w:pPr>
        <w:spacing w:line="276" w:lineRule="auto"/>
        <w:rPr>
          <w:rFonts w:ascii="Times New Roman" w:eastAsia="Arial Unicode MS" w:hAnsi="Times New Roman"/>
          <w:b/>
          <w:sz w:val="24"/>
          <w:szCs w:val="24"/>
        </w:rPr>
      </w:pPr>
    </w:p>
    <w:p w:rsidR="001F1CA4" w:rsidRDefault="001F1CA4" w:rsidP="00AE15F2">
      <w:pPr>
        <w:pStyle w:val="Default"/>
        <w:spacing w:line="276" w:lineRule="auto"/>
        <w:jc w:val="both"/>
        <w:rPr>
          <w:rFonts w:eastAsia="Arial Unicode MS"/>
        </w:rPr>
      </w:pPr>
    </w:p>
    <w:p w:rsidR="00AE15F2" w:rsidRDefault="00AE15F2" w:rsidP="00AE15F2">
      <w:pPr>
        <w:pStyle w:val="Default"/>
        <w:spacing w:line="276" w:lineRule="auto"/>
        <w:jc w:val="both"/>
        <w:rPr>
          <w:rFonts w:eastAsia="Arial Unicode MS"/>
        </w:rPr>
      </w:pPr>
      <w:r>
        <w:rPr>
          <w:rFonts w:eastAsia="Arial Unicode MS"/>
        </w:rPr>
        <w:t xml:space="preserve">Des performances ont été aussi enregistrées au niveau des infrastructures énergétiques. </w:t>
      </w:r>
      <w:r w:rsidRPr="00951181">
        <w:t>En</w:t>
      </w:r>
      <w:r>
        <w:t xml:space="preserve"> effet, en 2010, le taux national d’électrification est estimé à 27,1%. En milieu urbain, il est de 53,8% contre seulement 3,5% pour le milieu rural. </w:t>
      </w:r>
      <w:r w:rsidRPr="001064B7">
        <w:rPr>
          <w:rFonts w:eastAsia="Arial Unicode MS"/>
        </w:rPr>
        <w:t xml:space="preserve">En 2012,  ce taux est passé à 28,2% contre 27,9% en 2011. Cette même tendance est observée en milieu urbain comme en milieu rural où les taux sont passés respectivement de 53,9% et 3,8% en 2011 à 54,9% et 4,48%en 2012. Ces résultats expliqueraient entre autres, l’accroissement du </w:t>
      </w:r>
      <w:r w:rsidRPr="00541865">
        <w:rPr>
          <w:rFonts w:eastAsia="Arial Unicode MS"/>
        </w:rPr>
        <w:t>taux d’accès des ménages</w:t>
      </w:r>
      <w:r w:rsidR="00AC4286">
        <w:rPr>
          <w:rFonts w:eastAsia="Arial Unicode MS"/>
        </w:rPr>
        <w:t xml:space="preserve"> </w:t>
      </w:r>
      <w:r w:rsidRPr="00541865">
        <w:rPr>
          <w:rFonts w:eastAsia="Arial Unicode MS"/>
        </w:rPr>
        <w:t xml:space="preserve">à  l’électricité  </w:t>
      </w:r>
      <w:r>
        <w:rPr>
          <w:rFonts w:eastAsia="Arial Unicode MS"/>
        </w:rPr>
        <w:t xml:space="preserve">qui </w:t>
      </w:r>
      <w:r w:rsidRPr="00541865">
        <w:rPr>
          <w:rFonts w:eastAsia="Arial Unicode MS"/>
        </w:rPr>
        <w:t xml:space="preserve">est passé de </w:t>
      </w:r>
      <w:r>
        <w:rPr>
          <w:rFonts w:eastAsia="Arial Unicode MS"/>
        </w:rPr>
        <w:t>3</w:t>
      </w:r>
      <w:r w:rsidRPr="00541865">
        <w:rPr>
          <w:rFonts w:eastAsia="Arial Unicode MS"/>
        </w:rPr>
        <w:t>4,</w:t>
      </w:r>
      <w:r>
        <w:rPr>
          <w:rFonts w:eastAsia="Arial Unicode MS"/>
        </w:rPr>
        <w:t>2</w:t>
      </w:r>
      <w:r w:rsidRPr="00541865">
        <w:rPr>
          <w:rFonts w:eastAsia="Arial Unicode MS"/>
        </w:rPr>
        <w:t>% en200</w:t>
      </w:r>
      <w:r>
        <w:rPr>
          <w:rFonts w:eastAsia="Arial Unicode MS"/>
        </w:rPr>
        <w:t>6</w:t>
      </w:r>
      <w:r w:rsidRPr="00541865">
        <w:rPr>
          <w:rFonts w:eastAsia="Arial Unicode MS"/>
        </w:rPr>
        <w:t xml:space="preserve"> à </w:t>
      </w:r>
      <w:r>
        <w:rPr>
          <w:rFonts w:eastAsia="Arial Unicode MS"/>
        </w:rPr>
        <w:t>41,8</w:t>
      </w:r>
      <w:r w:rsidRPr="00541865">
        <w:rPr>
          <w:rFonts w:eastAsia="Arial Unicode MS"/>
        </w:rPr>
        <w:t>% en 201</w:t>
      </w:r>
      <w:r>
        <w:rPr>
          <w:rFonts w:eastAsia="Arial Unicode MS"/>
        </w:rPr>
        <w:t>1 selon les résultats des enquêtes EMICoV de 2006 et 2011. Cette amélioration pourrait en conséquent expliquer l’accroissement du taux d’électrification.</w:t>
      </w:r>
    </w:p>
    <w:p w:rsidR="00AE15F2" w:rsidRDefault="00AE15F2">
      <w:pPr>
        <w:pStyle w:val="Default"/>
        <w:spacing w:line="276" w:lineRule="auto"/>
        <w:jc w:val="both"/>
        <w:rPr>
          <w:rFonts w:eastAsia="Arial Unicode MS"/>
          <w:color w:val="auto"/>
          <w:lang w:eastAsia="en-US"/>
        </w:rPr>
      </w:pPr>
    </w:p>
    <w:p w:rsidR="00CE79B0" w:rsidRDefault="00EC4ACD">
      <w:pPr>
        <w:pStyle w:val="Default"/>
        <w:spacing w:line="276" w:lineRule="auto"/>
        <w:jc w:val="both"/>
        <w:rPr>
          <w:rFonts w:eastAsia="Arial Unicode MS"/>
          <w:color w:val="auto"/>
          <w:lang w:val="fr-FR" w:eastAsia="en-US"/>
        </w:rPr>
      </w:pPr>
      <w:r>
        <w:rPr>
          <w:rFonts w:eastAsia="Arial Unicode MS"/>
          <w:color w:val="auto"/>
          <w:lang w:val="fr-FR" w:eastAsia="en-US"/>
        </w:rPr>
        <w:t>Par ailleurs, d</w:t>
      </w:r>
      <w:r w:rsidR="001064B7" w:rsidRPr="001064B7">
        <w:rPr>
          <w:rFonts w:eastAsia="Arial Unicode MS"/>
          <w:color w:val="auto"/>
          <w:lang w:val="fr-FR" w:eastAsia="en-US"/>
        </w:rPr>
        <w:t>ans le domaine de la santé, plusieurs reformes organisationnelle</w:t>
      </w:r>
      <w:r w:rsidR="00AC4286">
        <w:rPr>
          <w:rFonts w:eastAsia="Arial Unicode MS"/>
          <w:color w:val="auto"/>
          <w:lang w:val="fr-FR" w:eastAsia="en-US"/>
        </w:rPr>
        <w:t xml:space="preserve"> </w:t>
      </w:r>
      <w:r w:rsidR="001064B7" w:rsidRPr="001064B7">
        <w:rPr>
          <w:rFonts w:eastAsia="Arial Unicode MS"/>
          <w:color w:val="auto"/>
          <w:lang w:val="fr-FR" w:eastAsia="en-US"/>
        </w:rPr>
        <w:t>sont été mises en œuvre en 2010 pour la réorganisation du secteur notamment (i) les réformes au niveau de la Centrale</w:t>
      </w:r>
      <w:r w:rsidR="00AC4286">
        <w:rPr>
          <w:rFonts w:eastAsia="Arial Unicode MS"/>
          <w:color w:val="auto"/>
          <w:lang w:val="fr-FR" w:eastAsia="en-US"/>
        </w:rPr>
        <w:t xml:space="preserve"> </w:t>
      </w:r>
      <w:r w:rsidR="001064B7" w:rsidRPr="001064B7">
        <w:rPr>
          <w:rFonts w:eastAsia="Arial Unicode MS"/>
          <w:color w:val="auto"/>
          <w:lang w:val="fr-FR" w:eastAsia="en-US"/>
        </w:rPr>
        <w:t>d’Achats des Médicaments Essentiels (CAME); (ii) le Régime d’Assurance Maladie Universelle (RAMU)/Promotion des Mutuelles de santé; (iii) la contractualisation/Gestion</w:t>
      </w:r>
      <w:r w:rsidR="00AC4286">
        <w:rPr>
          <w:rFonts w:eastAsia="Arial Unicode MS"/>
          <w:color w:val="auto"/>
          <w:lang w:val="fr-FR" w:eastAsia="en-US"/>
        </w:rPr>
        <w:t xml:space="preserve"> </w:t>
      </w:r>
      <w:r w:rsidR="001064B7" w:rsidRPr="001064B7">
        <w:rPr>
          <w:rFonts w:eastAsia="Arial Unicode MS"/>
          <w:color w:val="auto"/>
          <w:lang w:val="fr-FR" w:eastAsia="en-US"/>
        </w:rPr>
        <w:t>Axée sur les Résultats; (iv) la décentralisation/déconcentration dans le secteur; et (v) les dispositions pratiques pour la</w:t>
      </w:r>
      <w:r w:rsidR="00AC4286">
        <w:rPr>
          <w:rFonts w:eastAsia="Arial Unicode MS"/>
          <w:color w:val="auto"/>
          <w:lang w:val="fr-FR" w:eastAsia="en-US"/>
        </w:rPr>
        <w:t xml:space="preserve"> </w:t>
      </w:r>
      <w:r w:rsidR="001064B7" w:rsidRPr="001064B7">
        <w:rPr>
          <w:rFonts w:eastAsia="Arial Unicode MS"/>
          <w:color w:val="auto"/>
          <w:lang w:val="fr-FR" w:eastAsia="en-US"/>
        </w:rPr>
        <w:t>construction d’Hôpital Moderne de référence à vocation régionale</w:t>
      </w:r>
      <w:r w:rsidR="00B221C1">
        <w:rPr>
          <w:rStyle w:val="Appelnotedebasdep"/>
          <w:rFonts w:eastAsia="Arial Unicode MS"/>
          <w:color w:val="auto"/>
          <w:lang w:val="fr-FR" w:eastAsia="en-US"/>
        </w:rPr>
        <w:footnoteReference w:id="22"/>
      </w:r>
      <w:r w:rsidR="001064B7" w:rsidRPr="001064B7">
        <w:rPr>
          <w:rFonts w:eastAsia="Arial Unicode MS"/>
          <w:color w:val="auto"/>
          <w:lang w:val="fr-FR" w:eastAsia="en-US"/>
        </w:rPr>
        <w:t xml:space="preserve">. </w:t>
      </w:r>
      <w:r w:rsidR="00684A20">
        <w:rPr>
          <w:rFonts w:eastAsia="Arial Unicode MS"/>
          <w:color w:val="auto"/>
          <w:lang w:val="fr-FR" w:eastAsia="en-US"/>
        </w:rPr>
        <w:t xml:space="preserve">Ces différentes </w:t>
      </w:r>
      <w:r w:rsidR="00680F05">
        <w:rPr>
          <w:rFonts w:eastAsia="Arial Unicode MS"/>
          <w:color w:val="auto"/>
          <w:lang w:val="fr-FR" w:eastAsia="en-US"/>
        </w:rPr>
        <w:t>réformes</w:t>
      </w:r>
      <w:r w:rsidR="00AC4286">
        <w:rPr>
          <w:rFonts w:eastAsia="Arial Unicode MS"/>
          <w:color w:val="auto"/>
          <w:lang w:val="fr-FR" w:eastAsia="en-US"/>
        </w:rPr>
        <w:t xml:space="preserve"> </w:t>
      </w:r>
      <w:r w:rsidR="00684A20">
        <w:rPr>
          <w:rFonts w:eastAsia="Arial Unicode MS"/>
          <w:color w:val="auto"/>
          <w:lang w:val="fr-FR" w:eastAsia="en-US"/>
        </w:rPr>
        <w:t>ont sans nul doute contribué à l’amélioration de plusieurs indicateurs</w:t>
      </w:r>
      <w:r w:rsidR="0078743F">
        <w:rPr>
          <w:rFonts w:eastAsia="Arial Unicode MS"/>
          <w:color w:val="auto"/>
          <w:lang w:val="fr-FR" w:eastAsia="en-US"/>
        </w:rPr>
        <w:t xml:space="preserve"> dans le domaine de la santé</w:t>
      </w:r>
      <w:r w:rsidR="00684A20">
        <w:rPr>
          <w:rFonts w:eastAsia="Arial Unicode MS"/>
          <w:color w:val="auto"/>
          <w:lang w:val="fr-FR" w:eastAsia="en-US"/>
        </w:rPr>
        <w:t xml:space="preserve">. </w:t>
      </w:r>
    </w:p>
    <w:p w:rsidR="00AC4286" w:rsidRDefault="00AC4286">
      <w:pPr>
        <w:pStyle w:val="Default"/>
        <w:spacing w:line="276" w:lineRule="auto"/>
        <w:jc w:val="both"/>
        <w:rPr>
          <w:rFonts w:eastAsia="Arial Unicode MS"/>
          <w:color w:val="auto"/>
          <w:lang w:val="fr-FR" w:eastAsia="en-US"/>
        </w:rPr>
      </w:pPr>
    </w:p>
    <w:p w:rsidR="00AC4286" w:rsidRDefault="00AC4286" w:rsidP="00AC4286">
      <w:pPr>
        <w:pStyle w:val="Default"/>
        <w:spacing w:line="276" w:lineRule="auto"/>
        <w:jc w:val="both"/>
        <w:rPr>
          <w:rFonts w:eastAsia="Arial Unicode MS"/>
          <w:color w:val="auto"/>
          <w:lang w:val="fr-FR" w:eastAsia="en-US"/>
        </w:rPr>
      </w:pPr>
      <w:r w:rsidRPr="00DA5BAE">
        <w:rPr>
          <w:rFonts w:eastAsia="Arial Unicode MS"/>
          <w:color w:val="auto"/>
          <w:lang w:val="fr-FR" w:eastAsia="en-US"/>
        </w:rPr>
        <w:t>Dans le domaine de la santé de reproduction, les résultats de l’Enquête Démographique et Santé (EDS IV, 2011-2012) montrent que le taux des femmes ayant reçu des soins prénatals est de 86% contre 88% en 2006. La proportion des femmes dont l’accouchement s’est déroulé en établissement de santé est passée de</w:t>
      </w:r>
      <w:r w:rsidR="007F32D1" w:rsidRPr="00DA5BAE">
        <w:rPr>
          <w:rFonts w:eastAsia="Arial Unicode MS"/>
          <w:color w:val="auto"/>
          <w:lang w:val="fr-FR" w:eastAsia="en-US"/>
        </w:rPr>
        <w:t xml:space="preserve"> 78% en 2006 à 87% en 2011-2012.</w:t>
      </w:r>
      <w:r w:rsidRPr="00DA5BAE">
        <w:rPr>
          <w:rFonts w:eastAsia="Arial Unicode MS"/>
          <w:color w:val="auto"/>
          <w:lang w:val="fr-FR" w:eastAsia="en-US"/>
        </w:rPr>
        <w:t xml:space="preserve"> En ce qui concerne la proportion des femmes dont l’accouchement a été assisté par du personnel de santé qualifié, il est passé de 74% en 2006 à 81% entre 2011-2012. Concernant, la mortalité infantile, les résultats montrent que sur 1000 naissances, 42 </w:t>
      </w:r>
      <w:r w:rsidR="007F32D1" w:rsidRPr="00DA5BAE">
        <w:rPr>
          <w:rFonts w:eastAsia="Arial Unicode MS"/>
          <w:color w:val="auto"/>
          <w:lang w:val="fr-FR" w:eastAsia="en-US"/>
        </w:rPr>
        <w:t>décèdent</w:t>
      </w:r>
      <w:r w:rsidRPr="00DA5BAE">
        <w:rPr>
          <w:rFonts w:eastAsia="Arial Unicode MS"/>
          <w:color w:val="auto"/>
          <w:lang w:val="fr-FR" w:eastAsia="en-US"/>
        </w:rPr>
        <w:t xml:space="preserve"> avant d’atteindre leur premier anniversaire (23‰ entre 0 et 1 mois et 19‰ entre 1 et 12</w:t>
      </w:r>
      <w:r w:rsidR="007F32D1" w:rsidRPr="00DA5BAE">
        <w:rPr>
          <w:rFonts w:eastAsia="Arial Unicode MS"/>
          <w:color w:val="auto"/>
          <w:lang w:val="fr-FR" w:eastAsia="en-US"/>
        </w:rPr>
        <w:t xml:space="preserve"> </w:t>
      </w:r>
      <w:r w:rsidRPr="00DA5BAE">
        <w:rPr>
          <w:rFonts w:eastAsia="Arial Unicode MS"/>
          <w:color w:val="auto"/>
          <w:lang w:val="fr-FR" w:eastAsia="en-US"/>
        </w:rPr>
        <w:t>mois exacts). Ce taux était estimé à 45‰ pour l’EDS III (2006), ce qui montre que le Bénin a fait d’énormes progrès au cours des cinq dernières années en matière de réduction de la mortalité infantile. En effet, le niveau de mortalité a connu une baisse de 16 points sur l’intervalle des quinze années ayant précédé l’EDS-III passant de 83‰ à 67‰ contre seulement 3 pour EDS IV.</w:t>
      </w:r>
    </w:p>
    <w:p w:rsidR="00AC4286" w:rsidRDefault="00AC4286">
      <w:pPr>
        <w:pStyle w:val="Default"/>
        <w:spacing w:line="276" w:lineRule="auto"/>
        <w:jc w:val="both"/>
        <w:rPr>
          <w:rFonts w:eastAsia="Arial Unicode MS"/>
          <w:color w:val="auto"/>
          <w:lang w:val="fr-FR" w:eastAsia="en-US"/>
        </w:rPr>
      </w:pPr>
    </w:p>
    <w:p w:rsidR="00D46664" w:rsidRDefault="00D46664"/>
    <w:p w:rsidR="00D46664" w:rsidRDefault="00D46664"/>
    <w:p w:rsidR="00D46664" w:rsidRDefault="00D46664"/>
    <w:p w:rsidR="00DA5BAE" w:rsidRDefault="00DA5BAE"/>
    <w:p w:rsidR="00DA5BAE" w:rsidRDefault="00DA5BAE"/>
    <w:p w:rsidR="00DA5BAE" w:rsidRDefault="00DA5BAE"/>
    <w:p w:rsidR="00DA5BAE" w:rsidRDefault="00DA5BAE"/>
    <w:p w:rsidR="00DA5BAE" w:rsidRDefault="00DA5BAE"/>
    <w:p w:rsidR="00D46664" w:rsidRDefault="00D46664"/>
    <w:p w:rsidR="00D46664" w:rsidRDefault="00D4666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46664" w:rsidRPr="00D46664" w:rsidTr="00D46664">
        <w:tc>
          <w:tcPr>
            <w:tcW w:w="9288" w:type="dxa"/>
            <w:shd w:val="clear" w:color="auto" w:fill="92CDDC" w:themeFill="accent5" w:themeFillTint="99"/>
          </w:tcPr>
          <w:p w:rsidR="00D46664" w:rsidRPr="00D46664" w:rsidRDefault="00D46664" w:rsidP="00D46664">
            <w:pPr>
              <w:spacing w:before="120" w:after="120" w:line="240" w:lineRule="auto"/>
              <w:ind w:left="-57"/>
              <w:jc w:val="left"/>
              <w:rPr>
                <w:rFonts w:ascii="Times New Roman" w:hAnsi="Times New Roman"/>
                <w:sz w:val="24"/>
                <w:szCs w:val="24"/>
              </w:rPr>
            </w:pPr>
            <w:bookmarkStart w:id="26" w:name="_Toc373430604"/>
            <w:r w:rsidRPr="00D46664">
              <w:rPr>
                <w:rFonts w:ascii="Times New Roman" w:hAnsi="Times New Roman"/>
                <w:sz w:val="24"/>
                <w:szCs w:val="24"/>
              </w:rPr>
              <w:t>Graphique 1.</w:t>
            </w:r>
            <w:r w:rsidR="00182C97" w:rsidRPr="00D46664">
              <w:rPr>
                <w:rFonts w:ascii="Times New Roman" w:hAnsi="Times New Roman"/>
                <w:sz w:val="24"/>
                <w:szCs w:val="24"/>
              </w:rPr>
              <w:fldChar w:fldCharType="begin"/>
            </w:r>
            <w:r w:rsidRPr="00D46664">
              <w:rPr>
                <w:rFonts w:ascii="Times New Roman" w:eastAsia="Times New Roman" w:hAnsi="Times New Roman"/>
                <w:bCs/>
                <w:sz w:val="24"/>
                <w:szCs w:val="24"/>
              </w:rPr>
              <w:instrText xml:space="preserve"> SEQ Graphique_2. \* ARABIC </w:instrText>
            </w:r>
            <w:r w:rsidR="00182C97" w:rsidRPr="00D46664">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2</w:t>
            </w:r>
            <w:r w:rsidR="00182C97" w:rsidRPr="00D46664">
              <w:rPr>
                <w:rFonts w:ascii="Times New Roman" w:eastAsia="Times New Roman" w:hAnsi="Times New Roman"/>
                <w:bCs/>
                <w:sz w:val="24"/>
                <w:szCs w:val="24"/>
              </w:rPr>
              <w:fldChar w:fldCharType="end"/>
            </w:r>
            <w:r w:rsidRPr="00D46664">
              <w:rPr>
                <w:rFonts w:ascii="Times New Roman" w:eastAsia="Arial Unicode MS" w:hAnsi="Times New Roman"/>
                <w:bCs/>
                <w:sz w:val="24"/>
                <w:szCs w:val="24"/>
              </w:rPr>
              <w:t>: Performance enregistrée dans certains indicateurs des OMD</w:t>
            </w:r>
            <w:bookmarkEnd w:id="26"/>
          </w:p>
        </w:tc>
      </w:tr>
      <w:tr w:rsidR="006B0732" w:rsidTr="00D46664">
        <w:tc>
          <w:tcPr>
            <w:tcW w:w="9288" w:type="dxa"/>
            <w:shd w:val="clear" w:color="auto" w:fill="DAEEF3" w:themeFill="accent5" w:themeFillTint="33"/>
          </w:tcPr>
          <w:p w:rsidR="006B0732" w:rsidRDefault="00253C93" w:rsidP="003E6F2A">
            <w:pPr>
              <w:spacing w:before="120" w:after="120" w:line="240" w:lineRule="auto"/>
              <w:ind w:left="-57"/>
              <w:jc w:val="center"/>
            </w:pPr>
            <w:r>
              <w:rPr>
                <w:noProof/>
                <w:lang w:eastAsia="fr-FR"/>
              </w:rPr>
              <w:drawing>
                <wp:inline distT="0" distB="0" distL="0" distR="0" wp14:anchorId="1FD9B876" wp14:editId="7E864B46">
                  <wp:extent cx="5734050" cy="3154680"/>
                  <wp:effectExtent l="19050" t="0" r="19050" b="7620"/>
                  <wp:docPr id="1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6B0732" w:rsidRPr="00E16B3C" w:rsidTr="00D46664">
        <w:tc>
          <w:tcPr>
            <w:tcW w:w="9288" w:type="dxa"/>
            <w:shd w:val="clear" w:color="auto" w:fill="DAEEF3" w:themeFill="accent5" w:themeFillTint="33"/>
          </w:tcPr>
          <w:p w:rsidR="006B0732" w:rsidRPr="00E16B3C" w:rsidRDefault="006B0732" w:rsidP="003E6F2A">
            <w:pPr>
              <w:rPr>
                <w:rFonts w:ascii="Times New Roman" w:hAnsi="Times New Roman"/>
              </w:rPr>
            </w:pPr>
            <w:r w:rsidRPr="00E16B3C">
              <w:rPr>
                <w:rFonts w:ascii="Times New Roman" w:hAnsi="Times New Roman"/>
              </w:rPr>
              <w:t>Source :</w:t>
            </w:r>
            <w:r>
              <w:rPr>
                <w:rFonts w:ascii="Times New Roman" w:hAnsi="Times New Roman"/>
              </w:rPr>
              <w:t xml:space="preserve"> INSAE, TBS </w:t>
            </w:r>
            <w:r w:rsidRPr="00E16B3C">
              <w:rPr>
                <w:rFonts w:ascii="Times New Roman" w:hAnsi="Times New Roman"/>
              </w:rPr>
              <w:t>2011</w:t>
            </w:r>
          </w:p>
        </w:tc>
      </w:tr>
    </w:tbl>
    <w:p w:rsidR="006B0732" w:rsidRDefault="006B0732" w:rsidP="006B0732">
      <w:pPr>
        <w:spacing w:line="276" w:lineRule="auto"/>
        <w:rPr>
          <w:rFonts w:ascii="Times New Roman" w:eastAsia="Arial Unicode MS" w:hAnsi="Times New Roman"/>
          <w:b/>
          <w:sz w:val="24"/>
          <w:szCs w:val="24"/>
        </w:rPr>
      </w:pPr>
    </w:p>
    <w:p w:rsidR="00EF413D" w:rsidRPr="00EF413D" w:rsidRDefault="00EF413D" w:rsidP="00402418">
      <w:pPr>
        <w:spacing w:line="276" w:lineRule="auto"/>
        <w:rPr>
          <w:rFonts w:ascii="Times New Roman" w:eastAsia="Arial Unicode MS" w:hAnsi="Times New Roman"/>
          <w:b/>
          <w:sz w:val="16"/>
          <w:szCs w:val="16"/>
        </w:rPr>
      </w:pPr>
    </w:p>
    <w:p w:rsidR="00EC4ACD" w:rsidRDefault="00B76D0A" w:rsidP="003740B0">
      <w:pPr>
        <w:spacing w:line="276" w:lineRule="auto"/>
        <w:rPr>
          <w:rFonts w:ascii="Times New Roman" w:eastAsia="Arial Unicode MS" w:hAnsi="Times New Roman"/>
          <w:sz w:val="24"/>
          <w:szCs w:val="24"/>
        </w:rPr>
      </w:pPr>
      <w:r w:rsidRPr="00B76D0A">
        <w:rPr>
          <w:rFonts w:ascii="Times New Roman" w:eastAsia="Arial Unicode MS" w:hAnsi="Times New Roman"/>
          <w:b/>
          <w:sz w:val="24"/>
          <w:szCs w:val="24"/>
        </w:rPr>
        <w:t xml:space="preserve">L’analyse selon le milieu de résidence révèle que la pauvreté </w:t>
      </w:r>
      <w:r w:rsidR="00AB0D84">
        <w:rPr>
          <w:rFonts w:ascii="Times New Roman" w:eastAsia="Arial Unicode MS" w:hAnsi="Times New Roman"/>
          <w:b/>
          <w:sz w:val="24"/>
          <w:szCs w:val="24"/>
        </w:rPr>
        <w:t xml:space="preserve">monétaire </w:t>
      </w:r>
      <w:r w:rsidRPr="00B76D0A">
        <w:rPr>
          <w:rFonts w:ascii="Times New Roman" w:eastAsia="Arial Unicode MS" w:hAnsi="Times New Roman"/>
          <w:b/>
          <w:sz w:val="24"/>
          <w:szCs w:val="24"/>
        </w:rPr>
        <w:t>est plus élevée en milieu rural qu’en milieu urbain, et ce sur toute la période 2006-2011</w:t>
      </w:r>
      <w:r w:rsidR="003740B0" w:rsidRPr="007B43D0">
        <w:rPr>
          <w:rFonts w:ascii="Times New Roman" w:eastAsia="Arial Unicode MS" w:hAnsi="Times New Roman"/>
          <w:sz w:val="24"/>
          <w:szCs w:val="24"/>
        </w:rPr>
        <w:t xml:space="preserve">. En milieu urbain, trois personnes sur dix sont pauvres contre quatre personnes sur dix en milieu rural en 2011. </w:t>
      </w:r>
    </w:p>
    <w:p w:rsidR="00EC4ACD" w:rsidRDefault="00EC4ACD" w:rsidP="003740B0">
      <w:pPr>
        <w:spacing w:line="276" w:lineRule="auto"/>
        <w:rPr>
          <w:rFonts w:ascii="Times New Roman" w:eastAsia="Arial Unicode MS" w:hAnsi="Times New Roman"/>
          <w:sz w:val="24"/>
          <w:szCs w:val="24"/>
        </w:rPr>
      </w:pPr>
    </w:p>
    <w:p w:rsidR="000A42D8" w:rsidRDefault="003740B0" w:rsidP="000A42D8">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A Cotonou</w:t>
      </w:r>
      <w:r w:rsidR="009C4F84">
        <w:rPr>
          <w:rFonts w:ascii="Times New Roman" w:eastAsia="Arial Unicode MS" w:hAnsi="Times New Roman"/>
          <w:sz w:val="24"/>
          <w:szCs w:val="24"/>
        </w:rPr>
        <w:t xml:space="preserve"> qui est la grande ville du Bénin</w:t>
      </w:r>
      <w:r w:rsidRPr="007B43D0">
        <w:rPr>
          <w:rFonts w:ascii="Times New Roman" w:eastAsia="Arial Unicode MS" w:hAnsi="Times New Roman"/>
          <w:sz w:val="24"/>
          <w:szCs w:val="24"/>
        </w:rPr>
        <w:t xml:space="preserve">, la pauvreté </w:t>
      </w:r>
      <w:r w:rsidR="00FD27C8">
        <w:rPr>
          <w:rFonts w:ascii="Times New Roman" w:eastAsia="Arial Unicode MS" w:hAnsi="Times New Roman"/>
          <w:sz w:val="24"/>
          <w:szCs w:val="24"/>
        </w:rPr>
        <w:t xml:space="preserve">monétaire </w:t>
      </w:r>
      <w:r w:rsidRPr="007B43D0">
        <w:rPr>
          <w:rFonts w:ascii="Times New Roman" w:eastAsia="Arial Unicode MS" w:hAnsi="Times New Roman"/>
          <w:sz w:val="24"/>
          <w:szCs w:val="24"/>
        </w:rPr>
        <w:t xml:space="preserve">touche environ une personne sur quatre (25,9%). Sur la période 2006 à 2009, </w:t>
      </w:r>
      <w:r w:rsidR="001A3FF0">
        <w:rPr>
          <w:rFonts w:ascii="Times New Roman" w:eastAsia="Arial Unicode MS" w:hAnsi="Times New Roman"/>
          <w:sz w:val="24"/>
          <w:szCs w:val="24"/>
        </w:rPr>
        <w:t xml:space="preserve">il est noté </w:t>
      </w:r>
      <w:r w:rsidRPr="007B43D0">
        <w:rPr>
          <w:rFonts w:ascii="Times New Roman" w:eastAsia="Arial Unicode MS" w:hAnsi="Times New Roman"/>
          <w:sz w:val="24"/>
          <w:szCs w:val="24"/>
        </w:rPr>
        <w:t xml:space="preserve"> une légère baisse de la pauvreté, </w:t>
      </w:r>
      <w:r w:rsidR="00142A9C" w:rsidRPr="007B43D0">
        <w:rPr>
          <w:rFonts w:ascii="Times New Roman" w:eastAsia="Arial Unicode MS" w:hAnsi="Times New Roman"/>
          <w:sz w:val="24"/>
          <w:szCs w:val="24"/>
        </w:rPr>
        <w:t>quel que</w:t>
      </w:r>
      <w:r w:rsidRPr="007B43D0">
        <w:rPr>
          <w:rFonts w:ascii="Times New Roman" w:eastAsia="Arial Unicode MS" w:hAnsi="Times New Roman"/>
          <w:sz w:val="24"/>
          <w:szCs w:val="24"/>
        </w:rPr>
        <w:t xml:space="preserve"> soit le milieu de résidence, puis une augmentation de la pauvreté entre 2009 et 2011. </w:t>
      </w:r>
      <w:r w:rsidR="008F5B5E">
        <w:rPr>
          <w:rFonts w:ascii="Times New Roman" w:eastAsia="Arial Unicode MS" w:hAnsi="Times New Roman"/>
          <w:sz w:val="24"/>
          <w:szCs w:val="24"/>
        </w:rPr>
        <w:t>Cette  augmentation est plus marquée en milieu urbain qu’en milieu rural.</w:t>
      </w:r>
      <w:r w:rsidR="000A42D8">
        <w:rPr>
          <w:rFonts w:ascii="Times New Roman" w:eastAsia="Arial Unicode MS" w:hAnsi="Times New Roman"/>
          <w:sz w:val="24"/>
          <w:szCs w:val="24"/>
        </w:rPr>
        <w:t xml:space="preserve"> </w:t>
      </w:r>
      <w:r w:rsidR="00050810">
        <w:rPr>
          <w:rFonts w:ascii="Times New Roman" w:eastAsia="Arial Unicode MS" w:hAnsi="Times New Roman"/>
          <w:sz w:val="24"/>
          <w:szCs w:val="24"/>
        </w:rPr>
        <w:t xml:space="preserve">Cette tendance semble s’expliquer par une </w:t>
      </w:r>
      <w:r w:rsidRPr="007B43D0">
        <w:rPr>
          <w:rFonts w:ascii="Times New Roman" w:eastAsia="Arial Unicode MS" w:hAnsi="Times New Roman"/>
          <w:sz w:val="24"/>
          <w:szCs w:val="24"/>
        </w:rPr>
        <w:t xml:space="preserve">réduction </w:t>
      </w:r>
      <w:r w:rsidR="00050810">
        <w:rPr>
          <w:rFonts w:ascii="Times New Roman" w:eastAsia="Arial Unicode MS" w:hAnsi="Times New Roman"/>
          <w:sz w:val="24"/>
          <w:szCs w:val="24"/>
        </w:rPr>
        <w:t xml:space="preserve">substantielle </w:t>
      </w:r>
      <w:r w:rsidRPr="007B43D0">
        <w:rPr>
          <w:rFonts w:ascii="Times New Roman" w:eastAsia="Arial Unicode MS" w:hAnsi="Times New Roman"/>
          <w:sz w:val="24"/>
          <w:szCs w:val="24"/>
        </w:rPr>
        <w:t xml:space="preserve">des inégalités entre </w:t>
      </w:r>
      <w:r w:rsidR="001064B7" w:rsidRPr="001064B7">
        <w:rPr>
          <w:rFonts w:ascii="Times New Roman" w:eastAsia="Arial Unicode MS" w:hAnsi="Times New Roman"/>
          <w:sz w:val="24"/>
          <w:szCs w:val="24"/>
        </w:rPr>
        <w:t>les pauvres</w:t>
      </w:r>
      <w:r w:rsidRPr="007B43D0">
        <w:rPr>
          <w:rFonts w:ascii="Times New Roman" w:eastAsia="Arial Unicode MS" w:hAnsi="Times New Roman"/>
          <w:sz w:val="24"/>
          <w:szCs w:val="24"/>
        </w:rPr>
        <w:t xml:space="preserve"> en milieu rural qu’en milieu urbain entre 2009 et 2011. </w:t>
      </w:r>
      <w:r w:rsidR="00FA5260">
        <w:rPr>
          <w:rFonts w:ascii="Times New Roman" w:eastAsia="Arial Unicode MS" w:hAnsi="Times New Roman"/>
          <w:sz w:val="24"/>
          <w:szCs w:val="24"/>
        </w:rPr>
        <w:t xml:space="preserve">En effet, </w:t>
      </w:r>
      <w:r w:rsidR="000A42D8">
        <w:rPr>
          <w:rFonts w:ascii="Times New Roman" w:eastAsia="Arial Unicode MS" w:hAnsi="Times New Roman"/>
          <w:sz w:val="24"/>
          <w:szCs w:val="24"/>
        </w:rPr>
        <w:t xml:space="preserve">l’écart de la pauvreté a légèrement chuté passant respectivement de </w:t>
      </w:r>
      <w:r w:rsidR="000A42D8" w:rsidRPr="008C7134">
        <w:rPr>
          <w:rFonts w:ascii="Times New Roman" w:eastAsia="Arial Unicode MS" w:hAnsi="Times New Roman"/>
          <w:sz w:val="24"/>
          <w:szCs w:val="24"/>
        </w:rPr>
        <w:t>0,116</w:t>
      </w:r>
      <w:r w:rsidR="000A42D8">
        <w:rPr>
          <w:rFonts w:ascii="Times New Roman" w:eastAsia="Arial Unicode MS" w:hAnsi="Times New Roman"/>
          <w:sz w:val="24"/>
          <w:szCs w:val="24"/>
        </w:rPr>
        <w:t xml:space="preserve"> en 2006 à </w:t>
      </w:r>
      <w:r w:rsidR="000A42D8" w:rsidRPr="008C7134">
        <w:rPr>
          <w:rFonts w:ascii="Times New Roman" w:eastAsia="Arial Unicode MS" w:hAnsi="Times New Roman"/>
          <w:sz w:val="24"/>
          <w:szCs w:val="24"/>
        </w:rPr>
        <w:t>0,104</w:t>
      </w:r>
      <w:r w:rsidR="000A42D8">
        <w:rPr>
          <w:rFonts w:ascii="Times New Roman" w:eastAsia="Arial Unicode MS" w:hAnsi="Times New Roman"/>
          <w:sz w:val="24"/>
          <w:szCs w:val="24"/>
        </w:rPr>
        <w:t xml:space="preserve"> en 2009 puis à </w:t>
      </w:r>
      <w:r w:rsidR="000A42D8" w:rsidRPr="008C7134">
        <w:rPr>
          <w:rFonts w:ascii="Times New Roman" w:eastAsia="Arial Unicode MS" w:hAnsi="Times New Roman"/>
          <w:sz w:val="24"/>
          <w:szCs w:val="24"/>
        </w:rPr>
        <w:t>0,098</w:t>
      </w:r>
      <w:r w:rsidR="000A42D8">
        <w:rPr>
          <w:rFonts w:ascii="Times New Roman" w:eastAsia="Arial Unicode MS" w:hAnsi="Times New Roman"/>
          <w:sz w:val="24"/>
          <w:szCs w:val="24"/>
        </w:rPr>
        <w:t>% en 2011.</w:t>
      </w:r>
    </w:p>
    <w:p w:rsidR="009009F3" w:rsidRDefault="00FA5260" w:rsidP="003740B0">
      <w:pPr>
        <w:spacing w:line="276" w:lineRule="auto"/>
        <w:rPr>
          <w:rFonts w:ascii="Times New Roman" w:eastAsia="Arial Unicode MS" w:hAnsi="Times New Roman"/>
          <w:sz w:val="24"/>
          <w:szCs w:val="24"/>
        </w:rPr>
      </w:pPr>
      <w:r>
        <w:rPr>
          <w:rFonts w:ascii="Times New Roman" w:eastAsia="Arial Unicode MS" w:hAnsi="Times New Roman"/>
          <w:sz w:val="24"/>
          <w:szCs w:val="24"/>
        </w:rPr>
        <w:t>.</w:t>
      </w:r>
    </w:p>
    <w:p w:rsidR="00F87E2C" w:rsidRDefault="00F87E2C" w:rsidP="003740B0">
      <w:pPr>
        <w:spacing w:line="276" w:lineRule="auto"/>
        <w:rPr>
          <w:rFonts w:ascii="Times New Roman" w:eastAsia="Arial Unicode MS" w:hAnsi="Times New Roman"/>
          <w:sz w:val="24"/>
          <w:szCs w:val="24"/>
        </w:rPr>
      </w:pPr>
    </w:p>
    <w:p w:rsidR="00B25B20" w:rsidRDefault="003740B0" w:rsidP="003740B0">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Quant à la pauvreté non monétaire, elle a conn</w:t>
      </w:r>
      <w:r w:rsidR="00FB6D06">
        <w:rPr>
          <w:rFonts w:ascii="Times New Roman" w:eastAsia="Arial Unicode MS" w:hAnsi="Times New Roman"/>
          <w:sz w:val="24"/>
          <w:szCs w:val="24"/>
        </w:rPr>
        <w:t>u</w:t>
      </w:r>
      <w:r w:rsidRPr="007B43D0">
        <w:rPr>
          <w:rFonts w:ascii="Times New Roman" w:eastAsia="Arial Unicode MS" w:hAnsi="Times New Roman"/>
          <w:sz w:val="24"/>
          <w:szCs w:val="24"/>
        </w:rPr>
        <w:t xml:space="preserve"> une baisse depuis 2006</w:t>
      </w:r>
      <w:r w:rsidR="000A42D8">
        <w:rPr>
          <w:rFonts w:ascii="Times New Roman" w:eastAsia="Arial Unicode MS" w:hAnsi="Times New Roman"/>
          <w:sz w:val="24"/>
          <w:szCs w:val="24"/>
        </w:rPr>
        <w:t>.</w:t>
      </w:r>
      <w:r w:rsidRPr="007B43D0">
        <w:rPr>
          <w:rFonts w:ascii="Times New Roman" w:eastAsia="Arial Unicode MS" w:hAnsi="Times New Roman"/>
          <w:sz w:val="24"/>
          <w:szCs w:val="24"/>
        </w:rPr>
        <w:t xml:space="preserve"> </w:t>
      </w:r>
      <w:r w:rsidR="000A42D8">
        <w:rPr>
          <w:rFonts w:ascii="Times New Roman" w:eastAsia="Arial Unicode MS" w:hAnsi="Times New Roman"/>
          <w:sz w:val="24"/>
          <w:szCs w:val="24"/>
        </w:rPr>
        <w:t>E</w:t>
      </w:r>
      <w:r w:rsidR="000A42D8" w:rsidRPr="007B43D0">
        <w:rPr>
          <w:rFonts w:ascii="Times New Roman" w:eastAsia="Arial Unicode MS" w:hAnsi="Times New Roman"/>
          <w:sz w:val="24"/>
          <w:szCs w:val="24"/>
        </w:rPr>
        <w:t>n milieu rural</w:t>
      </w:r>
      <w:r w:rsidR="000A42D8">
        <w:rPr>
          <w:rFonts w:ascii="Times New Roman" w:eastAsia="Arial Unicode MS" w:hAnsi="Times New Roman"/>
          <w:sz w:val="24"/>
          <w:szCs w:val="24"/>
        </w:rPr>
        <w:t xml:space="preserve">, elle est </w:t>
      </w:r>
      <w:r w:rsidR="000A42D8" w:rsidRPr="007B43D0">
        <w:rPr>
          <w:rFonts w:ascii="Times New Roman" w:eastAsia="Arial Unicode MS" w:hAnsi="Times New Roman"/>
          <w:sz w:val="24"/>
          <w:szCs w:val="24"/>
        </w:rPr>
        <w:t xml:space="preserve"> </w:t>
      </w:r>
      <w:r w:rsidR="000A42D8">
        <w:rPr>
          <w:rFonts w:ascii="Times New Roman" w:eastAsia="Arial Unicode MS" w:hAnsi="Times New Roman"/>
          <w:sz w:val="24"/>
          <w:szCs w:val="24"/>
        </w:rPr>
        <w:t xml:space="preserve">passée </w:t>
      </w:r>
      <w:r w:rsidR="000A42D8" w:rsidRPr="007B43D0">
        <w:rPr>
          <w:rFonts w:ascii="Times New Roman" w:eastAsia="Arial Unicode MS" w:hAnsi="Times New Roman"/>
          <w:sz w:val="24"/>
          <w:szCs w:val="24"/>
        </w:rPr>
        <w:t xml:space="preserve"> de 47,</w:t>
      </w:r>
      <w:r w:rsidR="000A42D8">
        <w:rPr>
          <w:rFonts w:ascii="Times New Roman" w:eastAsia="Arial Unicode MS" w:hAnsi="Times New Roman"/>
          <w:sz w:val="24"/>
          <w:szCs w:val="24"/>
        </w:rPr>
        <w:t>2% en 2006 à 38</w:t>
      </w:r>
      <w:r w:rsidR="000A42D8" w:rsidRPr="007B43D0">
        <w:rPr>
          <w:rFonts w:ascii="Times New Roman" w:eastAsia="Arial Unicode MS" w:hAnsi="Times New Roman"/>
          <w:sz w:val="24"/>
          <w:szCs w:val="24"/>
        </w:rPr>
        <w:t>,</w:t>
      </w:r>
      <w:r w:rsidR="000A42D8">
        <w:rPr>
          <w:rFonts w:ascii="Times New Roman" w:eastAsia="Arial Unicode MS" w:hAnsi="Times New Roman"/>
          <w:sz w:val="24"/>
          <w:szCs w:val="24"/>
        </w:rPr>
        <w:t>3</w:t>
      </w:r>
      <w:r w:rsidR="000A42D8" w:rsidRPr="007B43D0">
        <w:rPr>
          <w:rFonts w:ascii="Times New Roman" w:eastAsia="Arial Unicode MS" w:hAnsi="Times New Roman"/>
          <w:sz w:val="24"/>
          <w:szCs w:val="24"/>
        </w:rPr>
        <w:t>% en 2009 puis à 32,</w:t>
      </w:r>
      <w:r w:rsidR="000A42D8">
        <w:rPr>
          <w:rFonts w:ascii="Times New Roman" w:eastAsia="Arial Unicode MS" w:hAnsi="Times New Roman"/>
          <w:sz w:val="24"/>
          <w:szCs w:val="24"/>
        </w:rPr>
        <w:t>5</w:t>
      </w:r>
      <w:r w:rsidR="000A42D8" w:rsidRPr="007B43D0">
        <w:rPr>
          <w:rFonts w:ascii="Times New Roman" w:eastAsia="Arial Unicode MS" w:hAnsi="Times New Roman"/>
          <w:sz w:val="24"/>
          <w:szCs w:val="24"/>
        </w:rPr>
        <w:t>% en 2011.</w:t>
      </w:r>
      <w:r w:rsidR="000A42D8">
        <w:rPr>
          <w:rFonts w:ascii="Times New Roman" w:eastAsia="Arial Unicode MS" w:hAnsi="Times New Roman"/>
          <w:sz w:val="24"/>
          <w:szCs w:val="24"/>
        </w:rPr>
        <w:t xml:space="preserve"> </w:t>
      </w:r>
      <w:r w:rsidR="000A42D8" w:rsidRPr="007B43D0">
        <w:rPr>
          <w:rFonts w:ascii="Times New Roman" w:eastAsia="Arial Unicode MS" w:hAnsi="Times New Roman"/>
          <w:sz w:val="24"/>
          <w:szCs w:val="24"/>
        </w:rPr>
        <w:t xml:space="preserve">En milieu urbain, </w:t>
      </w:r>
      <w:r w:rsidR="000A42D8">
        <w:rPr>
          <w:rFonts w:ascii="Times New Roman" w:eastAsia="Arial Unicode MS" w:hAnsi="Times New Roman"/>
          <w:sz w:val="24"/>
          <w:szCs w:val="24"/>
        </w:rPr>
        <w:t>elle est  passée de 29,1% en 2009 à 25,3% en 2011.</w:t>
      </w:r>
      <w:r w:rsidRPr="007B43D0">
        <w:rPr>
          <w:rFonts w:ascii="Times New Roman" w:eastAsia="Arial Unicode MS" w:hAnsi="Times New Roman"/>
          <w:sz w:val="24"/>
          <w:szCs w:val="24"/>
        </w:rPr>
        <w:t xml:space="preserve"> </w:t>
      </w:r>
    </w:p>
    <w:p w:rsidR="00B25B20" w:rsidRDefault="00B25B20" w:rsidP="003740B0">
      <w:pPr>
        <w:spacing w:line="276" w:lineRule="auto"/>
        <w:rPr>
          <w:rFonts w:ascii="Times New Roman" w:eastAsia="Arial Unicode MS" w:hAnsi="Times New Roman"/>
          <w:sz w:val="24"/>
          <w:szCs w:val="24"/>
        </w:rPr>
      </w:pPr>
    </w:p>
    <w:p w:rsidR="004857E9" w:rsidRDefault="000A42D8" w:rsidP="003740B0">
      <w:pPr>
        <w:spacing w:line="276" w:lineRule="auto"/>
        <w:rPr>
          <w:rFonts w:ascii="Times New Roman" w:eastAsia="Arial Unicode MS" w:hAnsi="Times New Roman"/>
          <w:sz w:val="24"/>
          <w:szCs w:val="24"/>
        </w:rPr>
      </w:pPr>
      <w:r>
        <w:rPr>
          <w:rFonts w:ascii="Times New Roman" w:eastAsia="Arial Unicode MS" w:hAnsi="Times New Roman"/>
          <w:sz w:val="24"/>
          <w:szCs w:val="24"/>
        </w:rPr>
        <w:t>Les  résultats observés en ce qui concerne la pauvreté non monétaire,</w:t>
      </w:r>
      <w:r w:rsidR="00B25B20">
        <w:rPr>
          <w:rFonts w:ascii="Times New Roman" w:eastAsia="Arial Unicode MS" w:hAnsi="Times New Roman"/>
          <w:sz w:val="24"/>
          <w:szCs w:val="24"/>
        </w:rPr>
        <w:t xml:space="preserve"> pourraient s’expliquer c</w:t>
      </w:r>
      <w:r w:rsidR="004C2FF4" w:rsidRPr="000F0714">
        <w:rPr>
          <w:rFonts w:ascii="Times New Roman" w:eastAsia="Arial Unicode MS" w:hAnsi="Times New Roman"/>
          <w:sz w:val="24"/>
          <w:szCs w:val="24"/>
        </w:rPr>
        <w:t xml:space="preserve">omme mentionné </w:t>
      </w:r>
      <w:r w:rsidR="000E1CF2" w:rsidRPr="000F0714">
        <w:rPr>
          <w:rFonts w:ascii="Times New Roman" w:eastAsia="Arial Unicode MS" w:hAnsi="Times New Roman"/>
          <w:sz w:val="24"/>
          <w:szCs w:val="24"/>
        </w:rPr>
        <w:t xml:space="preserve">plus haut </w:t>
      </w:r>
      <w:r w:rsidR="00B25B20">
        <w:rPr>
          <w:rFonts w:ascii="Times New Roman" w:eastAsia="Arial Unicode MS" w:hAnsi="Times New Roman"/>
          <w:sz w:val="24"/>
          <w:szCs w:val="24"/>
        </w:rPr>
        <w:t>par les efforts notés particulièrement</w:t>
      </w:r>
      <w:r>
        <w:rPr>
          <w:rFonts w:ascii="Times New Roman" w:eastAsia="Arial Unicode MS" w:hAnsi="Times New Roman"/>
          <w:sz w:val="24"/>
          <w:szCs w:val="24"/>
        </w:rPr>
        <w:t xml:space="preserve"> </w:t>
      </w:r>
      <w:r w:rsidR="004C2FF4" w:rsidRPr="000F0714">
        <w:rPr>
          <w:rFonts w:ascii="Times New Roman" w:eastAsia="Arial Unicode MS" w:hAnsi="Times New Roman"/>
          <w:sz w:val="24"/>
          <w:szCs w:val="24"/>
        </w:rPr>
        <w:t>au niveau de l’hydraulique rural</w:t>
      </w:r>
      <w:r w:rsidR="00B25B20">
        <w:rPr>
          <w:rFonts w:ascii="Times New Roman" w:eastAsia="Arial Unicode MS" w:hAnsi="Times New Roman"/>
          <w:sz w:val="24"/>
          <w:szCs w:val="24"/>
        </w:rPr>
        <w:t xml:space="preserve">. </w:t>
      </w:r>
      <w:r w:rsidR="00A54BDA">
        <w:rPr>
          <w:rFonts w:ascii="Times New Roman" w:eastAsia="Arial Unicode MS" w:hAnsi="Times New Roman"/>
          <w:sz w:val="24"/>
          <w:szCs w:val="24"/>
        </w:rPr>
        <w:t xml:space="preserve">Ainsi, </w:t>
      </w:r>
      <w:r w:rsidR="004C2FF4" w:rsidRPr="000F0714">
        <w:rPr>
          <w:rFonts w:ascii="Times New Roman" w:eastAsia="Arial Unicode MS" w:hAnsi="Times New Roman"/>
          <w:sz w:val="24"/>
          <w:szCs w:val="24"/>
        </w:rPr>
        <w:t>l’amélioration des conditions d’</w:t>
      </w:r>
      <w:r w:rsidR="000E1CF2" w:rsidRPr="000F0714">
        <w:rPr>
          <w:rFonts w:ascii="Times New Roman" w:eastAsia="Arial Unicode MS" w:hAnsi="Times New Roman"/>
          <w:sz w:val="24"/>
          <w:szCs w:val="24"/>
        </w:rPr>
        <w:t xml:space="preserve">existence des ménages ruraux </w:t>
      </w:r>
      <w:r w:rsidR="004D60CD">
        <w:rPr>
          <w:rFonts w:ascii="Times New Roman" w:eastAsia="Arial Unicode MS" w:hAnsi="Times New Roman"/>
          <w:sz w:val="24"/>
          <w:szCs w:val="24"/>
        </w:rPr>
        <w:t>pourrait</w:t>
      </w:r>
      <w:r w:rsidR="00545F36">
        <w:rPr>
          <w:rFonts w:ascii="Times New Roman" w:eastAsia="Arial Unicode MS" w:hAnsi="Times New Roman"/>
          <w:sz w:val="24"/>
          <w:szCs w:val="24"/>
        </w:rPr>
        <w:t xml:space="preserve"> dans une certaine mesure</w:t>
      </w:r>
      <w:r w:rsidR="004D60CD">
        <w:rPr>
          <w:rFonts w:ascii="Times New Roman" w:eastAsia="Arial Unicode MS" w:hAnsi="Times New Roman"/>
          <w:sz w:val="24"/>
          <w:szCs w:val="24"/>
        </w:rPr>
        <w:t xml:space="preserve"> être </w:t>
      </w:r>
      <w:r w:rsidR="00B3018C">
        <w:rPr>
          <w:rFonts w:ascii="Times New Roman" w:eastAsia="Arial Unicode MS" w:hAnsi="Times New Roman"/>
          <w:sz w:val="24"/>
          <w:szCs w:val="24"/>
        </w:rPr>
        <w:t>assimilée</w:t>
      </w:r>
      <w:r>
        <w:rPr>
          <w:rFonts w:ascii="Times New Roman" w:eastAsia="Arial Unicode MS" w:hAnsi="Times New Roman"/>
          <w:sz w:val="24"/>
          <w:szCs w:val="24"/>
        </w:rPr>
        <w:t xml:space="preserve"> </w:t>
      </w:r>
      <w:r w:rsidR="00545F36">
        <w:rPr>
          <w:rFonts w:ascii="Times New Roman" w:eastAsia="Arial Unicode MS" w:hAnsi="Times New Roman"/>
          <w:sz w:val="24"/>
          <w:szCs w:val="24"/>
        </w:rPr>
        <w:t>au</w:t>
      </w:r>
      <w:r>
        <w:rPr>
          <w:rFonts w:ascii="Times New Roman" w:eastAsia="Arial Unicode MS" w:hAnsi="Times New Roman"/>
          <w:sz w:val="24"/>
          <w:szCs w:val="24"/>
        </w:rPr>
        <w:t xml:space="preserve"> </w:t>
      </w:r>
      <w:r w:rsidR="004C2FF4" w:rsidRPr="000F0714">
        <w:rPr>
          <w:rFonts w:ascii="Times New Roman" w:eastAsia="Arial Unicode MS" w:hAnsi="Times New Roman"/>
          <w:sz w:val="24"/>
          <w:szCs w:val="24"/>
        </w:rPr>
        <w:t xml:space="preserve">résultat d’un </w:t>
      </w:r>
      <w:r w:rsidR="000E1CF2" w:rsidRPr="000F0714">
        <w:rPr>
          <w:rFonts w:ascii="Times New Roman" w:eastAsia="Arial Unicode MS" w:hAnsi="Times New Roman"/>
          <w:sz w:val="24"/>
          <w:szCs w:val="24"/>
        </w:rPr>
        <w:t>engagement</w:t>
      </w:r>
      <w:r w:rsidR="004C2FF4" w:rsidRPr="000F0714">
        <w:rPr>
          <w:rFonts w:ascii="Times New Roman" w:eastAsia="Arial Unicode MS" w:hAnsi="Times New Roman"/>
          <w:sz w:val="24"/>
          <w:szCs w:val="24"/>
        </w:rPr>
        <w:t xml:space="preserve"> relativement plus important</w:t>
      </w:r>
      <w:r w:rsidR="000E1CF2" w:rsidRPr="000F0714">
        <w:rPr>
          <w:rFonts w:ascii="Times New Roman" w:eastAsia="Arial Unicode MS" w:hAnsi="Times New Roman"/>
          <w:sz w:val="24"/>
          <w:szCs w:val="24"/>
        </w:rPr>
        <w:t xml:space="preserve"> du Gouvernement</w:t>
      </w:r>
      <w:r>
        <w:rPr>
          <w:rFonts w:ascii="Times New Roman" w:eastAsia="Arial Unicode MS" w:hAnsi="Times New Roman"/>
          <w:sz w:val="24"/>
          <w:szCs w:val="24"/>
        </w:rPr>
        <w:t xml:space="preserve"> </w:t>
      </w:r>
      <w:r w:rsidR="000E1CF2" w:rsidRPr="000F0714">
        <w:rPr>
          <w:rFonts w:ascii="Times New Roman" w:eastAsia="Arial Unicode MS" w:hAnsi="Times New Roman"/>
          <w:sz w:val="24"/>
          <w:szCs w:val="24"/>
        </w:rPr>
        <w:t xml:space="preserve">et des partenaires au développement </w:t>
      </w:r>
      <w:r w:rsidR="004C2FF4" w:rsidRPr="000F0714">
        <w:rPr>
          <w:rFonts w:ascii="Times New Roman" w:eastAsia="Arial Unicode MS" w:hAnsi="Times New Roman"/>
          <w:sz w:val="24"/>
          <w:szCs w:val="24"/>
        </w:rPr>
        <w:t xml:space="preserve">en faveur du milieu </w:t>
      </w:r>
      <w:r w:rsidR="000E1CF2" w:rsidRPr="000F0714">
        <w:rPr>
          <w:rFonts w:ascii="Times New Roman" w:eastAsia="Arial Unicode MS" w:hAnsi="Times New Roman"/>
          <w:sz w:val="24"/>
          <w:szCs w:val="24"/>
        </w:rPr>
        <w:t xml:space="preserve">rural </w:t>
      </w:r>
      <w:r w:rsidR="00290FA4" w:rsidRPr="000F0714">
        <w:rPr>
          <w:rFonts w:ascii="Times New Roman" w:eastAsia="Arial Unicode MS" w:hAnsi="Times New Roman"/>
          <w:sz w:val="24"/>
          <w:szCs w:val="24"/>
        </w:rPr>
        <w:t xml:space="preserve">pour la </w:t>
      </w:r>
      <w:r w:rsidR="00073DA5" w:rsidRPr="000F0714">
        <w:rPr>
          <w:rFonts w:ascii="Times New Roman" w:eastAsia="Arial Unicode MS" w:hAnsi="Times New Roman"/>
          <w:sz w:val="24"/>
          <w:szCs w:val="24"/>
        </w:rPr>
        <w:t>réalisation d’</w:t>
      </w:r>
      <w:r w:rsidR="004C2FF4" w:rsidRPr="000F0714">
        <w:rPr>
          <w:rFonts w:ascii="Times New Roman" w:eastAsia="Arial Unicode MS" w:hAnsi="Times New Roman"/>
          <w:sz w:val="24"/>
          <w:szCs w:val="24"/>
        </w:rPr>
        <w:t>infrastructures de base</w:t>
      </w:r>
      <w:r w:rsidR="007A1AF2" w:rsidRPr="000F0714">
        <w:rPr>
          <w:rFonts w:ascii="Times New Roman" w:eastAsia="Arial Unicode MS" w:hAnsi="Times New Roman"/>
          <w:sz w:val="24"/>
          <w:szCs w:val="24"/>
        </w:rPr>
        <w:t xml:space="preserve"> (SCRP 2011-2015)</w:t>
      </w:r>
      <w:r w:rsidR="00CA2DA2">
        <w:rPr>
          <w:rFonts w:ascii="Times New Roman" w:eastAsia="Arial Unicode MS" w:hAnsi="Times New Roman"/>
          <w:sz w:val="24"/>
          <w:szCs w:val="24"/>
        </w:rPr>
        <w:t xml:space="preserve">. </w:t>
      </w:r>
    </w:p>
    <w:p w:rsidR="006B0732" w:rsidRDefault="006B0732" w:rsidP="00D60CFD">
      <w:pPr>
        <w:pStyle w:val="Lgende"/>
        <w:framePr w:wrap="around"/>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6"/>
      </w:tblGrid>
      <w:tr w:rsidR="006B0732" w:rsidRPr="007F32D1" w:rsidTr="003E6F2A">
        <w:trPr>
          <w:trHeight w:val="347"/>
        </w:trPr>
        <w:tc>
          <w:tcPr>
            <w:tcW w:w="9256" w:type="dxa"/>
            <w:shd w:val="clear" w:color="auto" w:fill="92CDDC" w:themeFill="accent5" w:themeFillTint="99"/>
          </w:tcPr>
          <w:p w:rsidR="006B0732" w:rsidRPr="007F32D1" w:rsidRDefault="006B0732" w:rsidP="00D60CFD">
            <w:pPr>
              <w:pStyle w:val="Lgende"/>
              <w:framePr w:wrap="around"/>
              <w:rPr>
                <w:rFonts w:eastAsia="Arial Unicode MS"/>
              </w:rPr>
            </w:pPr>
            <w:bookmarkStart w:id="27" w:name="_Toc373430605"/>
            <w:r w:rsidRPr="007F32D1">
              <w:t>Graphique 1.</w:t>
            </w:r>
            <w:r w:rsidR="00182C97" w:rsidRPr="007F32D1">
              <w:fldChar w:fldCharType="begin"/>
            </w:r>
            <w:r w:rsidR="00832112" w:rsidRPr="00832112">
              <w:instrText xml:space="preserve"> SEQ Graphique_2. \* ARABIC </w:instrText>
            </w:r>
            <w:r w:rsidR="00182C97" w:rsidRPr="007F32D1">
              <w:fldChar w:fldCharType="separate"/>
            </w:r>
            <w:r w:rsidR="00AB1967">
              <w:rPr>
                <w:noProof/>
              </w:rPr>
              <w:t>3</w:t>
            </w:r>
            <w:r w:rsidR="00182C97" w:rsidRPr="007F32D1">
              <w:fldChar w:fldCharType="end"/>
            </w:r>
            <w:r w:rsidRPr="007F32D1">
              <w:rPr>
                <w:rFonts w:eastAsia="Arial Unicode MS"/>
              </w:rPr>
              <w:t>: Incidence de la pauvreté selon le milieu de résidence au Bénin</w:t>
            </w:r>
            <w:bookmarkEnd w:id="27"/>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tblGrid>
      <w:tr w:rsidR="006B0732" w:rsidTr="003E6F2A">
        <w:tc>
          <w:tcPr>
            <w:tcW w:w="9256" w:type="dxa"/>
            <w:shd w:val="clear" w:color="auto" w:fill="DAEEF3" w:themeFill="accent5" w:themeFillTint="33"/>
          </w:tcPr>
          <w:p w:rsidR="006B0732" w:rsidRDefault="006B0732" w:rsidP="003E6F2A">
            <w:pPr>
              <w:spacing w:before="120" w:after="120" w:line="240" w:lineRule="auto"/>
              <w:ind w:left="-57"/>
              <w:jc w:val="center"/>
            </w:pPr>
            <w:r w:rsidRPr="006B0732">
              <w:rPr>
                <w:noProof/>
                <w:lang w:eastAsia="fr-FR"/>
              </w:rPr>
              <w:drawing>
                <wp:inline distT="0" distB="0" distL="0" distR="0" wp14:anchorId="0102B66B" wp14:editId="601CCF41">
                  <wp:extent cx="5758815" cy="2686050"/>
                  <wp:effectExtent l="19050" t="0" r="13335" b="0"/>
                  <wp:docPr id="34"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6B0732" w:rsidRPr="00E16B3C" w:rsidTr="003E6F2A">
        <w:tc>
          <w:tcPr>
            <w:tcW w:w="9256" w:type="dxa"/>
            <w:shd w:val="clear" w:color="auto" w:fill="DAEEF3" w:themeFill="accent5" w:themeFillTint="33"/>
          </w:tcPr>
          <w:p w:rsidR="006B0732" w:rsidRPr="006B0732" w:rsidRDefault="006B0732" w:rsidP="003E6F2A">
            <w:pPr>
              <w:rPr>
                <w:rFonts w:ascii="Times New Roman" w:hAnsi="Times New Roman"/>
                <w:sz w:val="20"/>
                <w:szCs w:val="20"/>
              </w:rPr>
            </w:pPr>
            <w:r w:rsidRPr="006B0732">
              <w:rPr>
                <w:rFonts w:ascii="Times New Roman" w:hAnsi="Times New Roman"/>
                <w:sz w:val="20"/>
                <w:szCs w:val="20"/>
              </w:rPr>
              <w:t>Source : INSAE, EMICoV 2006, 2009 et  2011</w:t>
            </w:r>
          </w:p>
        </w:tc>
      </w:tr>
    </w:tbl>
    <w:p w:rsidR="006B0732" w:rsidRDefault="006B0732" w:rsidP="006B0732">
      <w:pPr>
        <w:spacing w:line="276" w:lineRule="auto"/>
        <w:rPr>
          <w:rFonts w:ascii="Times New Roman" w:eastAsia="Arial Unicode MS" w:hAnsi="Times New Roman"/>
          <w:sz w:val="24"/>
          <w:szCs w:val="24"/>
        </w:rPr>
      </w:pPr>
    </w:p>
    <w:p w:rsidR="00EF2AF6" w:rsidRPr="00EF2AF6" w:rsidRDefault="00EF2AF6" w:rsidP="003740B0">
      <w:pPr>
        <w:spacing w:line="276" w:lineRule="auto"/>
        <w:rPr>
          <w:rFonts w:ascii="Times New Roman" w:eastAsia="Arial Unicode MS" w:hAnsi="Times New Roman"/>
          <w:b/>
          <w:sz w:val="12"/>
          <w:szCs w:val="12"/>
        </w:rPr>
      </w:pPr>
    </w:p>
    <w:p w:rsidR="000A42D8" w:rsidRDefault="000A42D8" w:rsidP="000A42D8">
      <w:pPr>
        <w:spacing w:line="276" w:lineRule="auto"/>
        <w:rPr>
          <w:rFonts w:ascii="Times New Roman" w:eastAsia="Arial Unicode MS" w:hAnsi="Times New Roman"/>
          <w:sz w:val="24"/>
          <w:szCs w:val="24"/>
        </w:rPr>
      </w:pPr>
      <w:r>
        <w:rPr>
          <w:rFonts w:ascii="Times New Roman" w:eastAsia="Arial Unicode MS" w:hAnsi="Times New Roman"/>
          <w:sz w:val="24"/>
          <w:szCs w:val="24"/>
        </w:rPr>
        <w:t xml:space="preserve">Par contre, l’aggravation de la pauvreté observée entre 2009 et 2011 semble être plutôt liée à leur faible productivité et au manque ou une insuffisance d’opportunités en termes d’activités génératrices de revenu. </w:t>
      </w:r>
    </w:p>
    <w:p w:rsidR="00973485" w:rsidRDefault="00973485" w:rsidP="00973485">
      <w:pPr>
        <w:spacing w:line="240" w:lineRule="auto"/>
        <w:rPr>
          <w:rFonts w:ascii="Times New Roman" w:eastAsia="Arial Unicode MS" w:hAnsi="Times New Roman"/>
          <w:b/>
          <w:sz w:val="24"/>
          <w:szCs w:val="24"/>
        </w:rPr>
      </w:pPr>
    </w:p>
    <w:p w:rsidR="001A42BD" w:rsidRDefault="00B76D0A" w:rsidP="003740B0">
      <w:pPr>
        <w:spacing w:line="276" w:lineRule="auto"/>
        <w:rPr>
          <w:rFonts w:ascii="Times New Roman" w:eastAsia="Arial Unicode MS" w:hAnsi="Times New Roman"/>
          <w:sz w:val="24"/>
          <w:szCs w:val="24"/>
        </w:rPr>
      </w:pPr>
      <w:r w:rsidRPr="00B76D0A">
        <w:rPr>
          <w:rFonts w:ascii="Times New Roman" w:eastAsia="Arial Unicode MS" w:hAnsi="Times New Roman"/>
          <w:b/>
          <w:sz w:val="24"/>
          <w:szCs w:val="24"/>
        </w:rPr>
        <w:t xml:space="preserve">Le </w:t>
      </w:r>
      <w:r w:rsidR="001A42BD">
        <w:rPr>
          <w:rFonts w:ascii="Times New Roman" w:eastAsia="Arial Unicode MS" w:hAnsi="Times New Roman"/>
          <w:b/>
          <w:sz w:val="24"/>
          <w:szCs w:val="24"/>
        </w:rPr>
        <w:t>graphique</w:t>
      </w:r>
      <w:r w:rsidR="000A42D8">
        <w:rPr>
          <w:rFonts w:ascii="Times New Roman" w:eastAsia="Arial Unicode MS" w:hAnsi="Times New Roman"/>
          <w:b/>
          <w:sz w:val="24"/>
          <w:szCs w:val="24"/>
        </w:rPr>
        <w:t xml:space="preserve"> </w:t>
      </w:r>
      <w:r w:rsidR="00FC115D">
        <w:rPr>
          <w:rFonts w:ascii="Times New Roman" w:eastAsia="Arial Unicode MS" w:hAnsi="Times New Roman"/>
          <w:b/>
          <w:sz w:val="24"/>
          <w:szCs w:val="24"/>
        </w:rPr>
        <w:t>1</w:t>
      </w:r>
      <w:r w:rsidRPr="00B76D0A">
        <w:rPr>
          <w:rFonts w:ascii="Times New Roman" w:eastAsia="Arial Unicode MS" w:hAnsi="Times New Roman"/>
          <w:b/>
          <w:sz w:val="24"/>
          <w:szCs w:val="24"/>
        </w:rPr>
        <w:t>.</w:t>
      </w:r>
      <w:r w:rsidR="001612BF">
        <w:rPr>
          <w:rFonts w:ascii="Times New Roman" w:eastAsia="Arial Unicode MS" w:hAnsi="Times New Roman"/>
          <w:b/>
          <w:sz w:val="24"/>
          <w:szCs w:val="24"/>
        </w:rPr>
        <w:t>4</w:t>
      </w:r>
      <w:r w:rsidRPr="00B76D0A">
        <w:rPr>
          <w:rFonts w:ascii="Times New Roman" w:eastAsia="Arial Unicode MS" w:hAnsi="Times New Roman"/>
          <w:b/>
          <w:sz w:val="24"/>
          <w:szCs w:val="24"/>
        </w:rPr>
        <w:t xml:space="preserve"> montre l’existence de fortes disparités régionales de la pauvreté au Bénin</w:t>
      </w:r>
      <w:r w:rsidR="003740B0" w:rsidRPr="007B43D0">
        <w:rPr>
          <w:rFonts w:ascii="Times New Roman" w:eastAsia="Arial Unicode MS" w:hAnsi="Times New Roman"/>
          <w:sz w:val="24"/>
          <w:szCs w:val="24"/>
        </w:rPr>
        <w:t>. En 2011, sur les douze départements que compte le pays</w:t>
      </w:r>
      <w:r w:rsidR="008C1CAC">
        <w:rPr>
          <w:rFonts w:ascii="Times New Roman" w:eastAsia="Arial Unicode MS" w:hAnsi="Times New Roman"/>
          <w:sz w:val="24"/>
          <w:szCs w:val="24"/>
        </w:rPr>
        <w:t>,</w:t>
      </w:r>
      <w:r w:rsidR="003740B0" w:rsidRPr="007B43D0">
        <w:rPr>
          <w:rFonts w:ascii="Times New Roman" w:eastAsia="Arial Unicode MS" w:hAnsi="Times New Roman"/>
          <w:sz w:val="24"/>
          <w:szCs w:val="24"/>
        </w:rPr>
        <w:t xml:space="preserve"> neuf présentent une incidence de pauvreté supérieure à la moyenne nationale (36,2%). Sur </w:t>
      </w:r>
      <w:r w:rsidR="008C1CAC">
        <w:rPr>
          <w:rFonts w:ascii="Times New Roman" w:eastAsia="Arial Unicode MS" w:hAnsi="Times New Roman"/>
          <w:sz w:val="24"/>
          <w:szCs w:val="24"/>
        </w:rPr>
        <w:t>ces</w:t>
      </w:r>
      <w:r w:rsidR="003740B0" w:rsidRPr="007B43D0">
        <w:rPr>
          <w:rFonts w:ascii="Times New Roman" w:eastAsia="Arial Unicode MS" w:hAnsi="Times New Roman"/>
          <w:sz w:val="24"/>
          <w:szCs w:val="24"/>
        </w:rPr>
        <w:t xml:space="preserve"> neuf départements, quatre départements présentent une incidence supérieure de 5 points de pourcentage à la moyenne nationale : Couffo (46,6%), Collines (46,1%), Mono (43,5%) et le Zou (41,5%). Ces départements sont ceux ayant été durement </w:t>
      </w:r>
      <w:r w:rsidR="003B4EEA">
        <w:rPr>
          <w:rFonts w:ascii="Times New Roman" w:eastAsia="Arial Unicode MS" w:hAnsi="Times New Roman"/>
          <w:sz w:val="24"/>
          <w:szCs w:val="24"/>
        </w:rPr>
        <w:t>touché par les inondations de 2010</w:t>
      </w:r>
      <w:r w:rsidR="003740B0" w:rsidRPr="007B43D0">
        <w:rPr>
          <w:rFonts w:ascii="Times New Roman" w:eastAsia="Arial Unicode MS" w:hAnsi="Times New Roman"/>
          <w:sz w:val="24"/>
          <w:szCs w:val="24"/>
        </w:rPr>
        <w:t xml:space="preserve">. Les départements de l’Ouémé (25,4%) et du Littoral (25,9%) affichent les taux de pauvreté les plus faibles en 2011. </w:t>
      </w:r>
    </w:p>
    <w:p w:rsidR="001A42BD" w:rsidRDefault="001A42BD"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6"/>
      </w:tblGrid>
      <w:tr w:rsidR="006B0732" w:rsidRPr="007F32D1" w:rsidTr="003E6F2A">
        <w:trPr>
          <w:trHeight w:val="347"/>
        </w:trPr>
        <w:tc>
          <w:tcPr>
            <w:tcW w:w="9256" w:type="dxa"/>
            <w:shd w:val="clear" w:color="auto" w:fill="92CDDC" w:themeFill="accent5" w:themeFillTint="99"/>
          </w:tcPr>
          <w:p w:rsidR="006B0732" w:rsidRPr="007F32D1" w:rsidRDefault="006B0732" w:rsidP="00D60CFD">
            <w:pPr>
              <w:pStyle w:val="Lgende"/>
              <w:framePr w:wrap="around"/>
              <w:rPr>
                <w:rFonts w:eastAsia="Arial Unicode MS"/>
              </w:rPr>
            </w:pPr>
            <w:bookmarkStart w:id="28" w:name="_Toc373430606"/>
            <w:r w:rsidRPr="007F32D1">
              <w:t>Graphique 1.</w:t>
            </w:r>
            <w:r w:rsidR="004F064D">
              <w:fldChar w:fldCharType="begin"/>
            </w:r>
            <w:r w:rsidR="004F064D">
              <w:instrText xml:space="preserve"> SEQ Graphique_2. \* ARABIC </w:instrText>
            </w:r>
            <w:r w:rsidR="004F064D">
              <w:fldChar w:fldCharType="separate"/>
            </w:r>
            <w:r w:rsidR="00AB1967">
              <w:rPr>
                <w:noProof/>
              </w:rPr>
              <w:t>4</w:t>
            </w:r>
            <w:r w:rsidR="004F064D">
              <w:rPr>
                <w:noProof/>
              </w:rPr>
              <w:fldChar w:fldCharType="end"/>
            </w:r>
            <w:r w:rsidR="00832112" w:rsidRPr="00832112">
              <w:rPr>
                <w:rFonts w:eastAsia="Arial Unicode MS"/>
              </w:rPr>
              <w:t>: Incidence de la pauvreté monétaire selon les départements</w:t>
            </w:r>
            <w:bookmarkEnd w:id="28"/>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tblGrid>
      <w:tr w:rsidR="006B0732" w:rsidTr="003E6F2A">
        <w:tc>
          <w:tcPr>
            <w:tcW w:w="9256" w:type="dxa"/>
            <w:shd w:val="clear" w:color="auto" w:fill="DAEEF3" w:themeFill="accent5" w:themeFillTint="33"/>
          </w:tcPr>
          <w:p w:rsidR="006B0732" w:rsidRDefault="006B0732" w:rsidP="003E6F2A">
            <w:pPr>
              <w:spacing w:before="120" w:after="120" w:line="240" w:lineRule="auto"/>
              <w:ind w:left="-57"/>
              <w:jc w:val="center"/>
            </w:pPr>
            <w:r w:rsidRPr="006B0732">
              <w:rPr>
                <w:noProof/>
                <w:lang w:eastAsia="fr-FR"/>
              </w:rPr>
              <w:drawing>
                <wp:inline distT="0" distB="0" distL="0" distR="0" wp14:anchorId="4C47ED25" wp14:editId="7E618565">
                  <wp:extent cx="5754370" cy="2718435"/>
                  <wp:effectExtent l="19050" t="0" r="17780" b="5715"/>
                  <wp:docPr id="35" name="Graphique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6B0732" w:rsidRPr="006B0732" w:rsidTr="003E6F2A">
        <w:tc>
          <w:tcPr>
            <w:tcW w:w="9256" w:type="dxa"/>
            <w:shd w:val="clear" w:color="auto" w:fill="DAEEF3" w:themeFill="accent5" w:themeFillTint="33"/>
          </w:tcPr>
          <w:p w:rsidR="006B0732" w:rsidRPr="006B0732" w:rsidRDefault="006B0732" w:rsidP="003E6F2A">
            <w:pPr>
              <w:spacing w:line="240" w:lineRule="auto"/>
              <w:rPr>
                <w:rFonts w:ascii="Times New Roman" w:hAnsi="Times New Roman"/>
                <w:sz w:val="20"/>
                <w:szCs w:val="20"/>
              </w:rPr>
            </w:pPr>
            <w:r w:rsidRPr="006B0732">
              <w:rPr>
                <w:rFonts w:ascii="Times New Roman" w:hAnsi="Times New Roman"/>
                <w:sz w:val="20"/>
                <w:szCs w:val="20"/>
              </w:rPr>
              <w:t>Source : INSAE, EMICoV 2006, 2009 et  2011</w:t>
            </w:r>
          </w:p>
        </w:tc>
      </w:tr>
    </w:tbl>
    <w:p w:rsidR="006B0732" w:rsidRPr="00E16B3C" w:rsidRDefault="006B0732" w:rsidP="006B0732"/>
    <w:p w:rsidR="003740B0" w:rsidRDefault="003740B0" w:rsidP="003740B0">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 xml:space="preserve">L’analyse de l’évolution de la pauvreté dans les départements laisse entrevoir différentes situations. La pauvreté a augmenté de 2006 à 2011 dans quatre départements : Atacora, Collines, Couffo et Zou. Dans les départements des Collines, du Couffo et du Zou, la pauvreté semble avoir plus augmenté au cours de la période 2006-2009 qu’au cours de la période 2009-2011. Seul le département du Mono a connu une baisse de la pauvreté sur la période 2009-2011, passant de 46,5% en 2009 à 43,5% en 2011. Bien que la pauvreté ait baissé dans le Mono entre 2009 et 2011, elle reste inquiétante en 2011. Du reste, on note une augmentation de la pauvreté entre 2009 et 2011, consécutive à une baisse de la pauvreté entre 2006 et 2009 dans le reste des autres départements. </w:t>
      </w:r>
    </w:p>
    <w:p w:rsidR="005A147A" w:rsidRPr="007B43D0" w:rsidRDefault="005A147A" w:rsidP="003740B0">
      <w:pPr>
        <w:spacing w:line="276" w:lineRule="auto"/>
        <w:rPr>
          <w:rFonts w:ascii="Times New Roman" w:eastAsia="Arial Unicode MS" w:hAnsi="Times New Roman"/>
          <w:sz w:val="24"/>
          <w:szCs w:val="24"/>
        </w:rPr>
      </w:pPr>
    </w:p>
    <w:p w:rsidR="0072133C" w:rsidRDefault="003740B0" w:rsidP="003740B0">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 xml:space="preserve">Pour ce qui </w:t>
      </w:r>
      <w:r w:rsidR="00D761C6">
        <w:rPr>
          <w:rFonts w:ascii="Times New Roman" w:eastAsia="Arial Unicode MS" w:hAnsi="Times New Roman"/>
          <w:sz w:val="24"/>
          <w:szCs w:val="24"/>
        </w:rPr>
        <w:t xml:space="preserve">est </w:t>
      </w:r>
      <w:r w:rsidRPr="007B43D0">
        <w:rPr>
          <w:rFonts w:ascii="Times New Roman" w:eastAsia="Arial Unicode MS" w:hAnsi="Times New Roman"/>
          <w:sz w:val="24"/>
          <w:szCs w:val="24"/>
        </w:rPr>
        <w:t>de la pauvreté non monétaire, la baisse constatée au niveau national entre 200</w:t>
      </w:r>
      <w:r w:rsidR="002A4D32">
        <w:rPr>
          <w:rFonts w:ascii="Times New Roman" w:eastAsia="Arial Unicode MS" w:hAnsi="Times New Roman"/>
          <w:sz w:val="24"/>
          <w:szCs w:val="24"/>
        </w:rPr>
        <w:t>6</w:t>
      </w:r>
      <w:r w:rsidRPr="007B43D0">
        <w:rPr>
          <w:rFonts w:ascii="Times New Roman" w:eastAsia="Arial Unicode MS" w:hAnsi="Times New Roman"/>
          <w:sz w:val="24"/>
          <w:szCs w:val="24"/>
        </w:rPr>
        <w:t xml:space="preserve"> et 2011</w:t>
      </w:r>
      <w:r w:rsidR="002A4D32">
        <w:rPr>
          <w:rFonts w:ascii="Times New Roman" w:eastAsia="Arial Unicode MS" w:hAnsi="Times New Roman"/>
          <w:sz w:val="24"/>
          <w:szCs w:val="24"/>
        </w:rPr>
        <w:t xml:space="preserve"> a été enregistré au niveau de tous les départements</w:t>
      </w:r>
      <w:r w:rsidR="00F94265">
        <w:rPr>
          <w:rFonts w:ascii="Times New Roman" w:eastAsia="Arial Unicode MS" w:hAnsi="Times New Roman"/>
          <w:sz w:val="24"/>
          <w:szCs w:val="24"/>
        </w:rPr>
        <w:t xml:space="preserve">. Toutefois, certains départements </w:t>
      </w:r>
      <w:r w:rsidRPr="007B43D0">
        <w:rPr>
          <w:rFonts w:ascii="Times New Roman" w:eastAsia="Arial Unicode MS" w:hAnsi="Times New Roman"/>
          <w:sz w:val="24"/>
          <w:szCs w:val="24"/>
        </w:rPr>
        <w:t xml:space="preserve">ont </w:t>
      </w:r>
      <w:r w:rsidR="00F94265">
        <w:rPr>
          <w:rFonts w:ascii="Times New Roman" w:eastAsia="Arial Unicode MS" w:hAnsi="Times New Roman"/>
          <w:sz w:val="24"/>
          <w:szCs w:val="24"/>
        </w:rPr>
        <w:t>enregistré</w:t>
      </w:r>
      <w:r w:rsidR="000A42D8">
        <w:rPr>
          <w:rFonts w:ascii="Times New Roman" w:eastAsia="Arial Unicode MS" w:hAnsi="Times New Roman"/>
          <w:sz w:val="24"/>
          <w:szCs w:val="24"/>
        </w:rPr>
        <w:t xml:space="preserve"> </w:t>
      </w:r>
      <w:r w:rsidR="00F94265">
        <w:rPr>
          <w:rFonts w:ascii="Times New Roman" w:eastAsia="Arial Unicode MS" w:hAnsi="Times New Roman"/>
          <w:sz w:val="24"/>
          <w:szCs w:val="24"/>
        </w:rPr>
        <w:t>plus</w:t>
      </w:r>
      <w:r w:rsidRPr="007B43D0">
        <w:rPr>
          <w:rFonts w:ascii="Times New Roman" w:eastAsia="Arial Unicode MS" w:hAnsi="Times New Roman"/>
          <w:sz w:val="24"/>
          <w:szCs w:val="24"/>
        </w:rPr>
        <w:t xml:space="preserve"> de</w:t>
      </w:r>
      <w:r w:rsidR="00F94265">
        <w:rPr>
          <w:rFonts w:ascii="Times New Roman" w:eastAsia="Arial Unicode MS" w:hAnsi="Times New Roman"/>
          <w:sz w:val="24"/>
          <w:szCs w:val="24"/>
        </w:rPr>
        <w:t xml:space="preserve"> difficultés</w:t>
      </w:r>
      <w:r w:rsidRPr="007B43D0">
        <w:rPr>
          <w:rFonts w:ascii="Times New Roman" w:eastAsia="Arial Unicode MS" w:hAnsi="Times New Roman"/>
          <w:sz w:val="24"/>
          <w:szCs w:val="24"/>
        </w:rPr>
        <w:t xml:space="preserve"> d’existence</w:t>
      </w:r>
      <w:r w:rsidR="00F94265">
        <w:rPr>
          <w:rFonts w:ascii="Times New Roman" w:eastAsia="Arial Unicode MS" w:hAnsi="Times New Roman"/>
          <w:sz w:val="24"/>
          <w:szCs w:val="24"/>
        </w:rPr>
        <w:t xml:space="preserve"> par rapport au niveau national</w:t>
      </w:r>
      <w:r w:rsidRPr="007B43D0">
        <w:rPr>
          <w:rFonts w:ascii="Times New Roman" w:eastAsia="Arial Unicode MS" w:hAnsi="Times New Roman"/>
          <w:sz w:val="24"/>
          <w:szCs w:val="24"/>
        </w:rPr>
        <w:t>. En 2011, les départements de l’Atacora (58,</w:t>
      </w:r>
      <w:r w:rsidR="00A53C05">
        <w:rPr>
          <w:rFonts w:ascii="Times New Roman" w:eastAsia="Arial Unicode MS" w:hAnsi="Times New Roman"/>
          <w:sz w:val="24"/>
          <w:szCs w:val="24"/>
        </w:rPr>
        <w:t>2</w:t>
      </w:r>
      <w:r w:rsidRPr="007B43D0">
        <w:rPr>
          <w:rFonts w:ascii="Times New Roman" w:eastAsia="Arial Unicode MS" w:hAnsi="Times New Roman"/>
          <w:sz w:val="24"/>
          <w:szCs w:val="24"/>
        </w:rPr>
        <w:t xml:space="preserve">%), de l’Alibori (41,1%) et du Mono (40,9%) affichent les incidences de pauvreté non monétaire inquiétants.        </w:t>
      </w: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A5BAE" w:rsidRDefault="00DA5BAE" w:rsidP="003740B0">
      <w:pPr>
        <w:spacing w:line="276" w:lineRule="auto"/>
        <w:rPr>
          <w:rFonts w:ascii="Times New Roman" w:eastAsia="Arial Unicode MS" w:hAnsi="Times New Roman"/>
          <w:sz w:val="24"/>
          <w:szCs w:val="24"/>
        </w:rPr>
      </w:pPr>
    </w:p>
    <w:p w:rsidR="00D147F8" w:rsidRDefault="00D147F8" w:rsidP="003740B0">
      <w:pPr>
        <w:spacing w:line="276" w:lineRule="auto"/>
        <w:rPr>
          <w:rFonts w:ascii="Times New Roman" w:eastAsia="Arial Unicode MS"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tblGrid>
      <w:tr w:rsidR="006B0732" w:rsidRPr="007F32D1" w:rsidTr="00EF2AF6">
        <w:trPr>
          <w:trHeight w:val="347"/>
        </w:trPr>
        <w:tc>
          <w:tcPr>
            <w:tcW w:w="9279" w:type="dxa"/>
            <w:shd w:val="clear" w:color="auto" w:fill="92CDDC" w:themeFill="accent5" w:themeFillTint="99"/>
          </w:tcPr>
          <w:p w:rsidR="006B0732" w:rsidRPr="007F32D1" w:rsidRDefault="006B0732" w:rsidP="00D60CFD">
            <w:pPr>
              <w:pStyle w:val="Lgende"/>
              <w:framePr w:wrap="around"/>
              <w:rPr>
                <w:rFonts w:eastAsia="Arial Unicode MS"/>
              </w:rPr>
            </w:pPr>
            <w:bookmarkStart w:id="29" w:name="_Toc373430607"/>
            <w:r w:rsidRPr="007F32D1">
              <w:t>Graphique 1.</w:t>
            </w:r>
            <w:r w:rsidR="004F064D">
              <w:fldChar w:fldCharType="begin"/>
            </w:r>
            <w:r w:rsidR="004F064D">
              <w:instrText xml:space="preserve"> SEQ Graphique_2. \* ARABIC </w:instrText>
            </w:r>
            <w:r w:rsidR="004F064D">
              <w:fldChar w:fldCharType="separate"/>
            </w:r>
            <w:r w:rsidR="00AB1967">
              <w:rPr>
                <w:noProof/>
              </w:rPr>
              <w:t>5</w:t>
            </w:r>
            <w:r w:rsidR="004F064D">
              <w:rPr>
                <w:noProof/>
              </w:rPr>
              <w:fldChar w:fldCharType="end"/>
            </w:r>
            <w:r w:rsidR="00832112" w:rsidRPr="00832112">
              <w:rPr>
                <w:rFonts w:eastAsia="Arial Unicode MS"/>
              </w:rPr>
              <w:t>: Incidence de la pauvreté non monétaire selon les départements</w:t>
            </w:r>
            <w:bookmarkEnd w:id="29"/>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tblGrid>
      <w:tr w:rsidR="006B0732" w:rsidTr="00EF2AF6">
        <w:tc>
          <w:tcPr>
            <w:tcW w:w="9279" w:type="dxa"/>
            <w:shd w:val="clear" w:color="auto" w:fill="DAEEF3" w:themeFill="accent5" w:themeFillTint="33"/>
          </w:tcPr>
          <w:p w:rsidR="006B0732" w:rsidRDefault="006B0732" w:rsidP="003E6F2A">
            <w:pPr>
              <w:spacing w:before="120" w:after="120" w:line="240" w:lineRule="auto"/>
              <w:ind w:left="-57"/>
              <w:jc w:val="center"/>
            </w:pPr>
            <w:r w:rsidRPr="00E16B3C">
              <w:rPr>
                <w:noProof/>
                <w:lang w:eastAsia="fr-FR"/>
              </w:rPr>
              <w:drawing>
                <wp:inline distT="0" distB="0" distL="0" distR="0" wp14:anchorId="7E47758A" wp14:editId="16752719">
                  <wp:extent cx="5754370" cy="2847975"/>
                  <wp:effectExtent l="19050" t="0" r="17780" b="0"/>
                  <wp:docPr id="41"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6B0732" w:rsidRPr="00E16B3C" w:rsidTr="00EF2AF6">
        <w:tc>
          <w:tcPr>
            <w:tcW w:w="9279" w:type="dxa"/>
            <w:shd w:val="clear" w:color="auto" w:fill="DAEEF3" w:themeFill="accent5" w:themeFillTint="33"/>
          </w:tcPr>
          <w:p w:rsidR="006B0732" w:rsidRPr="00E16B3C" w:rsidRDefault="006B0732" w:rsidP="003E6F2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2009 et  </w:t>
            </w:r>
            <w:r w:rsidRPr="00E16B3C">
              <w:rPr>
                <w:rFonts w:ascii="Times New Roman" w:hAnsi="Times New Roman"/>
              </w:rPr>
              <w:t>2011</w:t>
            </w:r>
          </w:p>
        </w:tc>
      </w:tr>
    </w:tbl>
    <w:p w:rsidR="00954D55" w:rsidRDefault="00954D55" w:rsidP="00D147F8"/>
    <w:p w:rsidR="00A946F5" w:rsidRDefault="00B76D0A">
      <w:pPr>
        <w:spacing w:after="200" w:line="276" w:lineRule="auto"/>
        <w:rPr>
          <w:rFonts w:ascii="Times New Roman" w:eastAsia="Arial Unicode MS" w:hAnsi="Times New Roman"/>
          <w:sz w:val="24"/>
          <w:szCs w:val="24"/>
        </w:rPr>
      </w:pPr>
      <w:r w:rsidRPr="00B76D0A">
        <w:rPr>
          <w:rFonts w:ascii="Times New Roman" w:eastAsia="Arial Unicode MS" w:hAnsi="Times New Roman"/>
          <w:b/>
          <w:sz w:val="24"/>
          <w:szCs w:val="24"/>
        </w:rPr>
        <w:t>L’analyse selon le sexe du chef de ménage, montre que les ménages dirigés par les femmes semblent connaître moins la pauvreté monétaire, et ce sur l’ensemble de la période d’analyse 2006-2011</w:t>
      </w:r>
      <w:r w:rsidR="003740B0" w:rsidRPr="007B43D0">
        <w:rPr>
          <w:rFonts w:ascii="Times New Roman" w:eastAsia="Arial Unicode MS" w:hAnsi="Times New Roman"/>
          <w:sz w:val="24"/>
          <w:szCs w:val="24"/>
        </w:rPr>
        <w:t xml:space="preserve">. En 2011, l’incidence de la pauvreté </w:t>
      </w:r>
      <w:r w:rsidR="00226AAF">
        <w:rPr>
          <w:rFonts w:ascii="Times New Roman" w:eastAsia="Arial Unicode MS" w:hAnsi="Times New Roman"/>
          <w:sz w:val="24"/>
          <w:szCs w:val="24"/>
        </w:rPr>
        <w:t xml:space="preserve">monétaire </w:t>
      </w:r>
      <w:r w:rsidR="003740B0" w:rsidRPr="007B43D0">
        <w:rPr>
          <w:rFonts w:ascii="Times New Roman" w:eastAsia="Arial Unicode MS" w:hAnsi="Times New Roman"/>
          <w:sz w:val="24"/>
          <w:szCs w:val="24"/>
        </w:rPr>
        <w:t>des individus issus de ménage dont le chef est une femme est de 27,6% contre 38,0% pour ceux dirigés par des hommes. Les écarts apparaissent plus prononcés en 2011, avec 10,4 points de pourcentage contre 4,8 points (respectivement 1,3 point) en 2009 (respectivement en 2006).</w:t>
      </w:r>
    </w:p>
    <w:p w:rsidR="00E6517B" w:rsidRDefault="00973485">
      <w:pPr>
        <w:spacing w:after="200" w:line="276" w:lineRule="auto"/>
        <w:rPr>
          <w:rFonts w:ascii="Times New Roman" w:eastAsia="Arial Unicode MS" w:hAnsi="Times New Roman"/>
          <w:sz w:val="24"/>
          <w:szCs w:val="24"/>
        </w:rPr>
      </w:pPr>
      <w:r>
        <w:rPr>
          <w:rFonts w:ascii="Times New Roman" w:eastAsia="Arial Unicode MS" w:hAnsi="Times New Roman"/>
          <w:sz w:val="24"/>
          <w:szCs w:val="24"/>
        </w:rPr>
        <w:t xml:space="preserve">Ce résultat confirme celui mis en évidence dans le rapport d’évaluation de la pauvreté au Bénin en 2003. Cependant, selon ce rapport, le fait </w:t>
      </w:r>
      <w:r w:rsidRPr="00B76D0A">
        <w:rPr>
          <w:rFonts w:ascii="Times New Roman" w:eastAsia="Arial Unicode MS" w:hAnsi="Times New Roman"/>
          <w:sz w:val="24"/>
          <w:szCs w:val="24"/>
        </w:rPr>
        <w:t xml:space="preserve">que les ménages dirigés par les femmes soient mieux nantis que les </w:t>
      </w:r>
      <w:r w:rsidRPr="00EE798C">
        <w:rPr>
          <w:rFonts w:ascii="Times New Roman" w:eastAsia="Arial Unicode MS" w:hAnsi="Times New Roman"/>
          <w:sz w:val="24"/>
          <w:szCs w:val="24"/>
        </w:rPr>
        <w:t>ménages de même nature dirigés par les hommes ne signifient pas pour autant que les femmes sont moins vulnérables économiquement que les hommes.</w:t>
      </w:r>
      <w:r w:rsidR="002C6220">
        <w:rPr>
          <w:rFonts w:ascii="Times New Roman" w:eastAsia="Arial Unicode MS" w:hAnsi="Times New Roman"/>
          <w:sz w:val="24"/>
          <w:szCs w:val="24"/>
        </w:rPr>
        <w:t xml:space="preserve"> Les résultats issus des déterminants de la pauvreté abondent dans ce sens. Ils suggèrent que le risque de connaitre la pauvreté est plus élevé  au niveau des ménages dirigés par les femmes comparés aux hommes </w:t>
      </w:r>
      <w:r w:rsidRPr="00EE798C">
        <w:rPr>
          <w:rFonts w:ascii="Times New Roman" w:eastAsia="Arial Unicode MS" w:hAnsi="Times New Roman"/>
          <w:sz w:val="24"/>
          <w:szCs w:val="24"/>
        </w:rPr>
        <w:t xml:space="preserve"> </w:t>
      </w:r>
      <w:r>
        <w:rPr>
          <w:rFonts w:ascii="Times New Roman" w:eastAsia="Arial Unicode MS" w:hAnsi="Times New Roman"/>
          <w:sz w:val="24"/>
          <w:szCs w:val="24"/>
        </w:rPr>
        <w:t xml:space="preserve">Ainsi, </w:t>
      </w:r>
      <w:r w:rsidR="002C6220">
        <w:rPr>
          <w:rFonts w:ascii="Times New Roman" w:eastAsia="Arial Unicode MS" w:hAnsi="Times New Roman"/>
          <w:sz w:val="24"/>
          <w:szCs w:val="24"/>
        </w:rPr>
        <w:t>la tendance observée entre 2006 et 2011</w:t>
      </w:r>
      <w:r w:rsidRPr="00EE798C">
        <w:rPr>
          <w:rFonts w:ascii="Times New Roman" w:eastAsia="Arial Unicode MS" w:hAnsi="Times New Roman"/>
          <w:sz w:val="24"/>
          <w:szCs w:val="24"/>
        </w:rPr>
        <w:t xml:space="preserve">pourrait être expliqué entre autres raisons, par le fait que les femmes chef de ménage se caractérisent généralement par </w:t>
      </w:r>
      <w:r w:rsidRPr="00973485">
        <w:rPr>
          <w:rFonts w:ascii="Times New Roman" w:eastAsia="Arial Unicode MS" w:hAnsi="Times New Roman"/>
          <w:sz w:val="24"/>
          <w:szCs w:val="24"/>
        </w:rPr>
        <w:t>leur autonomie économique suffisante</w:t>
      </w:r>
      <w:r>
        <w:rPr>
          <w:rFonts w:ascii="Times New Roman" w:eastAsia="Arial Unicode MS" w:hAnsi="Times New Roman"/>
          <w:sz w:val="24"/>
          <w:szCs w:val="24"/>
        </w:rPr>
        <w:t xml:space="preserve"> qui résulterait en partie de leur situation matrimoniale, de la taille du ménage et leurs secteurs d’activités</w:t>
      </w:r>
      <w:r w:rsidRPr="00EE798C">
        <w:rPr>
          <w:rFonts w:ascii="Times New Roman" w:eastAsia="Arial Unicode MS" w:hAnsi="Times New Roman"/>
          <w:sz w:val="24"/>
          <w:szCs w:val="24"/>
        </w:rPr>
        <w:t>.</w:t>
      </w:r>
    </w:p>
    <w:p w:rsidR="00973485" w:rsidRDefault="00973485">
      <w:pPr>
        <w:spacing w:after="200" w:line="276" w:lineRule="auto"/>
        <w:rPr>
          <w:rFonts w:ascii="Times New Roman" w:eastAsia="Arial Unicode MS" w:hAnsi="Times New Roman"/>
          <w:sz w:val="24"/>
          <w:szCs w:val="24"/>
        </w:rPr>
      </w:pPr>
    </w:p>
    <w:p w:rsidR="00973485" w:rsidRDefault="00973485">
      <w:pPr>
        <w:spacing w:after="200" w:line="276" w:lineRule="auto"/>
        <w:rPr>
          <w:rFonts w:ascii="Times New Roman" w:eastAsia="Arial Unicode MS" w:hAnsi="Times New Roman"/>
          <w:sz w:val="24"/>
          <w:szCs w:val="24"/>
        </w:rPr>
      </w:pPr>
    </w:p>
    <w:p w:rsidR="00973485" w:rsidRDefault="00973485">
      <w:pPr>
        <w:spacing w:after="200" w:line="276" w:lineRule="auto"/>
        <w:rPr>
          <w:rFonts w:ascii="Times New Roman" w:eastAsia="Arial Unicode MS" w:hAnsi="Times New Roman"/>
          <w:sz w:val="24"/>
          <w:szCs w:val="24"/>
        </w:rPr>
      </w:pPr>
    </w:p>
    <w:p w:rsidR="00973485" w:rsidRDefault="00973485">
      <w:pPr>
        <w:spacing w:after="200" w:line="276" w:lineRule="auto"/>
        <w:rPr>
          <w:rFonts w:ascii="Times New Roman" w:eastAsia="Arial Unicode MS" w:hAnsi="Times New Roman"/>
          <w:sz w:val="24"/>
          <w:szCs w:val="24"/>
        </w:rPr>
      </w:pPr>
    </w:p>
    <w:p w:rsidR="00973485" w:rsidRDefault="00973485">
      <w:pPr>
        <w:spacing w:after="200" w:line="276" w:lineRule="auto"/>
        <w:rPr>
          <w:rFonts w:ascii="Times New Roman" w:eastAsia="Arial Unicode MS" w:hAnsi="Times New Roman"/>
          <w:sz w:val="24"/>
          <w:szCs w:val="24"/>
        </w:rPr>
      </w:pPr>
    </w:p>
    <w:p w:rsidR="000A42D8" w:rsidRDefault="000A42D8">
      <w:pPr>
        <w:spacing w:after="200" w:line="276" w:lineRule="auto"/>
        <w:rPr>
          <w:rFonts w:ascii="Times New Roman" w:eastAsia="Arial Unicode MS"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9"/>
      </w:tblGrid>
      <w:tr w:rsidR="006B0732" w:rsidRPr="006B0732" w:rsidTr="00E6517B">
        <w:trPr>
          <w:trHeight w:val="347"/>
        </w:trPr>
        <w:tc>
          <w:tcPr>
            <w:tcW w:w="9279" w:type="dxa"/>
            <w:shd w:val="clear" w:color="auto" w:fill="92CDDC" w:themeFill="accent5" w:themeFillTint="99"/>
          </w:tcPr>
          <w:p w:rsidR="006B0732" w:rsidRPr="006B0732" w:rsidRDefault="006B0732">
            <w:pPr>
              <w:rPr>
                <w:rFonts w:ascii="Times New Roman" w:hAnsi="Times New Roman"/>
                <w:sz w:val="24"/>
                <w:szCs w:val="24"/>
              </w:rPr>
            </w:pPr>
            <w:bookmarkStart w:id="30" w:name="_Toc373430608"/>
            <w:r w:rsidRPr="006B0732">
              <w:rPr>
                <w:rFonts w:ascii="Times New Roman" w:hAnsi="Times New Roman"/>
                <w:sz w:val="24"/>
                <w:szCs w:val="24"/>
              </w:rPr>
              <w:t>Graphique 1.</w:t>
            </w:r>
            <w:r w:rsidR="00182C97" w:rsidRPr="006B0732">
              <w:rPr>
                <w:rFonts w:ascii="Times New Roman" w:hAnsi="Times New Roman"/>
                <w:sz w:val="24"/>
                <w:szCs w:val="24"/>
              </w:rPr>
              <w:fldChar w:fldCharType="begin"/>
            </w:r>
            <w:r w:rsidRPr="006B0732">
              <w:rPr>
                <w:rFonts w:ascii="Times New Roman" w:hAnsi="Times New Roman"/>
                <w:sz w:val="24"/>
                <w:szCs w:val="24"/>
              </w:rPr>
              <w:instrText xml:space="preserve"> SEQ Graphique_2. \* ARABIC </w:instrText>
            </w:r>
            <w:r w:rsidR="00182C97" w:rsidRPr="006B0732">
              <w:rPr>
                <w:rFonts w:ascii="Times New Roman" w:hAnsi="Times New Roman"/>
                <w:sz w:val="24"/>
                <w:szCs w:val="24"/>
              </w:rPr>
              <w:fldChar w:fldCharType="separate"/>
            </w:r>
            <w:r w:rsidR="00AB1967">
              <w:rPr>
                <w:rFonts w:ascii="Times New Roman" w:hAnsi="Times New Roman"/>
                <w:noProof/>
                <w:sz w:val="24"/>
                <w:szCs w:val="24"/>
              </w:rPr>
              <w:t>6</w:t>
            </w:r>
            <w:r w:rsidR="00182C97" w:rsidRPr="006B0732">
              <w:rPr>
                <w:rFonts w:ascii="Times New Roman" w:hAnsi="Times New Roman"/>
                <w:sz w:val="24"/>
                <w:szCs w:val="24"/>
              </w:rPr>
              <w:fldChar w:fldCharType="end"/>
            </w:r>
            <w:r w:rsidRPr="006B0732">
              <w:rPr>
                <w:rFonts w:ascii="Times New Roman" w:hAnsi="Times New Roman"/>
                <w:sz w:val="24"/>
                <w:szCs w:val="24"/>
              </w:rPr>
              <w:t> : Incidence de la pauvreté selon le sexe du chef de ménage</w:t>
            </w:r>
            <w:bookmarkEnd w:id="30"/>
          </w:p>
        </w:tc>
      </w:tr>
      <w:tr w:rsidR="006B0732" w:rsidTr="00E6517B">
        <w:tc>
          <w:tcPr>
            <w:tcW w:w="9279" w:type="dxa"/>
            <w:shd w:val="clear" w:color="auto" w:fill="DAEEF3" w:themeFill="accent5" w:themeFillTint="33"/>
          </w:tcPr>
          <w:p w:rsidR="006B0732" w:rsidRDefault="006B0732" w:rsidP="003E6F2A">
            <w:pPr>
              <w:spacing w:before="120" w:after="120" w:line="240" w:lineRule="auto"/>
              <w:ind w:left="-57"/>
              <w:jc w:val="center"/>
            </w:pPr>
            <w:r w:rsidRPr="006B0732">
              <w:rPr>
                <w:noProof/>
                <w:lang w:eastAsia="fr-FR"/>
              </w:rPr>
              <w:drawing>
                <wp:inline distT="0" distB="0" distL="0" distR="0" wp14:anchorId="27699637" wp14:editId="18B4954C">
                  <wp:extent cx="5757545" cy="2714625"/>
                  <wp:effectExtent l="19050" t="0" r="14605" b="0"/>
                  <wp:docPr id="36"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6B0732" w:rsidRPr="00E16B3C" w:rsidTr="00E6517B">
        <w:tc>
          <w:tcPr>
            <w:tcW w:w="9279" w:type="dxa"/>
            <w:shd w:val="clear" w:color="auto" w:fill="DAEEF3" w:themeFill="accent5" w:themeFillTint="33"/>
          </w:tcPr>
          <w:p w:rsidR="006B0732" w:rsidRPr="00E16B3C" w:rsidRDefault="006B0732" w:rsidP="003E6F2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2009 et  </w:t>
            </w:r>
            <w:r w:rsidRPr="00E16B3C">
              <w:rPr>
                <w:rFonts w:ascii="Times New Roman" w:hAnsi="Times New Roman"/>
              </w:rPr>
              <w:t>2011</w:t>
            </w:r>
          </w:p>
        </w:tc>
      </w:tr>
    </w:tbl>
    <w:p w:rsidR="006B0732" w:rsidRPr="006B0732" w:rsidRDefault="006B0732" w:rsidP="006B0732"/>
    <w:p w:rsidR="00725A37" w:rsidRDefault="008D6BA7" w:rsidP="002A6481">
      <w:pPr>
        <w:spacing w:line="276" w:lineRule="auto"/>
        <w:rPr>
          <w:rFonts w:ascii="Times New Roman" w:eastAsia="Arial Unicode MS" w:hAnsi="Times New Roman"/>
          <w:sz w:val="24"/>
          <w:szCs w:val="24"/>
        </w:rPr>
      </w:pPr>
      <w:r>
        <w:rPr>
          <w:rFonts w:ascii="Times New Roman" w:eastAsia="Arial Unicode MS" w:hAnsi="Times New Roman"/>
          <w:sz w:val="24"/>
          <w:szCs w:val="24"/>
        </w:rPr>
        <w:t>En effet, pour 201</w:t>
      </w:r>
      <w:r w:rsidR="00424A2A">
        <w:rPr>
          <w:rFonts w:ascii="Times New Roman" w:eastAsia="Arial Unicode MS" w:hAnsi="Times New Roman"/>
          <w:sz w:val="24"/>
          <w:szCs w:val="24"/>
        </w:rPr>
        <w:t xml:space="preserve">1, par rapport à la situation matrimoniale, 38,9% des femmes chef de ménages sont soit des </w:t>
      </w:r>
      <w:r w:rsidR="00375EFD">
        <w:rPr>
          <w:rFonts w:ascii="Times New Roman" w:eastAsia="Arial Unicode MS" w:hAnsi="Times New Roman"/>
          <w:sz w:val="24"/>
          <w:szCs w:val="24"/>
        </w:rPr>
        <w:t xml:space="preserve">mariées, </w:t>
      </w:r>
      <w:r w:rsidR="00424A2A">
        <w:rPr>
          <w:rFonts w:ascii="Times New Roman" w:eastAsia="Arial Unicode MS" w:hAnsi="Times New Roman"/>
          <w:sz w:val="24"/>
          <w:szCs w:val="24"/>
        </w:rPr>
        <w:t>veuves (40,3%), divorcées ou séparées (18,08%) ou en union libre (3,76%).</w:t>
      </w:r>
      <w:r w:rsidR="00051968">
        <w:rPr>
          <w:rFonts w:ascii="Times New Roman" w:eastAsia="Arial Unicode MS" w:hAnsi="Times New Roman"/>
          <w:sz w:val="24"/>
          <w:szCs w:val="24"/>
        </w:rPr>
        <w:t xml:space="preserve">Le tableau </w:t>
      </w:r>
      <w:r w:rsidR="00C2063C">
        <w:rPr>
          <w:rFonts w:ascii="Times New Roman" w:eastAsia="Arial Unicode MS" w:hAnsi="Times New Roman"/>
          <w:sz w:val="24"/>
          <w:szCs w:val="24"/>
        </w:rPr>
        <w:t>ci-dessus semble montrer que les ménages dirigés par les veuves et celles qui sont mariés sont plus vulnérables à la pauvreté</w:t>
      </w:r>
      <w:r w:rsidR="00AA6942">
        <w:rPr>
          <w:rStyle w:val="Appelnotedebasdep"/>
          <w:rFonts w:ascii="Times New Roman" w:eastAsia="Arial Unicode MS" w:hAnsi="Times New Roman"/>
          <w:sz w:val="24"/>
          <w:szCs w:val="24"/>
        </w:rPr>
        <w:footnoteReference w:id="23"/>
      </w:r>
      <w:r w:rsidR="00C2063C">
        <w:rPr>
          <w:rFonts w:ascii="Times New Roman" w:eastAsia="Arial Unicode MS" w:hAnsi="Times New Roman"/>
          <w:sz w:val="24"/>
          <w:szCs w:val="24"/>
        </w:rPr>
        <w:t>. Cette situation pourrait s’expliquer par le fait que la perte d’un membre économiquement actif, peut conduire à bouleverser la situation financière du ménage qui risque de se retrouver en état de pauvreté</w:t>
      </w:r>
      <w:r w:rsidR="00725A37">
        <w:rPr>
          <w:rFonts w:ascii="Times New Roman" w:eastAsia="Arial Unicode MS" w:hAnsi="Times New Roman"/>
          <w:sz w:val="24"/>
          <w:szCs w:val="24"/>
        </w:rPr>
        <w:t xml:space="preserve">. Pour les femmes mariées, il peut s’agir par exemple de l’inactivité ou de l’absence du conjoint. </w:t>
      </w:r>
    </w:p>
    <w:p w:rsidR="002A6481" w:rsidRDefault="002A6481" w:rsidP="002A6481">
      <w:pPr>
        <w:spacing w:line="276" w:lineRule="auto"/>
        <w:rPr>
          <w:rFonts w:ascii="Times New Roman" w:eastAsia="Arial Unicode MS" w:hAnsi="Times New Roman"/>
          <w:sz w:val="24"/>
          <w:szCs w:val="24"/>
        </w:rPr>
      </w:pPr>
    </w:p>
    <w:tbl>
      <w:tblPr>
        <w:tblStyle w:val="Grilledutableau"/>
        <w:tblW w:w="0" w:type="auto"/>
        <w:tblInd w:w="108" w:type="dxa"/>
        <w:tblLook w:val="04A0" w:firstRow="1" w:lastRow="0" w:firstColumn="1" w:lastColumn="0" w:noHBand="0" w:noVBand="1"/>
      </w:tblPr>
      <w:tblGrid>
        <w:gridCol w:w="9178"/>
      </w:tblGrid>
      <w:tr w:rsidR="00AD7BC1" w:rsidRPr="00757E9E" w:rsidTr="00AD7BC1">
        <w:tc>
          <w:tcPr>
            <w:tcW w:w="9178" w:type="dxa"/>
            <w:tcBorders>
              <w:top w:val="nil"/>
              <w:left w:val="nil"/>
              <w:bottom w:val="double" w:sz="4" w:space="0" w:color="auto"/>
              <w:right w:val="nil"/>
            </w:tcBorders>
            <w:shd w:val="clear" w:color="auto" w:fill="92CDDC" w:themeFill="accent5" w:themeFillTint="99"/>
          </w:tcPr>
          <w:p w:rsidR="00AD7BC1" w:rsidRPr="00757E9E" w:rsidRDefault="002A6481" w:rsidP="00D60CFD">
            <w:pPr>
              <w:pStyle w:val="Lgende"/>
              <w:framePr w:wrap="around"/>
              <w:rPr>
                <w:rFonts w:eastAsia="Arial Unicode MS"/>
              </w:rPr>
            </w:pPr>
            <w:bookmarkStart w:id="31" w:name="_Toc369712330"/>
            <w:bookmarkStart w:id="32" w:name="_Toc369712417"/>
            <w:bookmarkStart w:id="33" w:name="_Toc369719855"/>
            <w:r w:rsidRPr="00757E9E">
              <w:t xml:space="preserve">Tableau 1. </w:t>
            </w:r>
            <w:r w:rsidR="004F064D">
              <w:fldChar w:fldCharType="begin"/>
            </w:r>
            <w:r w:rsidR="004F064D">
              <w:instrText xml:space="preserve"> SEQ Tableau_1. \* ARABIC </w:instrText>
            </w:r>
            <w:r w:rsidR="004F064D">
              <w:fldChar w:fldCharType="separate"/>
            </w:r>
            <w:r w:rsidR="00AB1967">
              <w:rPr>
                <w:noProof/>
              </w:rPr>
              <w:t>1</w:t>
            </w:r>
            <w:r w:rsidR="004F064D">
              <w:rPr>
                <w:noProof/>
              </w:rPr>
              <w:fldChar w:fldCharType="end"/>
            </w:r>
            <w:r w:rsidR="00832112" w:rsidRPr="00832112">
              <w:rPr>
                <w:rFonts w:eastAsia="Arial Unicode MS"/>
              </w:rPr>
              <w:t>: Répartition des ménages en pourcentage suivant la pauvreté monétaire selon le sexe et la situation matrimoniale</w:t>
            </w:r>
            <w:bookmarkEnd w:id="31"/>
            <w:bookmarkEnd w:id="32"/>
            <w:bookmarkEnd w:id="33"/>
          </w:p>
        </w:tc>
      </w:tr>
    </w:tbl>
    <w:tbl>
      <w:tblPr>
        <w:tblStyle w:val="Grilledutableau"/>
        <w:tblW w:w="0" w:type="auto"/>
        <w:tblInd w:w="108" w:type="dxa"/>
        <w:tblLook w:val="04A0" w:firstRow="1" w:lastRow="0" w:firstColumn="1" w:lastColumn="0" w:noHBand="0" w:noVBand="1"/>
      </w:tblPr>
      <w:tblGrid>
        <w:gridCol w:w="2987"/>
        <w:gridCol w:w="3095"/>
        <w:gridCol w:w="3096"/>
      </w:tblGrid>
      <w:tr w:rsidR="00B706AB" w:rsidRPr="00AD7BC1" w:rsidTr="00AD7BC1">
        <w:tc>
          <w:tcPr>
            <w:tcW w:w="2987" w:type="dxa"/>
            <w:tcBorders>
              <w:top w:val="double" w:sz="4" w:space="0" w:color="auto"/>
              <w:left w:val="nil"/>
              <w:bottom w:val="nil"/>
              <w:right w:val="nil"/>
            </w:tcBorders>
            <w:shd w:val="clear" w:color="auto" w:fill="DAEEF3" w:themeFill="accent5" w:themeFillTint="33"/>
          </w:tcPr>
          <w:p w:rsidR="00B706AB" w:rsidRPr="00AD7BC1" w:rsidRDefault="00B706AB" w:rsidP="00236EDA">
            <w:pPr>
              <w:spacing w:line="276" w:lineRule="auto"/>
              <w:rPr>
                <w:rFonts w:ascii="Times New Roman" w:eastAsia="Arial Unicode MS" w:hAnsi="Times New Roman"/>
                <w:sz w:val="24"/>
                <w:szCs w:val="24"/>
              </w:rPr>
            </w:pPr>
          </w:p>
        </w:tc>
        <w:tc>
          <w:tcPr>
            <w:tcW w:w="6191" w:type="dxa"/>
            <w:gridSpan w:val="2"/>
            <w:tcBorders>
              <w:top w:val="double" w:sz="4" w:space="0" w:color="auto"/>
              <w:left w:val="nil"/>
              <w:bottom w:val="single" w:sz="4" w:space="0" w:color="000000"/>
              <w:right w:val="nil"/>
            </w:tcBorders>
            <w:shd w:val="clear" w:color="auto" w:fill="DAEEF3" w:themeFill="accent5" w:themeFillTint="33"/>
          </w:tcPr>
          <w:p w:rsidR="00B706AB" w:rsidRPr="00AD7BC1" w:rsidRDefault="00B706AB" w:rsidP="00236EDA">
            <w:pPr>
              <w:spacing w:line="276" w:lineRule="auto"/>
              <w:jc w:val="center"/>
              <w:rPr>
                <w:rFonts w:ascii="Times New Roman" w:eastAsia="Arial Unicode MS" w:hAnsi="Times New Roman"/>
                <w:sz w:val="24"/>
                <w:szCs w:val="24"/>
                <w:lang w:val="en-US"/>
              </w:rPr>
            </w:pPr>
            <w:r w:rsidRPr="00AD7BC1">
              <w:rPr>
                <w:rFonts w:ascii="Times New Roman" w:eastAsia="Arial Unicode MS" w:hAnsi="Times New Roman"/>
                <w:sz w:val="24"/>
                <w:szCs w:val="24"/>
                <w:lang w:val="en-US"/>
              </w:rPr>
              <w:t>Incidence de la pauvreté</w:t>
            </w:r>
          </w:p>
        </w:tc>
      </w:tr>
      <w:tr w:rsidR="00B706AB" w:rsidRPr="00AD7BC1" w:rsidTr="00AD7BC1">
        <w:tc>
          <w:tcPr>
            <w:tcW w:w="2987" w:type="dxa"/>
            <w:tcBorders>
              <w:top w:val="nil"/>
              <w:left w:val="nil"/>
              <w:bottom w:val="single" w:sz="4" w:space="0" w:color="000000"/>
              <w:right w:val="nil"/>
            </w:tcBorders>
            <w:shd w:val="clear" w:color="auto" w:fill="DAEEF3" w:themeFill="accent5" w:themeFillTint="33"/>
          </w:tcPr>
          <w:p w:rsidR="00B706AB" w:rsidRPr="00AD7BC1" w:rsidRDefault="00B706AB" w:rsidP="00236EDA">
            <w:pPr>
              <w:spacing w:line="276" w:lineRule="auto"/>
              <w:rPr>
                <w:rFonts w:ascii="Times New Roman" w:eastAsia="Arial Unicode MS" w:hAnsi="Times New Roman"/>
                <w:sz w:val="24"/>
                <w:szCs w:val="24"/>
                <w:lang w:val="en-US"/>
              </w:rPr>
            </w:pPr>
          </w:p>
        </w:tc>
        <w:tc>
          <w:tcPr>
            <w:tcW w:w="3095" w:type="dxa"/>
            <w:tcBorders>
              <w:top w:val="single" w:sz="4" w:space="0" w:color="000000"/>
              <w:left w:val="nil"/>
              <w:bottom w:val="single" w:sz="4" w:space="0" w:color="000000"/>
              <w:right w:val="nil"/>
            </w:tcBorders>
            <w:shd w:val="clear" w:color="auto" w:fill="DAEEF3" w:themeFill="accent5" w:themeFillTint="33"/>
          </w:tcPr>
          <w:p w:rsidR="00B706AB" w:rsidRPr="00AD7BC1" w:rsidRDefault="00B706AB" w:rsidP="00236EDA">
            <w:pPr>
              <w:spacing w:line="276" w:lineRule="auto"/>
              <w:jc w:val="center"/>
              <w:rPr>
                <w:rFonts w:ascii="Times New Roman" w:eastAsia="Arial Unicode MS" w:hAnsi="Times New Roman"/>
                <w:sz w:val="24"/>
                <w:szCs w:val="24"/>
                <w:lang w:val="en-US"/>
              </w:rPr>
            </w:pPr>
            <w:r w:rsidRPr="00AD7BC1">
              <w:rPr>
                <w:rFonts w:ascii="Times New Roman" w:eastAsia="Arial Unicode MS" w:hAnsi="Times New Roman"/>
                <w:sz w:val="24"/>
                <w:szCs w:val="24"/>
                <w:lang w:val="en-US"/>
              </w:rPr>
              <w:t>Homme</w:t>
            </w:r>
          </w:p>
        </w:tc>
        <w:tc>
          <w:tcPr>
            <w:tcW w:w="3096" w:type="dxa"/>
            <w:tcBorders>
              <w:top w:val="single" w:sz="4" w:space="0" w:color="000000"/>
              <w:left w:val="nil"/>
              <w:bottom w:val="single" w:sz="4" w:space="0" w:color="000000"/>
              <w:right w:val="nil"/>
            </w:tcBorders>
            <w:shd w:val="clear" w:color="auto" w:fill="DAEEF3" w:themeFill="accent5" w:themeFillTint="33"/>
          </w:tcPr>
          <w:p w:rsidR="00B706AB" w:rsidRPr="00AD7BC1" w:rsidRDefault="00B706AB" w:rsidP="00236EDA">
            <w:pPr>
              <w:spacing w:line="276" w:lineRule="auto"/>
              <w:jc w:val="center"/>
              <w:rPr>
                <w:rFonts w:ascii="Times New Roman" w:eastAsia="Arial Unicode MS" w:hAnsi="Times New Roman"/>
                <w:sz w:val="24"/>
                <w:szCs w:val="24"/>
                <w:lang w:val="en-US"/>
              </w:rPr>
            </w:pPr>
            <w:r w:rsidRPr="00AD7BC1">
              <w:rPr>
                <w:rFonts w:ascii="Times New Roman" w:eastAsia="Arial Unicode MS" w:hAnsi="Times New Roman"/>
                <w:sz w:val="24"/>
                <w:szCs w:val="24"/>
                <w:lang w:val="en-US"/>
              </w:rPr>
              <w:t>Femme</w:t>
            </w:r>
          </w:p>
        </w:tc>
      </w:tr>
      <w:tr w:rsidR="00B706AB" w:rsidRPr="00B00C17" w:rsidTr="00AD7BC1">
        <w:tc>
          <w:tcPr>
            <w:tcW w:w="2987" w:type="dxa"/>
            <w:tcBorders>
              <w:top w:val="single" w:sz="4" w:space="0" w:color="000000"/>
              <w:left w:val="nil"/>
              <w:bottom w:val="nil"/>
              <w:right w:val="nil"/>
            </w:tcBorders>
            <w:shd w:val="clear" w:color="auto" w:fill="DAEEF3" w:themeFill="accent5" w:themeFillTint="33"/>
          </w:tcPr>
          <w:p w:rsidR="00B706AB" w:rsidRPr="00B00C17" w:rsidRDefault="00B706AB" w:rsidP="00051968">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Marié</w:t>
            </w:r>
          </w:p>
        </w:tc>
        <w:tc>
          <w:tcPr>
            <w:tcW w:w="3095" w:type="dxa"/>
            <w:tcBorders>
              <w:top w:val="single" w:sz="4" w:space="0" w:color="000000"/>
              <w:left w:val="nil"/>
              <w:bottom w:val="nil"/>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39,06</w:t>
            </w:r>
          </w:p>
        </w:tc>
        <w:tc>
          <w:tcPr>
            <w:tcW w:w="3096" w:type="dxa"/>
            <w:tcBorders>
              <w:top w:val="single" w:sz="4" w:space="0" w:color="000000"/>
              <w:left w:val="nil"/>
              <w:bottom w:val="nil"/>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28,23</w:t>
            </w:r>
          </w:p>
        </w:tc>
      </w:tr>
      <w:tr w:rsidR="00B706AB" w:rsidRPr="00B00C17" w:rsidTr="00AD7BC1">
        <w:tc>
          <w:tcPr>
            <w:tcW w:w="2987" w:type="dxa"/>
            <w:tcBorders>
              <w:top w:val="nil"/>
              <w:left w:val="nil"/>
              <w:bottom w:val="nil"/>
              <w:right w:val="nil"/>
            </w:tcBorders>
            <w:shd w:val="clear" w:color="auto" w:fill="DAEEF3" w:themeFill="accent5" w:themeFillTint="33"/>
          </w:tcPr>
          <w:p w:rsidR="00B706AB" w:rsidRPr="00B00C17" w:rsidRDefault="00B706AB" w:rsidP="00236EDA">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Divorcé-séparé</w:t>
            </w:r>
          </w:p>
        </w:tc>
        <w:tc>
          <w:tcPr>
            <w:tcW w:w="3095" w:type="dxa"/>
            <w:tcBorders>
              <w:top w:val="nil"/>
              <w:left w:val="nil"/>
              <w:bottom w:val="nil"/>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14,82</w:t>
            </w:r>
          </w:p>
        </w:tc>
        <w:tc>
          <w:tcPr>
            <w:tcW w:w="3096" w:type="dxa"/>
            <w:tcBorders>
              <w:top w:val="nil"/>
              <w:left w:val="nil"/>
              <w:bottom w:val="nil"/>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23,03</w:t>
            </w:r>
          </w:p>
        </w:tc>
      </w:tr>
      <w:tr w:rsidR="00B706AB" w:rsidRPr="00B00C17" w:rsidTr="00AD7BC1">
        <w:tc>
          <w:tcPr>
            <w:tcW w:w="2987" w:type="dxa"/>
            <w:tcBorders>
              <w:top w:val="nil"/>
              <w:left w:val="nil"/>
              <w:bottom w:val="nil"/>
              <w:right w:val="nil"/>
            </w:tcBorders>
            <w:shd w:val="clear" w:color="auto" w:fill="DAEEF3" w:themeFill="accent5" w:themeFillTint="33"/>
          </w:tcPr>
          <w:p w:rsidR="00B706AB" w:rsidRPr="00B00C17" w:rsidRDefault="00B706AB" w:rsidP="00236EDA">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Veuf</w:t>
            </w:r>
          </w:p>
        </w:tc>
        <w:tc>
          <w:tcPr>
            <w:tcW w:w="3095" w:type="dxa"/>
            <w:tcBorders>
              <w:top w:val="nil"/>
              <w:left w:val="nil"/>
              <w:bottom w:val="nil"/>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21,44</w:t>
            </w:r>
          </w:p>
        </w:tc>
        <w:tc>
          <w:tcPr>
            <w:tcW w:w="3096" w:type="dxa"/>
            <w:tcBorders>
              <w:top w:val="nil"/>
              <w:left w:val="nil"/>
              <w:bottom w:val="nil"/>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30,07</w:t>
            </w:r>
          </w:p>
        </w:tc>
      </w:tr>
      <w:tr w:rsidR="00B706AB" w:rsidRPr="00B00C17" w:rsidTr="00AD7BC1">
        <w:tc>
          <w:tcPr>
            <w:tcW w:w="2987" w:type="dxa"/>
            <w:tcBorders>
              <w:top w:val="nil"/>
              <w:left w:val="nil"/>
              <w:bottom w:val="single" w:sz="4" w:space="0" w:color="000000"/>
              <w:right w:val="nil"/>
            </w:tcBorders>
            <w:shd w:val="clear" w:color="auto" w:fill="DAEEF3" w:themeFill="accent5" w:themeFillTint="33"/>
          </w:tcPr>
          <w:p w:rsidR="00B706AB" w:rsidRPr="00B00C17" w:rsidRDefault="00B706AB" w:rsidP="00236EDA">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Jamais</w:t>
            </w:r>
            <w:r w:rsidR="003A297F">
              <w:rPr>
                <w:rFonts w:ascii="Times New Roman" w:eastAsia="Arial Unicode MS" w:hAnsi="Times New Roman"/>
                <w:sz w:val="24"/>
                <w:szCs w:val="24"/>
                <w:lang w:val="en-US"/>
              </w:rPr>
              <w:t xml:space="preserve"> </w:t>
            </w:r>
            <w:r>
              <w:rPr>
                <w:rFonts w:ascii="Times New Roman" w:eastAsia="Arial Unicode MS" w:hAnsi="Times New Roman"/>
                <w:sz w:val="24"/>
                <w:szCs w:val="24"/>
                <w:lang w:val="en-US"/>
              </w:rPr>
              <w:t>marié</w:t>
            </w:r>
          </w:p>
        </w:tc>
        <w:tc>
          <w:tcPr>
            <w:tcW w:w="3095" w:type="dxa"/>
            <w:tcBorders>
              <w:top w:val="nil"/>
              <w:left w:val="nil"/>
              <w:bottom w:val="single" w:sz="4" w:space="0" w:color="000000"/>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11,66</w:t>
            </w:r>
          </w:p>
        </w:tc>
        <w:tc>
          <w:tcPr>
            <w:tcW w:w="3096" w:type="dxa"/>
            <w:tcBorders>
              <w:top w:val="nil"/>
              <w:left w:val="nil"/>
              <w:bottom w:val="single" w:sz="4" w:space="0" w:color="000000"/>
              <w:right w:val="nil"/>
            </w:tcBorders>
            <w:shd w:val="clear" w:color="auto" w:fill="DAEEF3" w:themeFill="accent5" w:themeFillTint="33"/>
          </w:tcPr>
          <w:p w:rsidR="00B706AB" w:rsidRDefault="00051968" w:rsidP="00236EDA">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9,13</w:t>
            </w:r>
          </w:p>
        </w:tc>
      </w:tr>
      <w:tr w:rsidR="00B706AB" w:rsidRPr="00B00C17" w:rsidTr="00AD7BC1">
        <w:tc>
          <w:tcPr>
            <w:tcW w:w="2987" w:type="dxa"/>
            <w:tcBorders>
              <w:top w:val="single" w:sz="4" w:space="0" w:color="000000"/>
              <w:left w:val="nil"/>
              <w:bottom w:val="double" w:sz="4" w:space="0" w:color="auto"/>
              <w:right w:val="nil"/>
            </w:tcBorders>
            <w:shd w:val="clear" w:color="auto" w:fill="DAEEF3" w:themeFill="accent5" w:themeFillTint="33"/>
          </w:tcPr>
          <w:p w:rsidR="00B706AB" w:rsidRPr="00B00C17" w:rsidRDefault="00B706AB" w:rsidP="00236EDA">
            <w:pPr>
              <w:spacing w:line="276" w:lineRule="auto"/>
              <w:rPr>
                <w:rFonts w:ascii="Times New Roman" w:eastAsia="Arial Unicode MS" w:hAnsi="Times New Roman"/>
                <w:b/>
                <w:sz w:val="24"/>
                <w:szCs w:val="24"/>
                <w:lang w:val="en-US"/>
              </w:rPr>
            </w:pPr>
            <w:r w:rsidRPr="007C60BC">
              <w:rPr>
                <w:rFonts w:ascii="Times New Roman" w:eastAsia="Arial Unicode MS" w:hAnsi="Times New Roman"/>
                <w:b/>
                <w:sz w:val="24"/>
                <w:szCs w:val="24"/>
                <w:lang w:val="en-US"/>
              </w:rPr>
              <w:t>Ensemble</w:t>
            </w:r>
          </w:p>
        </w:tc>
        <w:tc>
          <w:tcPr>
            <w:tcW w:w="3095" w:type="dxa"/>
            <w:tcBorders>
              <w:top w:val="single" w:sz="4" w:space="0" w:color="000000"/>
              <w:left w:val="nil"/>
              <w:bottom w:val="double" w:sz="4" w:space="0" w:color="auto"/>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b/>
                <w:sz w:val="24"/>
                <w:szCs w:val="24"/>
                <w:lang w:val="en-US"/>
              </w:rPr>
            </w:pPr>
            <w:r w:rsidRPr="007C60BC">
              <w:rPr>
                <w:rFonts w:ascii="Times New Roman" w:eastAsia="Arial Unicode MS" w:hAnsi="Times New Roman"/>
                <w:b/>
                <w:sz w:val="24"/>
                <w:szCs w:val="24"/>
                <w:lang w:val="en-US"/>
              </w:rPr>
              <w:t>38,0</w:t>
            </w:r>
          </w:p>
        </w:tc>
        <w:tc>
          <w:tcPr>
            <w:tcW w:w="3096" w:type="dxa"/>
            <w:tcBorders>
              <w:top w:val="single" w:sz="4" w:space="0" w:color="000000"/>
              <w:left w:val="nil"/>
              <w:bottom w:val="double" w:sz="4" w:space="0" w:color="auto"/>
              <w:right w:val="nil"/>
            </w:tcBorders>
            <w:shd w:val="clear" w:color="auto" w:fill="DAEEF3" w:themeFill="accent5" w:themeFillTint="33"/>
          </w:tcPr>
          <w:p w:rsidR="00B706AB" w:rsidRDefault="00B706AB" w:rsidP="00236EDA">
            <w:pPr>
              <w:spacing w:line="276" w:lineRule="auto"/>
              <w:jc w:val="center"/>
              <w:rPr>
                <w:rFonts w:ascii="Times New Roman" w:eastAsia="Arial Unicode MS" w:hAnsi="Times New Roman"/>
                <w:b/>
                <w:sz w:val="24"/>
                <w:szCs w:val="24"/>
                <w:lang w:val="en-US"/>
              </w:rPr>
            </w:pPr>
            <w:r w:rsidRPr="007C60BC">
              <w:rPr>
                <w:rFonts w:ascii="Times New Roman" w:eastAsia="Arial Unicode MS" w:hAnsi="Times New Roman"/>
                <w:b/>
                <w:sz w:val="24"/>
                <w:szCs w:val="24"/>
                <w:lang w:val="en-US"/>
              </w:rPr>
              <w:t>27,6</w:t>
            </w:r>
          </w:p>
        </w:tc>
      </w:tr>
      <w:tr w:rsidR="00AD7BC1" w:rsidRPr="00AD7BC1" w:rsidTr="00EF2AF6">
        <w:tc>
          <w:tcPr>
            <w:tcW w:w="9178" w:type="dxa"/>
            <w:gridSpan w:val="3"/>
            <w:tcBorders>
              <w:top w:val="double" w:sz="4" w:space="0" w:color="auto"/>
              <w:left w:val="nil"/>
              <w:bottom w:val="nil"/>
              <w:right w:val="nil"/>
            </w:tcBorders>
            <w:shd w:val="clear" w:color="auto" w:fill="DAEEF3" w:themeFill="accent5" w:themeFillTint="33"/>
          </w:tcPr>
          <w:p w:rsidR="00AD7BC1" w:rsidRPr="00AD7BC1" w:rsidRDefault="00AD7BC1" w:rsidP="00AD7BC1">
            <w:pPr>
              <w:spacing w:line="276" w:lineRule="auto"/>
              <w:rPr>
                <w:rFonts w:ascii="Times New Roman" w:eastAsia="Arial Unicode MS" w:hAnsi="Times New Roman"/>
                <w:sz w:val="20"/>
                <w:szCs w:val="20"/>
              </w:rPr>
            </w:pPr>
            <w:r w:rsidRPr="00AD7BC1">
              <w:rPr>
                <w:rFonts w:ascii="Times New Roman" w:eastAsia="Arial Unicode MS" w:hAnsi="Times New Roman"/>
                <w:sz w:val="20"/>
                <w:szCs w:val="20"/>
              </w:rPr>
              <w:t>Source : INSAE, EMICoV, 2011</w:t>
            </w:r>
          </w:p>
        </w:tc>
      </w:tr>
    </w:tbl>
    <w:p w:rsidR="00AD7BC1" w:rsidRDefault="00AD7BC1" w:rsidP="00424A2A">
      <w:pPr>
        <w:spacing w:after="200" w:line="276" w:lineRule="auto"/>
        <w:rPr>
          <w:rFonts w:ascii="Times New Roman" w:eastAsia="Arial Unicode MS" w:hAnsi="Times New Roman"/>
          <w:sz w:val="24"/>
          <w:szCs w:val="24"/>
        </w:rPr>
      </w:pPr>
    </w:p>
    <w:p w:rsidR="00424A2A" w:rsidRDefault="00424A2A" w:rsidP="00EF2AF6">
      <w:pPr>
        <w:spacing w:line="276" w:lineRule="auto"/>
        <w:rPr>
          <w:rFonts w:ascii="Times New Roman" w:eastAsia="Arial Unicode MS" w:hAnsi="Times New Roman"/>
          <w:sz w:val="24"/>
          <w:szCs w:val="24"/>
        </w:rPr>
      </w:pPr>
      <w:r>
        <w:rPr>
          <w:rFonts w:ascii="Times New Roman" w:eastAsia="Arial Unicode MS" w:hAnsi="Times New Roman"/>
          <w:sz w:val="24"/>
          <w:szCs w:val="24"/>
        </w:rPr>
        <w:t xml:space="preserve">La taille de leur ménage d’environ un peu moins </w:t>
      </w:r>
      <w:r w:rsidR="003A297F">
        <w:rPr>
          <w:rFonts w:ascii="Times New Roman" w:eastAsia="Arial Unicode MS" w:hAnsi="Times New Roman"/>
          <w:sz w:val="24"/>
          <w:szCs w:val="24"/>
        </w:rPr>
        <w:t xml:space="preserve">de la moitié </w:t>
      </w:r>
      <w:r>
        <w:rPr>
          <w:rFonts w:ascii="Times New Roman" w:eastAsia="Arial Unicode MS" w:hAnsi="Times New Roman"/>
          <w:sz w:val="24"/>
          <w:szCs w:val="24"/>
        </w:rPr>
        <w:t>de celle des ménages dirigés par les hommes</w:t>
      </w:r>
      <w:r>
        <w:rPr>
          <w:rStyle w:val="Appelnotedebasdep"/>
          <w:rFonts w:ascii="Times New Roman" w:eastAsia="Arial Unicode MS" w:hAnsi="Times New Roman"/>
          <w:sz w:val="24"/>
          <w:szCs w:val="24"/>
        </w:rPr>
        <w:footnoteReference w:id="24"/>
      </w:r>
      <w:r w:rsidR="00FA6659">
        <w:rPr>
          <w:rFonts w:ascii="Times New Roman" w:eastAsia="Arial Unicode MS" w:hAnsi="Times New Roman"/>
          <w:sz w:val="24"/>
          <w:szCs w:val="24"/>
        </w:rPr>
        <w:t>. Le tableau suivant montre qu</w:t>
      </w:r>
      <w:r w:rsidR="00E478B7">
        <w:rPr>
          <w:rFonts w:ascii="Times New Roman" w:eastAsia="Arial Unicode MS" w:hAnsi="Times New Roman"/>
          <w:sz w:val="24"/>
          <w:szCs w:val="24"/>
        </w:rPr>
        <w:t xml:space="preserve">e </w:t>
      </w:r>
      <w:r w:rsidR="00B23D9B">
        <w:rPr>
          <w:rFonts w:ascii="Times New Roman" w:eastAsia="Arial Unicode MS" w:hAnsi="Times New Roman"/>
          <w:sz w:val="24"/>
          <w:szCs w:val="24"/>
        </w:rPr>
        <w:t>la composition du ménage</w:t>
      </w:r>
      <w:r w:rsidR="00FA6659">
        <w:rPr>
          <w:rFonts w:ascii="Times New Roman" w:eastAsia="Arial Unicode MS" w:hAnsi="Times New Roman"/>
          <w:sz w:val="24"/>
          <w:szCs w:val="24"/>
        </w:rPr>
        <w:t xml:space="preserve"> constitue un facteur </w:t>
      </w:r>
      <w:r w:rsidR="00863A4F">
        <w:rPr>
          <w:rFonts w:ascii="Times New Roman" w:eastAsia="Arial Unicode MS" w:hAnsi="Times New Roman"/>
          <w:sz w:val="24"/>
          <w:szCs w:val="24"/>
        </w:rPr>
        <w:t>de vulnérabilité à la pauvreté aussi bien pour les ménages dirigés par les hommes que ceux dirigés par les femmes. En effet, l</w:t>
      </w:r>
      <w:r w:rsidR="00FA6659">
        <w:rPr>
          <w:rFonts w:ascii="Times New Roman" w:eastAsia="Arial Unicode MS" w:hAnsi="Times New Roman"/>
          <w:sz w:val="24"/>
          <w:szCs w:val="24"/>
        </w:rPr>
        <w:t>a r</w:t>
      </w:r>
      <w:r w:rsidR="00FA6659" w:rsidRPr="00B00C17">
        <w:rPr>
          <w:rFonts w:ascii="Times New Roman" w:eastAsia="Arial Unicode MS" w:hAnsi="Times New Roman"/>
          <w:sz w:val="24"/>
          <w:szCs w:val="24"/>
        </w:rPr>
        <w:t>épartition des ménages en pourcentage suivant la pauvreté monétaire selon le sexe et la taille du ménage</w:t>
      </w:r>
      <w:r w:rsidR="00FA6659">
        <w:rPr>
          <w:rFonts w:ascii="Times New Roman" w:eastAsia="Arial Unicode MS" w:hAnsi="Times New Roman"/>
          <w:sz w:val="24"/>
          <w:szCs w:val="24"/>
        </w:rPr>
        <w:t xml:space="preserve"> montre </w:t>
      </w:r>
      <w:r w:rsidR="00941485">
        <w:rPr>
          <w:rFonts w:ascii="Times New Roman" w:eastAsia="Arial Unicode MS" w:hAnsi="Times New Roman"/>
          <w:sz w:val="24"/>
          <w:szCs w:val="24"/>
        </w:rPr>
        <w:t xml:space="preserve">pour </w:t>
      </w:r>
      <w:r w:rsidR="00FA6659">
        <w:rPr>
          <w:rFonts w:ascii="Times New Roman" w:eastAsia="Arial Unicode MS" w:hAnsi="Times New Roman"/>
          <w:sz w:val="24"/>
          <w:szCs w:val="24"/>
        </w:rPr>
        <w:t>que les tailles inférieures à huit personnes, les ménages dirigés par les femmes sont plus vulnérables à la pauvreté que ceux dirigés par les hommes.</w:t>
      </w:r>
      <w:r w:rsidR="003A297F">
        <w:rPr>
          <w:rFonts w:ascii="Times New Roman" w:eastAsia="Arial Unicode MS" w:hAnsi="Times New Roman"/>
          <w:sz w:val="24"/>
          <w:szCs w:val="24"/>
        </w:rPr>
        <w:t xml:space="preserve"> </w:t>
      </w:r>
      <w:r w:rsidR="00FA6659">
        <w:rPr>
          <w:rFonts w:ascii="Times New Roman" w:eastAsia="Arial Unicode MS" w:hAnsi="Times New Roman"/>
          <w:sz w:val="24"/>
          <w:szCs w:val="24"/>
        </w:rPr>
        <w:t>La situation inverse est notée pour les ménages d’au moins huit personnes</w:t>
      </w:r>
      <w:r w:rsidR="00ED4F34">
        <w:rPr>
          <w:rStyle w:val="Appelnotedebasdep"/>
          <w:rFonts w:ascii="Times New Roman" w:eastAsia="Arial Unicode MS" w:hAnsi="Times New Roman"/>
          <w:sz w:val="24"/>
          <w:szCs w:val="24"/>
        </w:rPr>
        <w:footnoteReference w:id="25"/>
      </w:r>
      <w:r w:rsidR="00FA6659">
        <w:rPr>
          <w:rFonts w:ascii="Times New Roman" w:eastAsia="Arial Unicode MS" w:hAnsi="Times New Roman"/>
          <w:sz w:val="24"/>
          <w:szCs w:val="24"/>
        </w:rPr>
        <w:t>.</w:t>
      </w:r>
      <w:r w:rsidR="008068E8">
        <w:rPr>
          <w:rFonts w:ascii="Times New Roman" w:eastAsia="Arial Unicode MS" w:hAnsi="Times New Roman"/>
          <w:sz w:val="24"/>
          <w:szCs w:val="24"/>
        </w:rPr>
        <w:t xml:space="preserve">Comparé aux ménages dirigés par les hommes, </w:t>
      </w:r>
      <w:r w:rsidR="00894C27">
        <w:rPr>
          <w:rFonts w:ascii="Times New Roman" w:eastAsia="Arial Unicode MS" w:hAnsi="Times New Roman"/>
          <w:sz w:val="24"/>
          <w:szCs w:val="24"/>
        </w:rPr>
        <w:t>cette tendance</w:t>
      </w:r>
      <w:r w:rsidR="008068E8">
        <w:rPr>
          <w:rFonts w:ascii="Times New Roman" w:eastAsia="Arial Unicode MS" w:hAnsi="Times New Roman"/>
          <w:sz w:val="24"/>
          <w:szCs w:val="24"/>
        </w:rPr>
        <w:t xml:space="preserve"> pourrait s’expliquer par le fait les ménages dirigés par les femmes sont relativement de petite taille (environ 69% de moins de 4 personnes contre 42% pour les ménages dirigés par les hommes).</w:t>
      </w:r>
    </w:p>
    <w:p w:rsidR="00AD7BC1" w:rsidRDefault="00AD7BC1" w:rsidP="009D13EE">
      <w:pPr>
        <w:spacing w:line="276" w:lineRule="auto"/>
        <w:rPr>
          <w:rFonts w:ascii="Times New Roman" w:eastAsia="Arial Unicode MS" w:hAnsi="Times New Roman"/>
          <w:sz w:val="24"/>
          <w:szCs w:val="24"/>
        </w:rPr>
      </w:pP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3095"/>
        <w:gridCol w:w="3096"/>
      </w:tblGrid>
      <w:tr w:rsidR="00AD7BC1" w:rsidRPr="00B00C17" w:rsidTr="00AD7BC1">
        <w:tc>
          <w:tcPr>
            <w:tcW w:w="9178" w:type="dxa"/>
            <w:gridSpan w:val="3"/>
            <w:tcBorders>
              <w:bottom w:val="double" w:sz="4" w:space="0" w:color="auto"/>
            </w:tcBorders>
            <w:shd w:val="clear" w:color="auto" w:fill="92CDDC" w:themeFill="accent5" w:themeFillTint="99"/>
          </w:tcPr>
          <w:p w:rsidR="00AD7BC1" w:rsidRPr="00AC5D5F" w:rsidRDefault="00AC5D5F" w:rsidP="00955650">
            <w:pPr>
              <w:spacing w:line="240" w:lineRule="auto"/>
              <w:rPr>
                <w:rFonts w:ascii="Times New Roman" w:eastAsia="Arial Unicode MS" w:hAnsi="Times New Roman"/>
                <w:sz w:val="24"/>
                <w:szCs w:val="24"/>
              </w:rPr>
            </w:pPr>
            <w:bookmarkStart w:id="34" w:name="_Toc369712331"/>
            <w:bookmarkStart w:id="35" w:name="_Toc369712418"/>
            <w:bookmarkStart w:id="36" w:name="_Toc369719856"/>
            <w:r w:rsidRPr="00AC5D5F">
              <w:rPr>
                <w:rFonts w:ascii="Times New Roman" w:hAnsi="Times New Roman"/>
                <w:sz w:val="24"/>
                <w:szCs w:val="24"/>
              </w:rPr>
              <w:t xml:space="preserve">Tableau 1. </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Tableau_1.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2</w:t>
            </w:r>
            <w:r w:rsidR="00182C97" w:rsidRPr="00AC5D5F">
              <w:rPr>
                <w:rFonts w:ascii="Times New Roman" w:hAnsi="Times New Roman"/>
                <w:sz w:val="24"/>
                <w:szCs w:val="24"/>
              </w:rPr>
              <w:fldChar w:fldCharType="end"/>
            </w:r>
            <w:r w:rsidR="00955650" w:rsidRPr="00AC5D5F">
              <w:rPr>
                <w:rFonts w:ascii="Times New Roman" w:eastAsia="Arial Unicode MS" w:hAnsi="Times New Roman"/>
                <w:sz w:val="24"/>
                <w:szCs w:val="24"/>
              </w:rPr>
              <w:t>:</w:t>
            </w:r>
            <w:r w:rsidR="00AD7BC1" w:rsidRPr="00AC5D5F">
              <w:rPr>
                <w:rFonts w:ascii="Times New Roman" w:eastAsia="Arial Unicode MS" w:hAnsi="Times New Roman"/>
                <w:sz w:val="24"/>
                <w:szCs w:val="24"/>
              </w:rPr>
              <w:t xml:space="preserve"> Répartition des ménages en pourcentage suivant la pauvreté monétaire selon le sexe et la taille du ménage.</w:t>
            </w:r>
            <w:bookmarkEnd w:id="34"/>
            <w:bookmarkEnd w:id="35"/>
            <w:bookmarkEnd w:id="36"/>
          </w:p>
        </w:tc>
      </w:tr>
      <w:tr w:rsidR="00BE7C4E" w:rsidRPr="00AD7BC1" w:rsidTr="00AD7BC1">
        <w:tc>
          <w:tcPr>
            <w:tcW w:w="2987" w:type="dxa"/>
            <w:tcBorders>
              <w:top w:val="double" w:sz="4" w:space="0" w:color="auto"/>
            </w:tcBorders>
            <w:shd w:val="clear" w:color="auto" w:fill="DAEEF3" w:themeFill="accent5" w:themeFillTint="33"/>
          </w:tcPr>
          <w:p w:rsidR="00BE7C4E" w:rsidRPr="00AD7BC1" w:rsidRDefault="00BE7C4E" w:rsidP="009D13EE">
            <w:pPr>
              <w:spacing w:line="276" w:lineRule="auto"/>
              <w:rPr>
                <w:rFonts w:ascii="Times New Roman" w:eastAsia="Arial Unicode MS" w:hAnsi="Times New Roman"/>
                <w:sz w:val="24"/>
                <w:szCs w:val="24"/>
              </w:rPr>
            </w:pPr>
          </w:p>
        </w:tc>
        <w:tc>
          <w:tcPr>
            <w:tcW w:w="6191" w:type="dxa"/>
            <w:gridSpan w:val="2"/>
            <w:tcBorders>
              <w:top w:val="double" w:sz="4" w:space="0" w:color="auto"/>
              <w:bottom w:val="single" w:sz="4" w:space="0" w:color="000000"/>
            </w:tcBorders>
            <w:shd w:val="clear" w:color="auto" w:fill="DAEEF3" w:themeFill="accent5" w:themeFillTint="33"/>
          </w:tcPr>
          <w:p w:rsidR="00CE79B0" w:rsidRPr="00AD7BC1" w:rsidRDefault="001064B7">
            <w:pPr>
              <w:spacing w:line="276" w:lineRule="auto"/>
              <w:jc w:val="center"/>
              <w:rPr>
                <w:rFonts w:ascii="Times New Roman" w:eastAsia="Arial Unicode MS" w:hAnsi="Times New Roman"/>
                <w:sz w:val="24"/>
                <w:szCs w:val="24"/>
                <w:lang w:val="en-US"/>
              </w:rPr>
            </w:pPr>
            <w:r w:rsidRPr="00AD7BC1">
              <w:rPr>
                <w:rFonts w:ascii="Times New Roman" w:eastAsia="Arial Unicode MS" w:hAnsi="Times New Roman"/>
                <w:sz w:val="24"/>
                <w:szCs w:val="24"/>
                <w:lang w:val="en-US"/>
              </w:rPr>
              <w:t>Incidence de la pauvreté</w:t>
            </w:r>
          </w:p>
        </w:tc>
      </w:tr>
      <w:tr w:rsidR="00BE7C4E" w:rsidRPr="00AD7BC1" w:rsidTr="00AD7BC1">
        <w:tc>
          <w:tcPr>
            <w:tcW w:w="2987" w:type="dxa"/>
            <w:tcBorders>
              <w:bottom w:val="single" w:sz="4" w:space="0" w:color="000000"/>
            </w:tcBorders>
            <w:shd w:val="clear" w:color="auto" w:fill="DAEEF3" w:themeFill="accent5" w:themeFillTint="33"/>
          </w:tcPr>
          <w:p w:rsidR="00BE7C4E" w:rsidRPr="00AD7BC1" w:rsidRDefault="00BE7C4E" w:rsidP="009D13EE">
            <w:pPr>
              <w:spacing w:line="276" w:lineRule="auto"/>
              <w:rPr>
                <w:rFonts w:ascii="Times New Roman" w:eastAsia="Arial Unicode MS" w:hAnsi="Times New Roman"/>
                <w:sz w:val="24"/>
                <w:szCs w:val="24"/>
                <w:lang w:val="en-US"/>
              </w:rPr>
            </w:pPr>
          </w:p>
        </w:tc>
        <w:tc>
          <w:tcPr>
            <w:tcW w:w="3095" w:type="dxa"/>
            <w:tcBorders>
              <w:top w:val="single" w:sz="4" w:space="0" w:color="000000"/>
              <w:bottom w:val="single" w:sz="4" w:space="0" w:color="000000"/>
            </w:tcBorders>
            <w:shd w:val="clear" w:color="auto" w:fill="DAEEF3" w:themeFill="accent5" w:themeFillTint="33"/>
          </w:tcPr>
          <w:p w:rsidR="00CE79B0" w:rsidRPr="00AD7BC1" w:rsidRDefault="001064B7">
            <w:pPr>
              <w:spacing w:line="276" w:lineRule="auto"/>
              <w:jc w:val="center"/>
              <w:rPr>
                <w:rFonts w:ascii="Times New Roman" w:eastAsia="Arial Unicode MS" w:hAnsi="Times New Roman"/>
                <w:sz w:val="24"/>
                <w:szCs w:val="24"/>
                <w:lang w:val="en-US"/>
              </w:rPr>
            </w:pPr>
            <w:r w:rsidRPr="00AD7BC1">
              <w:rPr>
                <w:rFonts w:ascii="Times New Roman" w:eastAsia="Arial Unicode MS" w:hAnsi="Times New Roman"/>
                <w:sz w:val="24"/>
                <w:szCs w:val="24"/>
                <w:lang w:val="en-US"/>
              </w:rPr>
              <w:t>Homme</w:t>
            </w:r>
          </w:p>
        </w:tc>
        <w:tc>
          <w:tcPr>
            <w:tcW w:w="3096" w:type="dxa"/>
            <w:tcBorders>
              <w:top w:val="single" w:sz="4" w:space="0" w:color="000000"/>
              <w:bottom w:val="single" w:sz="4" w:space="0" w:color="000000"/>
            </w:tcBorders>
            <w:shd w:val="clear" w:color="auto" w:fill="DAEEF3" w:themeFill="accent5" w:themeFillTint="33"/>
          </w:tcPr>
          <w:p w:rsidR="00CE79B0" w:rsidRPr="00AD7BC1" w:rsidRDefault="001064B7">
            <w:pPr>
              <w:spacing w:line="276" w:lineRule="auto"/>
              <w:jc w:val="center"/>
              <w:rPr>
                <w:rFonts w:ascii="Times New Roman" w:eastAsia="Arial Unicode MS" w:hAnsi="Times New Roman"/>
                <w:sz w:val="24"/>
                <w:szCs w:val="24"/>
                <w:lang w:val="en-US"/>
              </w:rPr>
            </w:pPr>
            <w:r w:rsidRPr="00AD7BC1">
              <w:rPr>
                <w:rFonts w:ascii="Times New Roman" w:eastAsia="Arial Unicode MS" w:hAnsi="Times New Roman"/>
                <w:sz w:val="24"/>
                <w:szCs w:val="24"/>
                <w:lang w:val="en-US"/>
              </w:rPr>
              <w:t>Femme</w:t>
            </w:r>
          </w:p>
        </w:tc>
      </w:tr>
      <w:tr w:rsidR="00B00C17" w:rsidRPr="00B00C17" w:rsidTr="00AD7BC1">
        <w:tc>
          <w:tcPr>
            <w:tcW w:w="2987" w:type="dxa"/>
            <w:tcBorders>
              <w:top w:val="single" w:sz="4" w:space="0" w:color="000000"/>
            </w:tcBorders>
            <w:shd w:val="clear" w:color="auto" w:fill="DAEEF3" w:themeFill="accent5" w:themeFillTint="33"/>
          </w:tcPr>
          <w:p w:rsidR="00B00C17" w:rsidRPr="00B00C17" w:rsidRDefault="007C60BC" w:rsidP="009D13E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Moins 3 personnes</w:t>
            </w:r>
          </w:p>
        </w:tc>
        <w:tc>
          <w:tcPr>
            <w:tcW w:w="3095" w:type="dxa"/>
            <w:tcBorders>
              <w:top w:val="single" w:sz="4" w:space="0" w:color="000000"/>
            </w:tcBorders>
            <w:shd w:val="clear" w:color="auto" w:fill="DAEEF3" w:themeFill="accent5" w:themeFillTint="33"/>
          </w:tcPr>
          <w:p w:rsidR="00CE79B0" w:rsidRDefault="00B00C17">
            <w:pPr>
              <w:spacing w:line="276" w:lineRule="auto"/>
              <w:jc w:val="center"/>
              <w:rPr>
                <w:rFonts w:ascii="Times New Roman" w:eastAsia="Arial Unicode MS" w:hAnsi="Times New Roman"/>
                <w:sz w:val="24"/>
                <w:szCs w:val="24"/>
                <w:lang w:val="en-US"/>
              </w:rPr>
            </w:pPr>
            <w:r>
              <w:rPr>
                <w:rFonts w:ascii="Times New Roman" w:eastAsia="Arial Unicode MS" w:hAnsi="Times New Roman"/>
                <w:sz w:val="24"/>
                <w:szCs w:val="24"/>
                <w:lang w:val="en-US"/>
              </w:rPr>
              <w:t>0</w:t>
            </w:r>
            <w:r w:rsidR="001064B7" w:rsidRPr="001064B7">
              <w:rPr>
                <w:rFonts w:ascii="Times New Roman" w:eastAsia="Arial Unicode MS" w:hAnsi="Times New Roman"/>
                <w:sz w:val="24"/>
                <w:szCs w:val="24"/>
                <w:lang w:val="en-US"/>
              </w:rPr>
              <w:t>,9</w:t>
            </w:r>
          </w:p>
        </w:tc>
        <w:tc>
          <w:tcPr>
            <w:tcW w:w="3096" w:type="dxa"/>
            <w:tcBorders>
              <w:top w:val="single" w:sz="4" w:space="0" w:color="000000"/>
            </w:tcBorders>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1,1</w:t>
            </w:r>
          </w:p>
        </w:tc>
      </w:tr>
      <w:tr w:rsidR="00B00C17" w:rsidRPr="00B00C17" w:rsidTr="00AD7BC1">
        <w:tc>
          <w:tcPr>
            <w:tcW w:w="2987" w:type="dxa"/>
            <w:shd w:val="clear" w:color="auto" w:fill="DAEEF3" w:themeFill="accent5" w:themeFillTint="33"/>
          </w:tcPr>
          <w:p w:rsidR="00B00C17" w:rsidRPr="00B00C17" w:rsidRDefault="007C60BC" w:rsidP="009D13E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3 à 4 personnes</w:t>
            </w:r>
          </w:p>
        </w:tc>
        <w:tc>
          <w:tcPr>
            <w:tcW w:w="3095" w:type="dxa"/>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10,2</w:t>
            </w:r>
          </w:p>
        </w:tc>
        <w:tc>
          <w:tcPr>
            <w:tcW w:w="3096" w:type="dxa"/>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14,8</w:t>
            </w:r>
          </w:p>
        </w:tc>
      </w:tr>
      <w:tr w:rsidR="00B00C17" w:rsidRPr="00B00C17" w:rsidTr="00AD7BC1">
        <w:tc>
          <w:tcPr>
            <w:tcW w:w="2987" w:type="dxa"/>
            <w:shd w:val="clear" w:color="auto" w:fill="DAEEF3" w:themeFill="accent5" w:themeFillTint="33"/>
          </w:tcPr>
          <w:p w:rsidR="00B00C17" w:rsidRPr="00B00C17" w:rsidRDefault="007C60BC" w:rsidP="009D13E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5 à 7 personnes</w:t>
            </w:r>
          </w:p>
        </w:tc>
        <w:tc>
          <w:tcPr>
            <w:tcW w:w="3095" w:type="dxa"/>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31,8</w:t>
            </w:r>
          </w:p>
        </w:tc>
        <w:tc>
          <w:tcPr>
            <w:tcW w:w="3096" w:type="dxa"/>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40,6</w:t>
            </w:r>
          </w:p>
        </w:tc>
      </w:tr>
      <w:tr w:rsidR="00B00C17" w:rsidRPr="00B00C17" w:rsidTr="00AD7BC1">
        <w:tc>
          <w:tcPr>
            <w:tcW w:w="2987" w:type="dxa"/>
            <w:tcBorders>
              <w:bottom w:val="single" w:sz="4" w:space="0" w:color="000000"/>
            </w:tcBorders>
            <w:shd w:val="clear" w:color="auto" w:fill="DAEEF3" w:themeFill="accent5" w:themeFillTint="33"/>
          </w:tcPr>
          <w:p w:rsidR="00B00C17" w:rsidRPr="00B00C17" w:rsidRDefault="007C60BC" w:rsidP="009D13EE">
            <w:pPr>
              <w:spacing w:line="276" w:lineRule="auto"/>
              <w:rPr>
                <w:rFonts w:ascii="Times New Roman" w:eastAsia="Arial Unicode MS" w:hAnsi="Times New Roman"/>
                <w:sz w:val="24"/>
                <w:szCs w:val="24"/>
                <w:lang w:val="en-US"/>
              </w:rPr>
            </w:pPr>
            <w:r>
              <w:rPr>
                <w:rFonts w:ascii="Times New Roman" w:eastAsia="Arial Unicode MS" w:hAnsi="Times New Roman"/>
                <w:sz w:val="24"/>
                <w:szCs w:val="24"/>
                <w:lang w:val="en-US"/>
              </w:rPr>
              <w:t>8 personnes et plus</w:t>
            </w:r>
          </w:p>
        </w:tc>
        <w:tc>
          <w:tcPr>
            <w:tcW w:w="3095" w:type="dxa"/>
            <w:tcBorders>
              <w:bottom w:val="single" w:sz="4" w:space="0" w:color="000000"/>
            </w:tcBorders>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60,0</w:t>
            </w:r>
          </w:p>
        </w:tc>
        <w:tc>
          <w:tcPr>
            <w:tcW w:w="3096" w:type="dxa"/>
            <w:tcBorders>
              <w:bottom w:val="single" w:sz="4" w:space="0" w:color="000000"/>
            </w:tcBorders>
            <w:shd w:val="clear" w:color="auto" w:fill="DAEEF3" w:themeFill="accent5" w:themeFillTint="33"/>
          </w:tcPr>
          <w:p w:rsidR="00CE79B0" w:rsidRDefault="001064B7">
            <w:pPr>
              <w:spacing w:line="276" w:lineRule="auto"/>
              <w:jc w:val="center"/>
              <w:rPr>
                <w:rFonts w:ascii="Times New Roman" w:eastAsia="Arial Unicode MS" w:hAnsi="Times New Roman"/>
                <w:sz w:val="24"/>
                <w:szCs w:val="24"/>
                <w:lang w:val="en-US"/>
              </w:rPr>
            </w:pPr>
            <w:r w:rsidRPr="001064B7">
              <w:rPr>
                <w:rFonts w:ascii="Times New Roman" w:eastAsia="Arial Unicode MS" w:hAnsi="Times New Roman"/>
                <w:sz w:val="24"/>
                <w:szCs w:val="24"/>
                <w:lang w:val="en-US"/>
              </w:rPr>
              <w:t>48,0</w:t>
            </w:r>
          </w:p>
        </w:tc>
      </w:tr>
      <w:tr w:rsidR="00B00C17" w:rsidRPr="00B00C17" w:rsidTr="00AD7BC1">
        <w:tc>
          <w:tcPr>
            <w:tcW w:w="2987" w:type="dxa"/>
            <w:tcBorders>
              <w:top w:val="single" w:sz="4" w:space="0" w:color="000000"/>
              <w:bottom w:val="double" w:sz="4" w:space="0" w:color="auto"/>
            </w:tcBorders>
            <w:shd w:val="clear" w:color="auto" w:fill="DAEEF3" w:themeFill="accent5" w:themeFillTint="33"/>
          </w:tcPr>
          <w:p w:rsidR="00B00C17" w:rsidRPr="00B00C17" w:rsidRDefault="001064B7" w:rsidP="009D13EE">
            <w:pPr>
              <w:spacing w:line="276" w:lineRule="auto"/>
              <w:rPr>
                <w:rFonts w:ascii="Times New Roman" w:eastAsia="Arial Unicode MS" w:hAnsi="Times New Roman"/>
                <w:b/>
                <w:sz w:val="24"/>
                <w:szCs w:val="24"/>
                <w:lang w:val="en-US"/>
              </w:rPr>
            </w:pPr>
            <w:r w:rsidRPr="001064B7">
              <w:rPr>
                <w:rFonts w:ascii="Times New Roman" w:eastAsia="Arial Unicode MS" w:hAnsi="Times New Roman"/>
                <w:b/>
                <w:sz w:val="24"/>
                <w:szCs w:val="24"/>
                <w:lang w:val="en-US"/>
              </w:rPr>
              <w:t>Ensemble</w:t>
            </w:r>
          </w:p>
        </w:tc>
        <w:tc>
          <w:tcPr>
            <w:tcW w:w="3095" w:type="dxa"/>
            <w:tcBorders>
              <w:top w:val="single" w:sz="4" w:space="0" w:color="000000"/>
              <w:bottom w:val="double" w:sz="4" w:space="0" w:color="auto"/>
            </w:tcBorders>
            <w:shd w:val="clear" w:color="auto" w:fill="DAEEF3" w:themeFill="accent5" w:themeFillTint="33"/>
          </w:tcPr>
          <w:p w:rsidR="00CE79B0" w:rsidRDefault="001064B7">
            <w:pPr>
              <w:spacing w:line="276" w:lineRule="auto"/>
              <w:jc w:val="center"/>
              <w:rPr>
                <w:rFonts w:ascii="Times New Roman" w:eastAsia="Arial Unicode MS" w:hAnsi="Times New Roman"/>
                <w:b/>
                <w:sz w:val="24"/>
                <w:szCs w:val="24"/>
                <w:lang w:val="en-US"/>
              </w:rPr>
            </w:pPr>
            <w:r w:rsidRPr="001064B7">
              <w:rPr>
                <w:rFonts w:ascii="Times New Roman" w:eastAsia="Arial Unicode MS" w:hAnsi="Times New Roman"/>
                <w:b/>
                <w:sz w:val="24"/>
                <w:szCs w:val="24"/>
                <w:lang w:val="en-US"/>
              </w:rPr>
              <w:t>38,0</w:t>
            </w:r>
          </w:p>
        </w:tc>
        <w:tc>
          <w:tcPr>
            <w:tcW w:w="3096" w:type="dxa"/>
            <w:tcBorders>
              <w:top w:val="single" w:sz="4" w:space="0" w:color="000000"/>
              <w:bottom w:val="double" w:sz="4" w:space="0" w:color="auto"/>
            </w:tcBorders>
            <w:shd w:val="clear" w:color="auto" w:fill="DAEEF3" w:themeFill="accent5" w:themeFillTint="33"/>
          </w:tcPr>
          <w:p w:rsidR="00CE79B0" w:rsidRDefault="001064B7">
            <w:pPr>
              <w:spacing w:line="276" w:lineRule="auto"/>
              <w:jc w:val="center"/>
              <w:rPr>
                <w:rFonts w:ascii="Times New Roman" w:eastAsia="Arial Unicode MS" w:hAnsi="Times New Roman"/>
                <w:b/>
                <w:sz w:val="24"/>
                <w:szCs w:val="24"/>
                <w:lang w:val="en-US"/>
              </w:rPr>
            </w:pPr>
            <w:r w:rsidRPr="001064B7">
              <w:rPr>
                <w:rFonts w:ascii="Times New Roman" w:eastAsia="Arial Unicode MS" w:hAnsi="Times New Roman"/>
                <w:b/>
                <w:sz w:val="24"/>
                <w:szCs w:val="24"/>
                <w:lang w:val="en-US"/>
              </w:rPr>
              <w:t>27,6</w:t>
            </w:r>
          </w:p>
        </w:tc>
      </w:tr>
      <w:tr w:rsidR="00AD7BC1" w:rsidRPr="00AD7BC1" w:rsidTr="00EF2AF6">
        <w:tc>
          <w:tcPr>
            <w:tcW w:w="9178" w:type="dxa"/>
            <w:gridSpan w:val="3"/>
            <w:tcBorders>
              <w:top w:val="double" w:sz="4" w:space="0" w:color="auto"/>
            </w:tcBorders>
            <w:shd w:val="clear" w:color="auto" w:fill="DAEEF3" w:themeFill="accent5" w:themeFillTint="33"/>
          </w:tcPr>
          <w:p w:rsidR="00AD7BC1" w:rsidRPr="00AD7BC1" w:rsidRDefault="00AD7BC1" w:rsidP="00AD7BC1">
            <w:pPr>
              <w:spacing w:line="240" w:lineRule="auto"/>
              <w:rPr>
                <w:rFonts w:ascii="Times New Roman" w:eastAsia="Arial Unicode MS" w:hAnsi="Times New Roman"/>
                <w:sz w:val="20"/>
                <w:szCs w:val="20"/>
              </w:rPr>
            </w:pPr>
            <w:r w:rsidRPr="00AD7BC1">
              <w:rPr>
                <w:rFonts w:ascii="Times New Roman" w:eastAsia="Arial Unicode MS" w:hAnsi="Times New Roman"/>
                <w:sz w:val="20"/>
                <w:szCs w:val="20"/>
              </w:rPr>
              <w:t>Source : INSAE, EMICoV, 2011</w:t>
            </w:r>
          </w:p>
        </w:tc>
      </w:tr>
    </w:tbl>
    <w:p w:rsidR="00AD7BC1" w:rsidRDefault="00AD7BC1" w:rsidP="00EF2AF6">
      <w:pPr>
        <w:spacing w:line="276" w:lineRule="auto"/>
        <w:rPr>
          <w:rFonts w:ascii="Times New Roman" w:eastAsia="Arial Unicode MS" w:hAnsi="Times New Roman"/>
          <w:sz w:val="24"/>
          <w:szCs w:val="24"/>
        </w:rPr>
      </w:pPr>
    </w:p>
    <w:p w:rsidR="000F5409" w:rsidRDefault="00343E59" w:rsidP="000F5409">
      <w:pPr>
        <w:spacing w:after="200" w:line="276" w:lineRule="auto"/>
        <w:rPr>
          <w:rFonts w:ascii="Times New Roman" w:eastAsia="Arial Unicode MS" w:hAnsi="Times New Roman"/>
          <w:sz w:val="24"/>
          <w:szCs w:val="24"/>
        </w:rPr>
      </w:pPr>
      <w:r>
        <w:rPr>
          <w:rFonts w:ascii="Times New Roman" w:eastAsia="Arial Unicode MS" w:hAnsi="Times New Roman"/>
          <w:sz w:val="24"/>
          <w:szCs w:val="24"/>
        </w:rPr>
        <w:t xml:space="preserve">En ce qui concerne le secteur d’activité, </w:t>
      </w:r>
      <w:r w:rsidR="001064B7" w:rsidRPr="001064B7">
        <w:rPr>
          <w:rFonts w:ascii="Times New Roman" w:eastAsia="Arial Unicode MS" w:hAnsi="Times New Roman"/>
          <w:sz w:val="24"/>
          <w:szCs w:val="24"/>
        </w:rPr>
        <w:t>comme le montre le tableau ci-</w:t>
      </w:r>
      <w:r w:rsidR="00C24ADC">
        <w:rPr>
          <w:rFonts w:ascii="Times New Roman" w:eastAsia="Arial Unicode MS" w:hAnsi="Times New Roman"/>
          <w:sz w:val="24"/>
          <w:szCs w:val="24"/>
        </w:rPr>
        <w:t>après</w:t>
      </w:r>
      <w:r w:rsidR="001064B7" w:rsidRPr="001064B7">
        <w:rPr>
          <w:rFonts w:ascii="Times New Roman" w:eastAsia="Arial Unicode MS" w:hAnsi="Times New Roman"/>
          <w:sz w:val="24"/>
          <w:szCs w:val="24"/>
        </w:rPr>
        <w:t xml:space="preserve"> </w:t>
      </w:r>
      <w:r>
        <w:rPr>
          <w:rFonts w:ascii="Times New Roman" w:eastAsia="Arial Unicode MS" w:hAnsi="Times New Roman"/>
          <w:sz w:val="24"/>
          <w:szCs w:val="24"/>
        </w:rPr>
        <w:t>les femmes chef de ménage exercen</w:t>
      </w:r>
      <w:r w:rsidR="001064B7" w:rsidRPr="001064B7">
        <w:rPr>
          <w:rFonts w:ascii="Times New Roman" w:eastAsia="Arial Unicode MS" w:hAnsi="Times New Roman"/>
          <w:sz w:val="24"/>
          <w:szCs w:val="24"/>
        </w:rPr>
        <w:t xml:space="preserve">t majoritairement le commerce-restauration et l’agriculture qui </w:t>
      </w:r>
      <w:r w:rsidR="000A0C2E">
        <w:rPr>
          <w:rFonts w:ascii="Times New Roman" w:eastAsia="Arial Unicode MS" w:hAnsi="Times New Roman"/>
          <w:sz w:val="24"/>
          <w:szCs w:val="24"/>
        </w:rPr>
        <w:t xml:space="preserve">constituent </w:t>
      </w:r>
      <w:r w:rsidR="001064B7" w:rsidRPr="001064B7">
        <w:rPr>
          <w:rFonts w:ascii="Times New Roman" w:eastAsia="Arial Unicode MS" w:hAnsi="Times New Roman"/>
          <w:sz w:val="24"/>
          <w:szCs w:val="24"/>
        </w:rPr>
        <w:t>respectivement le troisième et le premier secteur qui contribuent le plus à la croissance économique en 2011.</w:t>
      </w:r>
      <w:r w:rsidR="003A297F">
        <w:rPr>
          <w:rFonts w:ascii="Times New Roman" w:eastAsia="Arial Unicode MS" w:hAnsi="Times New Roman"/>
          <w:sz w:val="24"/>
          <w:szCs w:val="24"/>
        </w:rPr>
        <w:t xml:space="preserve"> </w:t>
      </w:r>
      <w:r w:rsidR="00CE0C2C">
        <w:rPr>
          <w:rFonts w:ascii="Times New Roman" w:eastAsia="Arial Unicode MS" w:hAnsi="Times New Roman"/>
          <w:sz w:val="24"/>
          <w:szCs w:val="24"/>
        </w:rPr>
        <w:t>Toutefois, la participation à l’activité économique de ces deux secteurs ne garantit pas un niveau de vie décent.</w:t>
      </w:r>
    </w:p>
    <w:tbl>
      <w:tblPr>
        <w:tblW w:w="9018" w:type="dxa"/>
        <w:tblInd w:w="56" w:type="dxa"/>
        <w:tblCellMar>
          <w:left w:w="70" w:type="dxa"/>
          <w:right w:w="70" w:type="dxa"/>
        </w:tblCellMar>
        <w:tblLook w:val="04A0" w:firstRow="1" w:lastRow="0" w:firstColumn="1" w:lastColumn="0" w:noHBand="0" w:noVBand="1"/>
      </w:tblPr>
      <w:tblGrid>
        <w:gridCol w:w="4353"/>
        <w:gridCol w:w="1555"/>
        <w:gridCol w:w="1555"/>
        <w:gridCol w:w="1555"/>
      </w:tblGrid>
      <w:tr w:rsidR="00AD7BC1" w:rsidRPr="00AC5D5F" w:rsidTr="00AD7BC1">
        <w:trPr>
          <w:trHeight w:val="279"/>
        </w:trPr>
        <w:tc>
          <w:tcPr>
            <w:tcW w:w="9018" w:type="dxa"/>
            <w:gridSpan w:val="4"/>
            <w:tcBorders>
              <w:left w:val="nil"/>
              <w:bottom w:val="double" w:sz="4" w:space="0" w:color="auto"/>
              <w:right w:val="nil"/>
            </w:tcBorders>
            <w:shd w:val="clear" w:color="auto" w:fill="92CDDC" w:themeFill="accent5" w:themeFillTint="99"/>
            <w:noWrap/>
            <w:vAlign w:val="bottom"/>
            <w:hideMark/>
          </w:tcPr>
          <w:p w:rsidR="00AD7BC1" w:rsidRPr="00AC5D5F" w:rsidRDefault="00AC5D5F" w:rsidP="00C701F1">
            <w:pPr>
              <w:spacing w:line="240" w:lineRule="auto"/>
              <w:jc w:val="left"/>
              <w:rPr>
                <w:rFonts w:ascii="Times New Roman" w:eastAsia="Arial Unicode MS" w:hAnsi="Times New Roman"/>
                <w:sz w:val="24"/>
                <w:szCs w:val="24"/>
                <w:highlight w:val="yellow"/>
              </w:rPr>
            </w:pPr>
            <w:bookmarkStart w:id="37" w:name="_Toc369712332"/>
            <w:bookmarkStart w:id="38" w:name="_Toc369712419"/>
            <w:bookmarkStart w:id="39" w:name="_Toc369719857"/>
            <w:r w:rsidRPr="00AC5D5F">
              <w:rPr>
                <w:rFonts w:ascii="Times New Roman" w:hAnsi="Times New Roman"/>
                <w:sz w:val="24"/>
                <w:szCs w:val="24"/>
              </w:rPr>
              <w:t xml:space="preserve">Tableau 1. </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Tableau_1.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3</w:t>
            </w:r>
            <w:r w:rsidR="00182C97" w:rsidRPr="00AC5D5F">
              <w:rPr>
                <w:rFonts w:ascii="Times New Roman" w:hAnsi="Times New Roman"/>
                <w:sz w:val="24"/>
                <w:szCs w:val="24"/>
              </w:rPr>
              <w:fldChar w:fldCharType="end"/>
            </w:r>
            <w:r w:rsidR="00955650" w:rsidRPr="00AC5D5F">
              <w:rPr>
                <w:rFonts w:ascii="Times New Roman" w:eastAsia="Arial Unicode MS" w:hAnsi="Times New Roman"/>
                <w:sz w:val="24"/>
                <w:szCs w:val="24"/>
              </w:rPr>
              <w:t>:</w:t>
            </w:r>
            <w:r w:rsidR="00AD7BC1" w:rsidRPr="00AC5D5F">
              <w:rPr>
                <w:rFonts w:ascii="Times New Roman" w:eastAsia="Arial Unicode MS" w:hAnsi="Times New Roman"/>
                <w:sz w:val="24"/>
                <w:szCs w:val="24"/>
              </w:rPr>
              <w:t xml:space="preserve"> Répartition des ménages selon le secteur d’activités et le sexe du chef </w:t>
            </w:r>
            <w:r w:rsidR="00C701F1" w:rsidRPr="00AC5D5F">
              <w:rPr>
                <w:rFonts w:ascii="Times New Roman" w:eastAsia="Arial Unicode MS" w:hAnsi="Times New Roman"/>
                <w:sz w:val="24"/>
                <w:szCs w:val="24"/>
              </w:rPr>
              <w:t>d</w:t>
            </w:r>
            <w:r w:rsidR="00C701F1">
              <w:rPr>
                <w:rFonts w:ascii="Times New Roman" w:eastAsia="Arial Unicode MS" w:hAnsi="Times New Roman"/>
                <w:sz w:val="24"/>
                <w:szCs w:val="24"/>
              </w:rPr>
              <w:t>e</w:t>
            </w:r>
            <w:r w:rsidR="00C701F1" w:rsidRPr="00AC5D5F">
              <w:rPr>
                <w:rFonts w:ascii="Times New Roman" w:eastAsia="Arial Unicode MS" w:hAnsi="Times New Roman"/>
                <w:sz w:val="24"/>
                <w:szCs w:val="24"/>
              </w:rPr>
              <w:t xml:space="preserve">  </w:t>
            </w:r>
            <w:r w:rsidR="00AD7BC1" w:rsidRPr="00AC5D5F">
              <w:rPr>
                <w:rFonts w:ascii="Times New Roman" w:eastAsia="Arial Unicode MS" w:hAnsi="Times New Roman"/>
                <w:sz w:val="24"/>
                <w:szCs w:val="24"/>
              </w:rPr>
              <w:t>ménage</w:t>
            </w:r>
            <w:bookmarkEnd w:id="37"/>
            <w:bookmarkEnd w:id="38"/>
            <w:bookmarkEnd w:id="39"/>
          </w:p>
        </w:tc>
      </w:tr>
      <w:tr w:rsidR="00C35FAA" w:rsidRPr="003E6F2A" w:rsidTr="00AD7BC1">
        <w:trPr>
          <w:trHeight w:val="279"/>
        </w:trPr>
        <w:tc>
          <w:tcPr>
            <w:tcW w:w="4353" w:type="dxa"/>
            <w:tcBorders>
              <w:top w:val="double" w:sz="4" w:space="0" w:color="auto"/>
              <w:left w:val="nil"/>
              <w:bottom w:val="single" w:sz="4" w:space="0" w:color="auto"/>
              <w:right w:val="nil"/>
            </w:tcBorders>
            <w:shd w:val="clear" w:color="auto" w:fill="DAEEF3" w:themeFill="accent5" w:themeFillTint="33"/>
            <w:noWrap/>
            <w:vAlign w:val="bottom"/>
            <w:hideMark/>
          </w:tcPr>
          <w:p w:rsidR="00C35FAA" w:rsidRPr="003E6F2A" w:rsidRDefault="001064B7" w:rsidP="00C35FAA">
            <w:pPr>
              <w:spacing w:line="240" w:lineRule="auto"/>
              <w:jc w:val="left"/>
              <w:rPr>
                <w:rFonts w:ascii="Times New Roman" w:eastAsia="Times New Roman" w:hAnsi="Times New Roman"/>
                <w:color w:val="000000"/>
                <w:lang w:eastAsia="fr-FR"/>
              </w:rPr>
            </w:pPr>
            <w:r w:rsidRPr="003E6F2A">
              <w:rPr>
                <w:rFonts w:ascii="Times New Roman" w:eastAsia="Times New Roman" w:hAnsi="Times New Roman"/>
                <w:color w:val="000000"/>
                <w:lang w:eastAsia="fr-FR"/>
              </w:rPr>
              <w:t> </w:t>
            </w:r>
          </w:p>
        </w:tc>
        <w:tc>
          <w:tcPr>
            <w:tcW w:w="1555" w:type="dxa"/>
            <w:tcBorders>
              <w:top w:val="double" w:sz="4" w:space="0" w:color="auto"/>
              <w:left w:val="nil"/>
              <w:bottom w:val="single" w:sz="4" w:space="0" w:color="auto"/>
              <w:right w:val="nil"/>
            </w:tcBorders>
            <w:shd w:val="clear" w:color="auto" w:fill="DAEEF3" w:themeFill="accent5" w:themeFillTint="33"/>
            <w:noWrap/>
            <w:vAlign w:val="bottom"/>
            <w:hideMark/>
          </w:tcPr>
          <w:p w:rsidR="00CE79B0" w:rsidRPr="003E6F2A" w:rsidRDefault="001064B7">
            <w:pPr>
              <w:spacing w:line="240" w:lineRule="auto"/>
              <w:jc w:val="center"/>
              <w:rPr>
                <w:rFonts w:ascii="Times New Roman" w:eastAsia="Times New Roman" w:hAnsi="Times New Roman"/>
                <w:bCs/>
                <w:color w:val="000000"/>
                <w:lang w:eastAsia="fr-FR"/>
              </w:rPr>
            </w:pPr>
            <w:r w:rsidRPr="003E6F2A">
              <w:rPr>
                <w:rFonts w:ascii="Times New Roman" w:eastAsia="Times New Roman" w:hAnsi="Times New Roman"/>
                <w:bCs/>
                <w:color w:val="000000"/>
                <w:lang w:eastAsia="fr-FR"/>
              </w:rPr>
              <w:t>Hommes</w:t>
            </w:r>
          </w:p>
        </w:tc>
        <w:tc>
          <w:tcPr>
            <w:tcW w:w="1555" w:type="dxa"/>
            <w:tcBorders>
              <w:top w:val="double" w:sz="4" w:space="0" w:color="auto"/>
              <w:left w:val="nil"/>
              <w:bottom w:val="single" w:sz="4" w:space="0" w:color="auto"/>
              <w:right w:val="nil"/>
            </w:tcBorders>
            <w:shd w:val="clear" w:color="auto" w:fill="DAEEF3" w:themeFill="accent5" w:themeFillTint="33"/>
            <w:noWrap/>
            <w:vAlign w:val="bottom"/>
            <w:hideMark/>
          </w:tcPr>
          <w:p w:rsidR="00CE79B0" w:rsidRPr="003E6F2A" w:rsidRDefault="001064B7">
            <w:pPr>
              <w:spacing w:line="240" w:lineRule="auto"/>
              <w:jc w:val="center"/>
              <w:rPr>
                <w:rFonts w:ascii="Times New Roman" w:eastAsia="Times New Roman" w:hAnsi="Times New Roman"/>
                <w:bCs/>
                <w:color w:val="000000"/>
                <w:lang w:eastAsia="fr-FR"/>
              </w:rPr>
            </w:pPr>
            <w:r w:rsidRPr="003E6F2A">
              <w:rPr>
                <w:rFonts w:ascii="Times New Roman" w:eastAsia="Times New Roman" w:hAnsi="Times New Roman"/>
                <w:bCs/>
                <w:color w:val="000000"/>
                <w:lang w:eastAsia="fr-FR"/>
              </w:rPr>
              <w:t>Femmes</w:t>
            </w:r>
          </w:p>
        </w:tc>
        <w:tc>
          <w:tcPr>
            <w:tcW w:w="1555" w:type="dxa"/>
            <w:tcBorders>
              <w:top w:val="double" w:sz="4" w:space="0" w:color="auto"/>
              <w:left w:val="nil"/>
              <w:bottom w:val="single" w:sz="4" w:space="0" w:color="auto"/>
              <w:right w:val="nil"/>
            </w:tcBorders>
            <w:shd w:val="clear" w:color="auto" w:fill="DAEEF3" w:themeFill="accent5" w:themeFillTint="33"/>
            <w:noWrap/>
            <w:vAlign w:val="bottom"/>
            <w:hideMark/>
          </w:tcPr>
          <w:p w:rsidR="00CE79B0" w:rsidRPr="003E6F2A" w:rsidRDefault="001064B7">
            <w:pPr>
              <w:spacing w:line="240" w:lineRule="auto"/>
              <w:jc w:val="center"/>
              <w:rPr>
                <w:rFonts w:ascii="Times New Roman" w:eastAsia="Times New Roman" w:hAnsi="Times New Roman"/>
                <w:bCs/>
                <w:color w:val="000000"/>
                <w:lang w:eastAsia="fr-FR"/>
              </w:rPr>
            </w:pPr>
            <w:r w:rsidRPr="003E6F2A">
              <w:rPr>
                <w:rFonts w:ascii="Times New Roman" w:eastAsia="Times New Roman" w:hAnsi="Times New Roman"/>
                <w:bCs/>
                <w:color w:val="000000"/>
                <w:lang w:eastAsia="fr-FR"/>
              </w:rPr>
              <w:t>Ensemble</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Agriculture Elevage Pêche et Forêt</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55,62</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31,8</w:t>
            </w:r>
            <w:r w:rsidR="00955650">
              <w:rPr>
                <w:rFonts w:ascii="Times New Roman" w:eastAsia="Times New Roman" w:hAnsi="Times New Roman"/>
                <w:color w:val="000000"/>
                <w:lang w:eastAsia="fr-FR"/>
              </w:rPr>
              <w:t>0</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50,6</w:t>
            </w:r>
            <w:r w:rsidR="00955650">
              <w:rPr>
                <w:rFonts w:ascii="Times New Roman" w:eastAsia="Times New Roman" w:hAnsi="Times New Roman"/>
                <w:color w:val="000000"/>
                <w:lang w:eastAsia="fr-FR"/>
              </w:rPr>
              <w:t>0</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Industrie</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12,74</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18,43</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13,94</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Eau, électricité, gaz</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0,5</w:t>
            </w:r>
            <w:r w:rsidR="00955650">
              <w:rPr>
                <w:rFonts w:ascii="Times New Roman" w:eastAsia="Times New Roman" w:hAnsi="Times New Roman"/>
                <w:color w:val="000000"/>
                <w:lang w:eastAsia="fr-FR"/>
              </w:rPr>
              <w:t>0</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0,09</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0,41</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BTP</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3,82</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0,03</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3,02</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Commerce et restauration</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7,54</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41,6</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14,73</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Transport et communications</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7,44</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0,25</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5,92</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Banques et assurances</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0,35</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0,15</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0,31</w:t>
            </w:r>
          </w:p>
        </w:tc>
      </w:tr>
      <w:tr w:rsidR="00C35FAA" w:rsidRPr="00C35FAA" w:rsidTr="003A297F">
        <w:trPr>
          <w:trHeight w:val="279"/>
        </w:trPr>
        <w:tc>
          <w:tcPr>
            <w:tcW w:w="4353" w:type="dxa"/>
            <w:tcBorders>
              <w:top w:val="nil"/>
              <w:left w:val="nil"/>
              <w:bottom w:val="nil"/>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Autres services</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11,95</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7,61</w:t>
            </w:r>
          </w:p>
        </w:tc>
        <w:tc>
          <w:tcPr>
            <w:tcW w:w="1555" w:type="dxa"/>
            <w:tcBorders>
              <w:top w:val="nil"/>
              <w:left w:val="nil"/>
              <w:bottom w:val="nil"/>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11,03</w:t>
            </w:r>
          </w:p>
        </w:tc>
      </w:tr>
      <w:tr w:rsidR="00C35FAA" w:rsidRPr="00C35FAA" w:rsidTr="003A297F">
        <w:trPr>
          <w:trHeight w:val="279"/>
        </w:trPr>
        <w:tc>
          <w:tcPr>
            <w:tcW w:w="4353" w:type="dxa"/>
            <w:tcBorders>
              <w:top w:val="nil"/>
              <w:left w:val="nil"/>
              <w:bottom w:val="single" w:sz="4" w:space="0" w:color="auto"/>
              <w:right w:val="nil"/>
            </w:tcBorders>
            <w:shd w:val="clear" w:color="auto" w:fill="DAEEF3" w:themeFill="accent5" w:themeFillTint="33"/>
            <w:noWrap/>
            <w:vAlign w:val="bottom"/>
            <w:hideMark/>
          </w:tcPr>
          <w:p w:rsidR="00C35FAA" w:rsidRPr="00C35FAA" w:rsidRDefault="001064B7" w:rsidP="00C35FAA">
            <w:pPr>
              <w:spacing w:line="240" w:lineRule="auto"/>
              <w:jc w:val="left"/>
              <w:rPr>
                <w:rFonts w:ascii="Times New Roman" w:eastAsia="Times New Roman" w:hAnsi="Times New Roman"/>
                <w:color w:val="000000"/>
                <w:lang w:eastAsia="fr-FR"/>
              </w:rPr>
            </w:pPr>
            <w:r w:rsidRPr="001064B7">
              <w:rPr>
                <w:rFonts w:ascii="Times New Roman" w:eastAsia="Times New Roman" w:hAnsi="Times New Roman"/>
                <w:color w:val="000000"/>
                <w:lang w:eastAsia="fr-FR"/>
              </w:rPr>
              <w:t>Non déclaré</w:t>
            </w:r>
          </w:p>
        </w:tc>
        <w:tc>
          <w:tcPr>
            <w:tcW w:w="1555" w:type="dxa"/>
            <w:tcBorders>
              <w:top w:val="nil"/>
              <w:left w:val="nil"/>
              <w:bottom w:val="single" w:sz="4" w:space="0" w:color="auto"/>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0,04</w:t>
            </w:r>
          </w:p>
        </w:tc>
        <w:tc>
          <w:tcPr>
            <w:tcW w:w="1555" w:type="dxa"/>
            <w:tcBorders>
              <w:top w:val="nil"/>
              <w:left w:val="nil"/>
              <w:bottom w:val="single" w:sz="4" w:space="0" w:color="auto"/>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0,03</w:t>
            </w:r>
          </w:p>
        </w:tc>
        <w:tc>
          <w:tcPr>
            <w:tcW w:w="1555" w:type="dxa"/>
            <w:tcBorders>
              <w:top w:val="nil"/>
              <w:left w:val="nil"/>
              <w:bottom w:val="single" w:sz="4" w:space="0" w:color="auto"/>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color w:val="000000"/>
                <w:lang w:eastAsia="fr-FR"/>
              </w:rPr>
            </w:pPr>
            <w:r w:rsidRPr="001064B7">
              <w:rPr>
                <w:rFonts w:ascii="Times New Roman" w:eastAsia="Times New Roman" w:hAnsi="Times New Roman"/>
                <w:color w:val="000000"/>
                <w:lang w:eastAsia="fr-FR"/>
              </w:rPr>
              <w:t>0,04</w:t>
            </w:r>
          </w:p>
        </w:tc>
      </w:tr>
      <w:tr w:rsidR="00C35FAA" w:rsidRPr="00AD7BC1" w:rsidTr="003A297F">
        <w:trPr>
          <w:trHeight w:val="279"/>
        </w:trPr>
        <w:tc>
          <w:tcPr>
            <w:tcW w:w="4353" w:type="dxa"/>
            <w:tcBorders>
              <w:top w:val="nil"/>
              <w:left w:val="nil"/>
              <w:bottom w:val="double" w:sz="4" w:space="0" w:color="auto"/>
              <w:right w:val="nil"/>
            </w:tcBorders>
            <w:shd w:val="clear" w:color="auto" w:fill="DAEEF3" w:themeFill="accent5" w:themeFillTint="33"/>
            <w:noWrap/>
            <w:vAlign w:val="bottom"/>
            <w:hideMark/>
          </w:tcPr>
          <w:p w:rsidR="00C35FAA" w:rsidRPr="00AD7BC1" w:rsidRDefault="001064B7" w:rsidP="00C35FAA">
            <w:pPr>
              <w:spacing w:line="240" w:lineRule="auto"/>
              <w:jc w:val="left"/>
              <w:rPr>
                <w:rFonts w:ascii="Times New Roman" w:eastAsia="Times New Roman" w:hAnsi="Times New Roman"/>
                <w:b/>
                <w:color w:val="000000"/>
                <w:lang w:eastAsia="fr-FR"/>
              </w:rPr>
            </w:pPr>
            <w:r w:rsidRPr="00AD7BC1">
              <w:rPr>
                <w:rFonts w:ascii="Times New Roman" w:eastAsia="Times New Roman" w:hAnsi="Times New Roman"/>
                <w:b/>
                <w:color w:val="000000"/>
                <w:lang w:eastAsia="fr-FR"/>
              </w:rPr>
              <w:t> </w:t>
            </w:r>
            <w:r w:rsidR="00AD7BC1" w:rsidRPr="00AD7BC1">
              <w:rPr>
                <w:rFonts w:ascii="Times New Roman" w:eastAsia="Times New Roman" w:hAnsi="Times New Roman"/>
                <w:b/>
                <w:color w:val="000000"/>
                <w:lang w:eastAsia="fr-FR"/>
              </w:rPr>
              <w:t>Total</w:t>
            </w:r>
          </w:p>
        </w:tc>
        <w:tc>
          <w:tcPr>
            <w:tcW w:w="1555" w:type="dxa"/>
            <w:tcBorders>
              <w:top w:val="nil"/>
              <w:left w:val="nil"/>
              <w:bottom w:val="double" w:sz="4" w:space="0" w:color="auto"/>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b/>
                <w:color w:val="000000"/>
                <w:lang w:eastAsia="fr-FR"/>
              </w:rPr>
            </w:pPr>
            <w:r w:rsidRPr="00AD7BC1">
              <w:rPr>
                <w:rFonts w:ascii="Times New Roman" w:eastAsia="Times New Roman" w:hAnsi="Times New Roman"/>
                <w:b/>
                <w:color w:val="000000"/>
                <w:lang w:eastAsia="fr-FR"/>
              </w:rPr>
              <w:t>100</w:t>
            </w:r>
            <w:r w:rsidR="00955650">
              <w:rPr>
                <w:rFonts w:ascii="Times New Roman" w:eastAsia="Times New Roman" w:hAnsi="Times New Roman"/>
                <w:b/>
                <w:color w:val="000000"/>
                <w:lang w:eastAsia="fr-FR"/>
              </w:rPr>
              <w:t>,00</w:t>
            </w:r>
          </w:p>
        </w:tc>
        <w:tc>
          <w:tcPr>
            <w:tcW w:w="1555" w:type="dxa"/>
            <w:tcBorders>
              <w:top w:val="nil"/>
              <w:left w:val="nil"/>
              <w:bottom w:val="double" w:sz="4" w:space="0" w:color="auto"/>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b/>
                <w:color w:val="000000"/>
                <w:lang w:eastAsia="fr-FR"/>
              </w:rPr>
            </w:pPr>
            <w:r w:rsidRPr="00AD7BC1">
              <w:rPr>
                <w:rFonts w:ascii="Times New Roman" w:eastAsia="Times New Roman" w:hAnsi="Times New Roman"/>
                <w:b/>
                <w:color w:val="000000"/>
                <w:lang w:eastAsia="fr-FR"/>
              </w:rPr>
              <w:t>100</w:t>
            </w:r>
            <w:r w:rsidR="00955650">
              <w:rPr>
                <w:rFonts w:ascii="Times New Roman" w:eastAsia="Times New Roman" w:hAnsi="Times New Roman"/>
                <w:b/>
                <w:color w:val="000000"/>
                <w:lang w:eastAsia="fr-FR"/>
              </w:rPr>
              <w:t>,00</w:t>
            </w:r>
          </w:p>
        </w:tc>
        <w:tc>
          <w:tcPr>
            <w:tcW w:w="1555" w:type="dxa"/>
            <w:tcBorders>
              <w:top w:val="nil"/>
              <w:left w:val="nil"/>
              <w:bottom w:val="double" w:sz="4" w:space="0" w:color="auto"/>
              <w:right w:val="nil"/>
            </w:tcBorders>
            <w:shd w:val="clear" w:color="auto" w:fill="DAEEF3" w:themeFill="accent5" w:themeFillTint="33"/>
            <w:noWrap/>
            <w:vAlign w:val="center"/>
            <w:hideMark/>
          </w:tcPr>
          <w:p w:rsidR="00832112" w:rsidRDefault="001064B7" w:rsidP="00832112">
            <w:pPr>
              <w:spacing w:line="240" w:lineRule="auto"/>
              <w:jc w:val="center"/>
              <w:rPr>
                <w:rFonts w:ascii="Times New Roman" w:eastAsia="Times New Roman" w:hAnsi="Times New Roman"/>
                <w:b/>
                <w:color w:val="000000"/>
                <w:lang w:eastAsia="fr-FR"/>
              </w:rPr>
            </w:pPr>
            <w:r w:rsidRPr="00AD7BC1">
              <w:rPr>
                <w:rFonts w:ascii="Times New Roman" w:eastAsia="Times New Roman" w:hAnsi="Times New Roman"/>
                <w:b/>
                <w:color w:val="000000"/>
                <w:lang w:eastAsia="fr-FR"/>
              </w:rPr>
              <w:t>100</w:t>
            </w:r>
            <w:r w:rsidR="00955650">
              <w:rPr>
                <w:rFonts w:ascii="Times New Roman" w:eastAsia="Times New Roman" w:hAnsi="Times New Roman"/>
                <w:b/>
                <w:color w:val="000000"/>
                <w:lang w:eastAsia="fr-FR"/>
              </w:rPr>
              <w:t>,00</w:t>
            </w:r>
          </w:p>
        </w:tc>
      </w:tr>
      <w:tr w:rsidR="00EF2AF6" w:rsidRPr="00EF2AF6" w:rsidTr="00EF2AF6">
        <w:trPr>
          <w:trHeight w:val="279"/>
        </w:trPr>
        <w:tc>
          <w:tcPr>
            <w:tcW w:w="9018" w:type="dxa"/>
            <w:gridSpan w:val="4"/>
            <w:tcBorders>
              <w:top w:val="double" w:sz="4" w:space="0" w:color="auto"/>
              <w:left w:val="nil"/>
              <w:right w:val="nil"/>
            </w:tcBorders>
            <w:shd w:val="clear" w:color="auto" w:fill="DAEEF3" w:themeFill="accent5" w:themeFillTint="33"/>
            <w:noWrap/>
            <w:vAlign w:val="bottom"/>
            <w:hideMark/>
          </w:tcPr>
          <w:p w:rsidR="00EF2AF6" w:rsidRPr="00EF2AF6" w:rsidRDefault="00EF2AF6" w:rsidP="00EF2AF6">
            <w:pPr>
              <w:spacing w:line="276" w:lineRule="auto"/>
              <w:jc w:val="left"/>
              <w:rPr>
                <w:rFonts w:ascii="Times New Roman" w:eastAsia="Arial Unicode MS" w:hAnsi="Times New Roman"/>
                <w:sz w:val="20"/>
                <w:szCs w:val="20"/>
                <w:highlight w:val="yellow"/>
              </w:rPr>
            </w:pPr>
            <w:r w:rsidRPr="00EF2AF6">
              <w:rPr>
                <w:rFonts w:ascii="Times New Roman" w:eastAsia="Arial Unicode MS" w:hAnsi="Times New Roman"/>
                <w:sz w:val="20"/>
                <w:szCs w:val="20"/>
              </w:rPr>
              <w:t>Source : INSAE, EMICoV, 2011</w:t>
            </w:r>
          </w:p>
        </w:tc>
      </w:tr>
    </w:tbl>
    <w:p w:rsidR="00C35FAA" w:rsidRDefault="00C35FAA" w:rsidP="009D13EE">
      <w:pPr>
        <w:spacing w:line="276" w:lineRule="auto"/>
        <w:rPr>
          <w:rFonts w:ascii="Times New Roman" w:eastAsia="Arial Unicode MS" w:hAnsi="Times New Roman"/>
          <w:sz w:val="24"/>
          <w:szCs w:val="24"/>
          <w:highlight w:val="yellow"/>
        </w:rPr>
      </w:pPr>
    </w:p>
    <w:p w:rsidR="00483A9F" w:rsidRDefault="00483A9F" w:rsidP="009D13EE">
      <w:pPr>
        <w:spacing w:line="276" w:lineRule="auto"/>
        <w:rPr>
          <w:rFonts w:ascii="Times New Roman" w:eastAsia="Arial Unicode MS" w:hAnsi="Times New Roman"/>
          <w:sz w:val="24"/>
          <w:szCs w:val="24"/>
        </w:rPr>
      </w:pPr>
      <w:r w:rsidRPr="00AC2DB1">
        <w:rPr>
          <w:rFonts w:ascii="Times New Roman" w:eastAsia="Arial Unicode MS" w:hAnsi="Times New Roman"/>
          <w:sz w:val="24"/>
          <w:szCs w:val="24"/>
        </w:rPr>
        <w:t>Aussi, convient-il de mentionner que</w:t>
      </w:r>
      <w:r w:rsidR="00A551EE">
        <w:rPr>
          <w:rFonts w:ascii="Times New Roman" w:eastAsia="Arial Unicode MS" w:hAnsi="Times New Roman"/>
          <w:sz w:val="24"/>
          <w:szCs w:val="24"/>
        </w:rPr>
        <w:t xml:space="preserve"> la baisse de l’incidence de pauvreté observée au niveau des ménages dirigés par les femmes pourrait aussi s’expliquer par le fait que de</w:t>
      </w:r>
      <w:r w:rsidRPr="00AC2DB1">
        <w:rPr>
          <w:rFonts w:ascii="Times New Roman" w:eastAsia="Arial Unicode MS" w:hAnsi="Times New Roman"/>
          <w:sz w:val="24"/>
          <w:szCs w:val="24"/>
        </w:rPr>
        <w:t xml:space="preserve"> plus en plus les femmes bénéficient d’opportunités à effet direct sur le niveau de vie telles que l’accès au crédit (ex du Programme Micro-crédit aux Plus Pauvres (MCPP)) qui peuvent contribuer au développement ou à la diversification d’activités génératrices de revenu</w:t>
      </w:r>
      <w:r w:rsidR="00A551EE">
        <w:rPr>
          <w:rFonts w:ascii="Times New Roman" w:eastAsia="Arial Unicode MS" w:hAnsi="Times New Roman"/>
          <w:sz w:val="24"/>
          <w:szCs w:val="24"/>
        </w:rPr>
        <w:t xml:space="preserve">. </w:t>
      </w:r>
    </w:p>
    <w:p w:rsidR="007705A9" w:rsidRPr="00A536BA" w:rsidRDefault="007705A9" w:rsidP="009D13EE">
      <w:pPr>
        <w:spacing w:line="276" w:lineRule="auto"/>
        <w:rPr>
          <w:rFonts w:ascii="Times New Roman" w:eastAsia="Arial Unicode MS" w:hAnsi="Times New Roman"/>
          <w:sz w:val="24"/>
          <w:szCs w:val="24"/>
          <w:highlight w:val="yello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4"/>
      </w:tblGrid>
      <w:tr w:rsidR="000B7460" w:rsidRPr="00F752BF" w:rsidTr="00DA5BAE">
        <w:tc>
          <w:tcPr>
            <w:tcW w:w="910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0B7460" w:rsidRPr="00F334CF" w:rsidRDefault="000B7460" w:rsidP="000B7460">
            <w:pPr>
              <w:spacing w:line="276" w:lineRule="auto"/>
              <w:rPr>
                <w:rFonts w:ascii="Times New Roman" w:eastAsia="Arial Unicode MS" w:hAnsi="Times New Roman"/>
                <w:b/>
                <w:sz w:val="24"/>
                <w:szCs w:val="24"/>
              </w:rPr>
            </w:pPr>
            <w:r w:rsidRPr="000738D7">
              <w:rPr>
                <w:rFonts w:ascii="Times New Roman" w:eastAsia="Arial Unicode MS" w:hAnsi="Times New Roman"/>
                <w:b/>
                <w:sz w:val="24"/>
                <w:szCs w:val="24"/>
              </w:rPr>
              <w:t>Encadré</w:t>
            </w:r>
            <w:r>
              <w:rPr>
                <w:rFonts w:ascii="Times New Roman" w:eastAsia="Arial Unicode MS" w:hAnsi="Times New Roman"/>
                <w:b/>
                <w:sz w:val="24"/>
                <w:szCs w:val="24"/>
              </w:rPr>
              <w:t xml:space="preserve"> 1.2</w:t>
            </w:r>
            <w:r w:rsidRPr="000738D7">
              <w:rPr>
                <w:rFonts w:ascii="Times New Roman" w:eastAsia="Arial Unicode MS" w:hAnsi="Times New Roman"/>
                <w:sz w:val="24"/>
                <w:szCs w:val="24"/>
              </w:rPr>
              <w:t xml:space="preserve">: </w:t>
            </w:r>
            <w:r w:rsidRPr="00AC2DB1">
              <w:rPr>
                <w:rFonts w:ascii="Times New Roman" w:eastAsia="Arial Unicode MS" w:hAnsi="Times New Roman"/>
                <w:sz w:val="24"/>
                <w:szCs w:val="24"/>
              </w:rPr>
              <w:t xml:space="preserve">Programme </w:t>
            </w:r>
            <w:r w:rsidR="00177542">
              <w:rPr>
                <w:rFonts w:ascii="Times New Roman" w:eastAsia="Arial Unicode MS" w:hAnsi="Times New Roman"/>
                <w:sz w:val="24"/>
                <w:szCs w:val="24"/>
              </w:rPr>
              <w:t xml:space="preserve">de </w:t>
            </w:r>
            <w:r w:rsidRPr="00AC2DB1">
              <w:rPr>
                <w:rFonts w:ascii="Times New Roman" w:eastAsia="Arial Unicode MS" w:hAnsi="Times New Roman"/>
                <w:sz w:val="24"/>
                <w:szCs w:val="24"/>
              </w:rPr>
              <w:t>Micro-crédit aux Plus Pauvres</w:t>
            </w:r>
          </w:p>
        </w:tc>
      </w:tr>
      <w:tr w:rsidR="000B7460" w:rsidRPr="00F752BF" w:rsidTr="00DA5BAE">
        <w:trPr>
          <w:trHeight w:val="665"/>
        </w:trPr>
        <w:tc>
          <w:tcPr>
            <w:tcW w:w="9104" w:type="dxa"/>
            <w:tcBorders>
              <w:top w:val="single" w:sz="4" w:space="0" w:color="31849B" w:themeColor="accent5" w:themeShade="BF"/>
              <w:bottom w:val="single" w:sz="4" w:space="0" w:color="000000"/>
            </w:tcBorders>
            <w:shd w:val="clear" w:color="auto" w:fill="DBE5F1" w:themeFill="accent1" w:themeFillTint="33"/>
          </w:tcPr>
          <w:p w:rsidR="00E84159" w:rsidRDefault="00E84159" w:rsidP="00E84159">
            <w:pPr>
              <w:spacing w:line="240" w:lineRule="auto"/>
              <w:rPr>
                <w:rFonts w:ascii="Times New Roman" w:hAnsi="Times New Roman"/>
                <w:sz w:val="20"/>
                <w:szCs w:val="20"/>
              </w:rPr>
            </w:pPr>
            <w:r w:rsidRPr="00E84159">
              <w:rPr>
                <w:rFonts w:ascii="Times New Roman" w:hAnsi="Times New Roman"/>
              </w:rPr>
              <w:t>L</w:t>
            </w:r>
            <w:r w:rsidRPr="00E84159">
              <w:rPr>
                <w:rFonts w:ascii="Times New Roman" w:hAnsi="Times New Roman"/>
                <w:sz w:val="20"/>
                <w:szCs w:val="20"/>
              </w:rPr>
              <w:t>e Programme de Micro Crédit aux Plus Pauvres (MCPP) est conçu pour couvrir tout le territoire national, mais avec une priorité axée sur les zones endémiques de pauvreté relevées dans les 77 communes du pays au travers des résultats des enquêtes sur la pauvreté. L’organisation de la mise en œuvre est faite selon plusieurs étapes à travers le Fonds National de la Micro finance (FNM)</w:t>
            </w:r>
            <w:r w:rsidRPr="00E84159">
              <w:rPr>
                <w:rStyle w:val="Appelnotedebasdep"/>
                <w:rFonts w:ascii="Times New Roman" w:hAnsi="Times New Roman"/>
                <w:sz w:val="20"/>
                <w:szCs w:val="20"/>
              </w:rPr>
              <w:footnoteReference w:id="26"/>
            </w:r>
            <w:r w:rsidRPr="00E84159">
              <w:rPr>
                <w:rFonts w:ascii="Times New Roman" w:hAnsi="Times New Roman"/>
                <w:sz w:val="20"/>
                <w:szCs w:val="20"/>
              </w:rPr>
              <w:t>.</w:t>
            </w:r>
          </w:p>
          <w:p w:rsidR="00E84159" w:rsidRPr="00E84159" w:rsidRDefault="00E84159" w:rsidP="00E84159">
            <w:pPr>
              <w:spacing w:line="240" w:lineRule="auto"/>
              <w:rPr>
                <w:rFonts w:ascii="Times New Roman" w:hAnsi="Times New Roman"/>
                <w:sz w:val="20"/>
                <w:szCs w:val="20"/>
              </w:rPr>
            </w:pP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color w:val="333333"/>
                <w:sz w:val="20"/>
                <w:szCs w:val="20"/>
              </w:rPr>
              <w:t>Le MCPP est un système de crédits successifs à taux progressif dont l’exécution se fait</w:t>
            </w:r>
            <w:r w:rsidRPr="00E84159">
              <w:rPr>
                <w:rFonts w:ascii="Times New Roman" w:hAnsi="Times New Roman"/>
                <w:sz w:val="20"/>
                <w:szCs w:val="20"/>
              </w:rPr>
              <w:t xml:space="preserve"> suivant trois niveaux de prêts successifs :</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bCs/>
                <w:sz w:val="20"/>
                <w:szCs w:val="20"/>
              </w:rPr>
              <w:t>- 1</w:t>
            </w:r>
            <w:r w:rsidRPr="00E84159">
              <w:rPr>
                <w:rFonts w:ascii="Times New Roman" w:hAnsi="Times New Roman"/>
                <w:bCs/>
                <w:sz w:val="20"/>
                <w:szCs w:val="20"/>
                <w:vertAlign w:val="superscript"/>
              </w:rPr>
              <w:t>ère</w:t>
            </w:r>
            <w:r w:rsidRPr="00E84159">
              <w:rPr>
                <w:rFonts w:ascii="Times New Roman" w:hAnsi="Times New Roman"/>
                <w:bCs/>
                <w:sz w:val="20"/>
                <w:szCs w:val="20"/>
              </w:rPr>
              <w:t xml:space="preserve"> ligne de crédit</w:t>
            </w:r>
            <w:r w:rsidRPr="00E84159">
              <w:rPr>
                <w:rFonts w:ascii="Times New Roman" w:hAnsi="Times New Roman"/>
                <w:sz w:val="20"/>
                <w:szCs w:val="20"/>
              </w:rPr>
              <w:t xml:space="preserve"> : Elle est relative à la promotion des activités génératrices de revenus par le micro crédit à taux sensiblement bonifié. L’objectif à ce stade (dit d’apprentissage) est qu’à travers le prêt, l’augmentation des revenus générés, permette aux bénéficiaires de passer d’un repas à deux par jour. Le montant du prêt est fixé à 30.000 FCFA. </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bCs/>
                <w:sz w:val="20"/>
                <w:szCs w:val="20"/>
              </w:rPr>
              <w:t>- 2</w:t>
            </w:r>
            <w:r w:rsidRPr="00E84159">
              <w:rPr>
                <w:rFonts w:ascii="Times New Roman" w:hAnsi="Times New Roman"/>
                <w:bCs/>
                <w:sz w:val="20"/>
                <w:szCs w:val="20"/>
                <w:vertAlign w:val="superscript"/>
              </w:rPr>
              <w:t>ème</w:t>
            </w:r>
            <w:r w:rsidRPr="00E84159">
              <w:rPr>
                <w:rFonts w:ascii="Times New Roman" w:hAnsi="Times New Roman"/>
                <w:bCs/>
                <w:sz w:val="20"/>
                <w:szCs w:val="20"/>
              </w:rPr>
              <w:t xml:space="preserve"> ligne de crédit </w:t>
            </w:r>
            <w:r w:rsidRPr="00E84159">
              <w:rPr>
                <w:rFonts w:ascii="Times New Roman" w:hAnsi="Times New Roman"/>
                <w:sz w:val="20"/>
                <w:szCs w:val="20"/>
              </w:rPr>
              <w:t xml:space="preserve">: Elle est conçue pour consolider les acquis des populations cibles à la première phase. A cette étape, le bénéficiaire est supposé avoir amorcé un processus progressif de renforcement de ses aptitudes à développer une activité économique et à gérer un montant supérieur de crédit. Ce qui pourra lui permettre de dégager des revenus supplémentaires. Le bénéficiaire emprunte à ce stade 50.000 FCFA. </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bCs/>
                <w:sz w:val="20"/>
                <w:szCs w:val="20"/>
              </w:rPr>
              <w:t>- 3</w:t>
            </w:r>
            <w:r w:rsidRPr="00E84159">
              <w:rPr>
                <w:rFonts w:ascii="Times New Roman" w:hAnsi="Times New Roman"/>
                <w:bCs/>
                <w:sz w:val="20"/>
                <w:szCs w:val="20"/>
                <w:vertAlign w:val="superscript"/>
              </w:rPr>
              <w:t>ème</w:t>
            </w:r>
            <w:r w:rsidRPr="00E84159">
              <w:rPr>
                <w:rFonts w:ascii="Times New Roman" w:hAnsi="Times New Roman"/>
                <w:bCs/>
                <w:sz w:val="20"/>
                <w:szCs w:val="20"/>
              </w:rPr>
              <w:t xml:space="preserve"> étape </w:t>
            </w:r>
            <w:r w:rsidRPr="00E84159">
              <w:rPr>
                <w:rFonts w:ascii="Times New Roman" w:hAnsi="Times New Roman"/>
                <w:sz w:val="20"/>
                <w:szCs w:val="20"/>
              </w:rPr>
              <w:t>: Elle permettra de rendre le bénéficiaire autonome en le soumettant désormais aux conditions du marché de crédit appliquées par les Institutions de Micro Finance traditionnelles. En effet, à ce stade, le bénéficiaire est supposé avoir acquis les aptitudes requises et le niveau de ses activités peuvent lui permettre de faire face aux conditions de marché. Les épargnes stratégiques instaurées au profit des bénéficiaires lors des deux premières étapes visent non seulement à leur inculquer la nécessité d’épargner pour accumuler, mais aussi, à constituer une provision devant leur permettre de faire face aux conditions financières préalables aux crédits, une fois reversés dans le portefeuille classique des IMF.</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Pour la mise en œuvre pratique du Micro Crédit aux Plus Pauvres, des partenaires stratégiques</w:t>
            </w:r>
            <w:r w:rsidRPr="00E84159">
              <w:rPr>
                <w:rStyle w:val="Appelnotedebasdep"/>
                <w:rFonts w:ascii="Times New Roman" w:hAnsi="Times New Roman"/>
                <w:sz w:val="20"/>
                <w:szCs w:val="20"/>
              </w:rPr>
              <w:footnoteReference w:id="27"/>
            </w:r>
            <w:r w:rsidRPr="00E84159">
              <w:rPr>
                <w:rFonts w:ascii="Times New Roman" w:hAnsi="Times New Roman"/>
                <w:sz w:val="20"/>
                <w:szCs w:val="20"/>
              </w:rPr>
              <w:t xml:space="preserve"> ont été retenus au départ par le FNM. </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 xml:space="preserve">A l’entrée dans le programme, le remboursement des 30000 FCFA de crédit est prévu être réalisé en six (06) mois avec un différé d’un mois. Le taux d’intérêt appliqué est de 5% l’an, soit pour la période définie, un taux d’intérêt de 2,5%, 750 FCFA en valeur. Le programme permet aussi au bénéficiaire d’épargner. Il existe deux type d’épargnes : l’épargne dite stratégique et celle dite volontaire. La première est constituée par une partie du montant des intérêts que paient les bénéficiaires sur les emprunts. Cette épargne a un caractère obligatoire et sera ristournée aux bénéficiaires en fonction de leurs efforts de remboursement et des modalités. La seconde qui consiste en une </w:t>
            </w:r>
            <w:r w:rsidRPr="00E84159">
              <w:rPr>
                <w:rFonts w:ascii="Times New Roman" w:hAnsi="Times New Roman"/>
                <w:bCs/>
                <w:sz w:val="20"/>
                <w:szCs w:val="20"/>
              </w:rPr>
              <w:t xml:space="preserve">épargne volontaire </w:t>
            </w:r>
            <w:r w:rsidRPr="00E84159">
              <w:rPr>
                <w:rFonts w:ascii="Times New Roman" w:hAnsi="Times New Roman"/>
                <w:sz w:val="20"/>
                <w:szCs w:val="20"/>
              </w:rPr>
              <w:t>s’apparente aux produits  financiers classiques d’épargne qu’offrent les institutions</w:t>
            </w:r>
            <w:r>
              <w:rPr>
                <w:rFonts w:ascii="Times New Roman" w:hAnsi="Times New Roman"/>
                <w:sz w:val="20"/>
                <w:szCs w:val="20"/>
              </w:rPr>
              <w:t xml:space="preserve"> </w:t>
            </w:r>
            <w:r w:rsidRPr="00E84159">
              <w:rPr>
                <w:rFonts w:ascii="Times New Roman" w:hAnsi="Times New Roman"/>
                <w:sz w:val="20"/>
                <w:szCs w:val="20"/>
              </w:rPr>
              <w:t>financières à leur clientèle. Elle est remboursable selon les conditions qui la régissent et suivant le terme qui convient au souscripteur.</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Sur cette base, et en adoptant un taux linéaire, le tableau de remboursement du crédit devrait se présenter comme suit:</w:t>
            </w:r>
            <w:r>
              <w:rPr>
                <w:rFonts w:ascii="Times New Roman" w:hAnsi="Times New Roman"/>
                <w:sz w:val="20"/>
                <w:szCs w:val="20"/>
              </w:rPr>
              <w:t xml:space="preserve"> </w:t>
            </w:r>
            <w:r w:rsidRPr="00E84159">
              <w:rPr>
                <w:rFonts w:ascii="Times New Roman" w:hAnsi="Times New Roman"/>
                <w:sz w:val="20"/>
                <w:szCs w:val="20"/>
              </w:rPr>
              <w:t>A la deuxième phase, le remboursement se fera sur la même période de 6 mois. Le taux d’intérêt est de 8% l’an, soit 4% sur la période du crédit. Le taux d’intérêt réel (celui qui est effectivement supporté par le bénéficiaire du prêt) est de 3% et celui stratégique (il s’agit d’une épargne puisque le montant correspondant est restitué au client à la fin de cette étape du processus) est de 5% l’an, soit respectivement sur les 06 mois des taux de 1,5% et 2,5%. La même procédure est adoptée pour le tableau de remboursement.</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En termes de garanties de la part des bénéficiaires, l’accès au crédit doit se faire en groupe solidaire de 05 à 15 personnes ayant à leur tête une représentante dont le rôle est de collecter les remboursements à verser à la structure prêteuse. Toutefois, la gestion du crédit reste individuelle.</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Deux types de produits accompagnent le micro crédit aux plus pauvres : la formation et l’épargne (cf. supra). La formation est obligatoire et consiste en l’alphabétisation et l’initiation aux notions cardinales ci-après :</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 xml:space="preserve">- La gestion de la mutualité et des coopératives et les mécanismes de fonctionnement d’un groupe ou groupement solidaire ; </w:t>
            </w:r>
          </w:p>
          <w:p w:rsidR="00E84159" w:rsidRPr="00E84159" w:rsidRDefault="00E84159" w:rsidP="00E84159">
            <w:pPr>
              <w:spacing w:line="240" w:lineRule="auto"/>
              <w:rPr>
                <w:rFonts w:ascii="Times New Roman" w:hAnsi="Times New Roman"/>
                <w:sz w:val="20"/>
                <w:szCs w:val="20"/>
              </w:rPr>
            </w:pPr>
            <w:r w:rsidRPr="00E84159">
              <w:rPr>
                <w:rFonts w:ascii="Times New Roman" w:hAnsi="Times New Roman"/>
                <w:sz w:val="20"/>
                <w:szCs w:val="20"/>
              </w:rPr>
              <w:t xml:space="preserve">- La gestion des cycles d’activités génératrices de revenus, </w:t>
            </w:r>
          </w:p>
          <w:p w:rsidR="00E84159" w:rsidRPr="00E84159" w:rsidRDefault="00E84159" w:rsidP="00E84159">
            <w:pPr>
              <w:spacing w:line="240" w:lineRule="auto"/>
              <w:rPr>
                <w:rFonts w:ascii="Times New Roman" w:hAnsi="Times New Roman"/>
              </w:rPr>
            </w:pPr>
            <w:r w:rsidRPr="00E84159">
              <w:rPr>
                <w:rFonts w:ascii="Times New Roman" w:hAnsi="Times New Roman"/>
                <w:sz w:val="20"/>
                <w:szCs w:val="20"/>
              </w:rPr>
              <w:t>- Les notions élémentaires de tenue de comptabilité, de crédit et des principales obligations.</w:t>
            </w:r>
          </w:p>
          <w:p w:rsidR="00E84159" w:rsidRPr="00E84159" w:rsidRDefault="00E84159" w:rsidP="00E84159">
            <w:pPr>
              <w:pStyle w:val="NormalWeb"/>
              <w:spacing w:before="0" w:beforeAutospacing="0" w:after="0" w:afterAutospacing="0"/>
              <w:jc w:val="both"/>
              <w:rPr>
                <w:sz w:val="20"/>
              </w:rPr>
            </w:pPr>
            <w:r w:rsidRPr="00E84159">
              <w:rPr>
                <w:sz w:val="20"/>
              </w:rPr>
              <w:t>Pour accéder au programme, les populations cibles doivent apporter une contribution de 1000 francs CFA en guise de leur engagement à participer au programme. Cette somme est répartie en frais d’adhésion (500 FCFA), de formation (300 FCFA) et de dossiers (200 FCFA). De nombreuses études ont montré que pendant les premières années de mise du programme, les bénéficiaires ont supporté bien au-delà de ce montant.</w:t>
            </w:r>
          </w:p>
          <w:p w:rsidR="00E84159" w:rsidRPr="00E84159" w:rsidRDefault="00E84159" w:rsidP="00E84159">
            <w:pPr>
              <w:pStyle w:val="NormalWeb"/>
              <w:spacing w:before="0" w:beforeAutospacing="0" w:after="0" w:afterAutospacing="0"/>
              <w:jc w:val="both"/>
              <w:rPr>
                <w:sz w:val="20"/>
              </w:rPr>
            </w:pPr>
            <w:r w:rsidRPr="00E84159">
              <w:rPr>
                <w:sz w:val="20"/>
              </w:rPr>
              <w:t>Au 31 Décembre 2012, le montant cumulé des fonds alloués au MCPP s’élevait à 59,96 milliards de francs FCFA dont 57 au titre du fonds de dotations et 2,96 au titre des frais de gestions des IMF partenaires du programme.</w:t>
            </w:r>
          </w:p>
          <w:p w:rsidR="000B7460" w:rsidRPr="006B0732" w:rsidRDefault="00E84159" w:rsidP="00E84159">
            <w:pPr>
              <w:spacing w:line="240" w:lineRule="auto"/>
              <w:rPr>
                <w:rFonts w:ascii="Times New Roman" w:eastAsia="Arial Unicode MS" w:hAnsi="Times New Roman"/>
                <w:sz w:val="20"/>
                <w:szCs w:val="20"/>
              </w:rPr>
            </w:pPr>
            <w:r w:rsidRPr="00E84159">
              <w:rPr>
                <w:rFonts w:ascii="Times New Roman" w:hAnsi="Times New Roman"/>
                <w:sz w:val="20"/>
              </w:rPr>
              <w:t>Le nombre de bénéficiaires du programme est passé de 174.762 en 2007 à 675.134 au 30 juin 2010. L</w:t>
            </w:r>
            <w:r w:rsidRPr="00E84159">
              <w:rPr>
                <w:rFonts w:ascii="Times New Roman" w:eastAsiaTheme="minorHAnsi" w:hAnsi="Times New Roman"/>
                <w:sz w:val="20"/>
              </w:rPr>
              <w:t xml:space="preserve">e montant total des crédits mis en place s’élève à 55 milliard.993.944.000 FCFA au 31 décembre 2012 pour un total de </w:t>
            </w:r>
            <w:r w:rsidRPr="00E84159">
              <w:rPr>
                <w:rFonts w:ascii="Times New Roman" w:eastAsiaTheme="minorHAnsi" w:hAnsi="Times New Roman"/>
                <w:bCs/>
                <w:sz w:val="20"/>
              </w:rPr>
              <w:t xml:space="preserve">907.316 </w:t>
            </w:r>
            <w:r w:rsidRPr="00E84159">
              <w:rPr>
                <w:rFonts w:ascii="Times New Roman" w:eastAsiaTheme="minorHAnsi" w:hAnsi="Times New Roman"/>
                <w:sz w:val="20"/>
              </w:rPr>
              <w:t xml:space="preserve">bénéficiaires avec </w:t>
            </w:r>
            <w:r w:rsidRPr="00E84159">
              <w:rPr>
                <w:rFonts w:ascii="Times New Roman" w:eastAsiaTheme="minorHAnsi" w:hAnsi="Times New Roman"/>
                <w:bCs/>
                <w:sz w:val="20"/>
              </w:rPr>
              <w:t>1.616.449 micro crédits placés</w:t>
            </w:r>
            <w:r w:rsidRPr="006C4D0C">
              <w:rPr>
                <w:rFonts w:ascii="BookmanOldStyle-Bold" w:eastAsiaTheme="minorHAnsi" w:hAnsi="BookmanOldStyle-Bold" w:cs="BookmanOldStyle-Bold"/>
                <w:bCs/>
                <w:sz w:val="20"/>
              </w:rPr>
              <w:t>.</w:t>
            </w:r>
          </w:p>
        </w:tc>
      </w:tr>
      <w:tr w:rsidR="000B7460" w:rsidRPr="00F752BF" w:rsidTr="00E84159">
        <w:tc>
          <w:tcPr>
            <w:tcW w:w="9104" w:type="dxa"/>
            <w:tcBorders>
              <w:top w:val="single" w:sz="4" w:space="0" w:color="000000"/>
              <w:left w:val="nil"/>
              <w:bottom w:val="nil"/>
              <w:right w:val="nil"/>
            </w:tcBorders>
            <w:shd w:val="clear" w:color="auto" w:fill="auto"/>
          </w:tcPr>
          <w:p w:rsidR="00E84159" w:rsidRDefault="00E84159" w:rsidP="00E84159">
            <w:pPr>
              <w:pStyle w:val="NormalWeb"/>
              <w:spacing w:before="0" w:beforeAutospacing="0"/>
              <w:jc w:val="both"/>
              <w:rPr>
                <w:sz w:val="20"/>
                <w:szCs w:val="36"/>
              </w:rPr>
            </w:pPr>
            <w:r w:rsidRPr="00E84159">
              <w:rPr>
                <w:b/>
                <w:sz w:val="20"/>
                <w:szCs w:val="36"/>
              </w:rPr>
              <w:t>Sources </w:t>
            </w:r>
            <w:r>
              <w:rPr>
                <w:sz w:val="20"/>
                <w:szCs w:val="36"/>
              </w:rPr>
              <w:t>: Accrombessy, Félicien Donat Edgar T. « </w:t>
            </w:r>
            <w:r w:rsidRPr="006C4D0C">
              <w:rPr>
                <w:sz w:val="20"/>
                <w:szCs w:val="36"/>
              </w:rPr>
              <w:t>Comment améliorer les dispositifs d’appui aux programmes gouvernementaux de microcrédits dans le cadre de la lutte contre la pauvreté ?</w:t>
            </w:r>
            <w:r>
              <w:rPr>
                <w:sz w:val="20"/>
                <w:szCs w:val="36"/>
              </w:rPr>
              <w:t> :</w:t>
            </w:r>
            <w:r w:rsidRPr="006C4D0C">
              <w:rPr>
                <w:sz w:val="20"/>
                <w:szCs w:val="36"/>
              </w:rPr>
              <w:t xml:space="preserve"> Cas du Bénin</w:t>
            </w:r>
            <w:r>
              <w:rPr>
                <w:sz w:val="20"/>
                <w:szCs w:val="36"/>
              </w:rPr>
              <w:t> »mémoire du Master MOPP Cefeb-Cerdi, Université d’Auvergne, mars 2010 ;  Rapport d’activité 2012 du Fonds National de la Microfinance, 2013.</w:t>
            </w:r>
          </w:p>
          <w:p w:rsidR="000B7460" w:rsidRPr="00F752BF" w:rsidRDefault="000B7460" w:rsidP="000B7460">
            <w:pPr>
              <w:spacing w:line="240" w:lineRule="auto"/>
              <w:jc w:val="left"/>
              <w:rPr>
                <w:rFonts w:ascii="Times New Roman" w:eastAsia="Arial Unicode MS" w:hAnsi="Times New Roman"/>
                <w:sz w:val="20"/>
                <w:szCs w:val="20"/>
              </w:rPr>
            </w:pPr>
          </w:p>
        </w:tc>
      </w:tr>
    </w:tbl>
    <w:p w:rsidR="00AC42D0" w:rsidRDefault="003740B0" w:rsidP="003740B0">
      <w:pPr>
        <w:spacing w:after="200" w:line="276" w:lineRule="auto"/>
        <w:rPr>
          <w:rFonts w:ascii="Times New Roman" w:eastAsia="Times New Roman" w:hAnsi="Times New Roman"/>
          <w:sz w:val="24"/>
          <w:szCs w:val="24"/>
          <w:lang w:eastAsia="fr-FR"/>
        </w:rPr>
      </w:pPr>
      <w:r w:rsidRPr="007B43D0">
        <w:rPr>
          <w:rFonts w:ascii="Times New Roman" w:eastAsia="Arial Unicode MS" w:hAnsi="Times New Roman"/>
          <w:sz w:val="24"/>
          <w:szCs w:val="24"/>
        </w:rPr>
        <w:t xml:space="preserve">Quant à la pauvreté non monétaire, elle touche plus les ménages dirigés par des femmes que ceux dirigés par des hommes. En effet, 27,7% des individus vivant dans les ménages dirigés par des hommes sont pauvres en conditions de vie contre 38,7% pour les ménages dirigés par des femmes en 2011. En considérant l’évolution </w:t>
      </w:r>
      <w:r w:rsidR="00044A36">
        <w:rPr>
          <w:rFonts w:ascii="Times New Roman" w:eastAsia="Arial Unicode MS" w:hAnsi="Times New Roman"/>
          <w:sz w:val="24"/>
          <w:szCs w:val="24"/>
        </w:rPr>
        <w:t xml:space="preserve">sur la période </w:t>
      </w:r>
      <w:r w:rsidRPr="007B43D0">
        <w:rPr>
          <w:rFonts w:ascii="Times New Roman" w:eastAsia="Arial Unicode MS" w:hAnsi="Times New Roman"/>
          <w:sz w:val="24"/>
          <w:szCs w:val="24"/>
        </w:rPr>
        <w:t xml:space="preserve">2006-2011, la pauvreté non monétaire </w:t>
      </w:r>
      <w:r w:rsidR="00C7186C">
        <w:rPr>
          <w:rFonts w:ascii="Times New Roman" w:eastAsia="Arial Unicode MS" w:hAnsi="Times New Roman"/>
          <w:sz w:val="24"/>
          <w:szCs w:val="24"/>
        </w:rPr>
        <w:t>a baissé</w:t>
      </w:r>
      <w:r w:rsidRPr="007B43D0">
        <w:rPr>
          <w:rFonts w:ascii="Times New Roman" w:eastAsia="Arial Unicode MS" w:hAnsi="Times New Roman"/>
          <w:sz w:val="24"/>
          <w:szCs w:val="24"/>
        </w:rPr>
        <w:t xml:space="preserve"> plus </w:t>
      </w:r>
      <w:r w:rsidR="00C7186C">
        <w:rPr>
          <w:rFonts w:ascii="Times New Roman" w:eastAsia="Arial Unicode MS" w:hAnsi="Times New Roman"/>
          <w:sz w:val="24"/>
          <w:szCs w:val="24"/>
        </w:rPr>
        <w:t>au niveau des</w:t>
      </w:r>
      <w:r w:rsidRPr="007B43D0">
        <w:rPr>
          <w:rFonts w:ascii="Times New Roman" w:eastAsia="Arial Unicode MS" w:hAnsi="Times New Roman"/>
          <w:sz w:val="24"/>
          <w:szCs w:val="24"/>
        </w:rPr>
        <w:t xml:space="preserve"> ménages dirigés par des </w:t>
      </w:r>
      <w:r w:rsidR="00C7186C">
        <w:rPr>
          <w:rFonts w:ascii="Times New Roman" w:eastAsia="Arial Unicode MS" w:hAnsi="Times New Roman"/>
          <w:sz w:val="24"/>
          <w:szCs w:val="24"/>
        </w:rPr>
        <w:t>ho</w:t>
      </w:r>
      <w:r w:rsidRPr="007B43D0">
        <w:rPr>
          <w:rFonts w:ascii="Times New Roman" w:eastAsia="Arial Unicode MS" w:hAnsi="Times New Roman"/>
          <w:sz w:val="24"/>
          <w:szCs w:val="24"/>
        </w:rPr>
        <w:t>mmes qu</w:t>
      </w:r>
      <w:r w:rsidR="00C7186C">
        <w:rPr>
          <w:rFonts w:ascii="Times New Roman" w:eastAsia="Arial Unicode MS" w:hAnsi="Times New Roman"/>
          <w:sz w:val="24"/>
          <w:szCs w:val="24"/>
        </w:rPr>
        <w:t>’au niveau de c</w:t>
      </w:r>
      <w:r w:rsidRPr="007B43D0">
        <w:rPr>
          <w:rFonts w:ascii="Times New Roman" w:eastAsia="Arial Unicode MS" w:hAnsi="Times New Roman"/>
          <w:sz w:val="24"/>
          <w:szCs w:val="24"/>
        </w:rPr>
        <w:t>e</w:t>
      </w:r>
      <w:r w:rsidR="00C7186C">
        <w:rPr>
          <w:rFonts w:ascii="Times New Roman" w:eastAsia="Arial Unicode MS" w:hAnsi="Times New Roman"/>
          <w:sz w:val="24"/>
          <w:szCs w:val="24"/>
        </w:rPr>
        <w:t>ux</w:t>
      </w:r>
      <w:r w:rsidRPr="007B43D0">
        <w:rPr>
          <w:rFonts w:ascii="Times New Roman" w:eastAsia="Arial Unicode MS" w:hAnsi="Times New Roman"/>
          <w:sz w:val="24"/>
          <w:szCs w:val="24"/>
        </w:rPr>
        <w:t xml:space="preserve"> dirigés par des </w:t>
      </w:r>
      <w:r w:rsidR="00C7186C">
        <w:rPr>
          <w:rFonts w:ascii="Times New Roman" w:eastAsia="Arial Unicode MS" w:hAnsi="Times New Roman"/>
          <w:sz w:val="24"/>
          <w:szCs w:val="24"/>
        </w:rPr>
        <w:t>fe</w:t>
      </w:r>
      <w:r w:rsidRPr="007B43D0">
        <w:rPr>
          <w:rFonts w:ascii="Times New Roman" w:eastAsia="Arial Unicode MS" w:hAnsi="Times New Roman"/>
          <w:sz w:val="24"/>
          <w:szCs w:val="24"/>
        </w:rPr>
        <w:t xml:space="preserve">mmes. Si l’on considère les évolutions intermédiaires, il apparaît </w:t>
      </w:r>
      <w:r w:rsidR="00226AAF">
        <w:rPr>
          <w:rFonts w:ascii="Times New Roman" w:eastAsia="Arial Unicode MS" w:hAnsi="Times New Roman"/>
          <w:sz w:val="24"/>
          <w:szCs w:val="24"/>
        </w:rPr>
        <w:t xml:space="preserve">également </w:t>
      </w:r>
      <w:r w:rsidRPr="007B43D0">
        <w:rPr>
          <w:rFonts w:ascii="Times New Roman" w:eastAsia="Arial Unicode MS" w:hAnsi="Times New Roman"/>
          <w:sz w:val="24"/>
          <w:szCs w:val="24"/>
        </w:rPr>
        <w:t xml:space="preserve">que la pauvreté non monétaire a </w:t>
      </w:r>
      <w:r w:rsidR="00C7186C">
        <w:rPr>
          <w:rFonts w:ascii="Times New Roman" w:eastAsia="Arial Unicode MS" w:hAnsi="Times New Roman"/>
          <w:sz w:val="24"/>
          <w:szCs w:val="24"/>
        </w:rPr>
        <w:t>diminué</w:t>
      </w:r>
      <w:r w:rsidR="003A297F">
        <w:rPr>
          <w:rFonts w:ascii="Times New Roman" w:eastAsia="Arial Unicode MS" w:hAnsi="Times New Roman"/>
          <w:sz w:val="24"/>
          <w:szCs w:val="24"/>
        </w:rPr>
        <w:t xml:space="preserve"> </w:t>
      </w:r>
      <w:r w:rsidR="00C7186C">
        <w:rPr>
          <w:rFonts w:ascii="Times New Roman" w:eastAsia="Arial Unicode MS" w:hAnsi="Times New Roman"/>
          <w:sz w:val="24"/>
          <w:szCs w:val="24"/>
        </w:rPr>
        <w:t>plus au niveau des</w:t>
      </w:r>
      <w:r w:rsidRPr="007B43D0">
        <w:rPr>
          <w:rFonts w:ascii="Times New Roman" w:eastAsia="Arial Unicode MS" w:hAnsi="Times New Roman"/>
          <w:sz w:val="24"/>
          <w:szCs w:val="24"/>
        </w:rPr>
        <w:t xml:space="preserve"> ménages dirigés par des </w:t>
      </w:r>
      <w:r w:rsidR="00C7186C">
        <w:rPr>
          <w:rFonts w:ascii="Times New Roman" w:eastAsia="Arial Unicode MS" w:hAnsi="Times New Roman"/>
          <w:sz w:val="24"/>
          <w:szCs w:val="24"/>
        </w:rPr>
        <w:t xml:space="preserve">hommes </w:t>
      </w:r>
      <w:r w:rsidR="00C7186C" w:rsidRPr="007B43D0">
        <w:rPr>
          <w:rFonts w:ascii="Times New Roman" w:eastAsia="Arial Unicode MS" w:hAnsi="Times New Roman"/>
          <w:sz w:val="24"/>
          <w:szCs w:val="24"/>
        </w:rPr>
        <w:t>qu</w:t>
      </w:r>
      <w:r w:rsidR="00C7186C">
        <w:rPr>
          <w:rFonts w:ascii="Times New Roman" w:eastAsia="Arial Unicode MS" w:hAnsi="Times New Roman"/>
          <w:sz w:val="24"/>
          <w:szCs w:val="24"/>
        </w:rPr>
        <w:t>’au niveau de c</w:t>
      </w:r>
      <w:r w:rsidR="00C7186C" w:rsidRPr="007B43D0">
        <w:rPr>
          <w:rFonts w:ascii="Times New Roman" w:eastAsia="Arial Unicode MS" w:hAnsi="Times New Roman"/>
          <w:sz w:val="24"/>
          <w:szCs w:val="24"/>
        </w:rPr>
        <w:t>e</w:t>
      </w:r>
      <w:r w:rsidR="00C7186C">
        <w:rPr>
          <w:rFonts w:ascii="Times New Roman" w:eastAsia="Arial Unicode MS" w:hAnsi="Times New Roman"/>
          <w:sz w:val="24"/>
          <w:szCs w:val="24"/>
        </w:rPr>
        <w:t>ux</w:t>
      </w:r>
      <w:r w:rsidR="00C7186C" w:rsidRPr="007B43D0">
        <w:rPr>
          <w:rFonts w:ascii="Times New Roman" w:eastAsia="Arial Unicode MS" w:hAnsi="Times New Roman"/>
          <w:sz w:val="24"/>
          <w:szCs w:val="24"/>
        </w:rPr>
        <w:t xml:space="preserve"> dirigés par des </w:t>
      </w:r>
      <w:r w:rsidR="00C7186C">
        <w:rPr>
          <w:rFonts w:ascii="Times New Roman" w:eastAsia="Arial Unicode MS" w:hAnsi="Times New Roman"/>
          <w:sz w:val="24"/>
          <w:szCs w:val="24"/>
        </w:rPr>
        <w:t>fe</w:t>
      </w:r>
      <w:r w:rsidR="00C7186C" w:rsidRPr="007B43D0">
        <w:rPr>
          <w:rFonts w:ascii="Times New Roman" w:eastAsia="Arial Unicode MS" w:hAnsi="Times New Roman"/>
          <w:sz w:val="24"/>
          <w:szCs w:val="24"/>
        </w:rPr>
        <w:t>mmes</w:t>
      </w:r>
      <w:r w:rsidR="00C7186C">
        <w:rPr>
          <w:rFonts w:ascii="Times New Roman" w:eastAsia="Arial Unicode MS" w:hAnsi="Times New Roman"/>
          <w:sz w:val="24"/>
          <w:szCs w:val="24"/>
        </w:rPr>
        <w:t xml:space="preserve"> sur la période 2009-2011</w:t>
      </w:r>
      <w:r w:rsidRPr="007B43D0">
        <w:rPr>
          <w:rFonts w:ascii="Times New Roman" w:eastAsia="Arial Unicode MS" w:hAnsi="Times New Roman"/>
          <w:sz w:val="24"/>
          <w:szCs w:val="24"/>
        </w:rPr>
        <w:t xml:space="preserve">. </w:t>
      </w:r>
      <w:r w:rsidR="003B4EEA">
        <w:rPr>
          <w:rFonts w:ascii="Times New Roman" w:eastAsia="Arial Unicode MS" w:hAnsi="Times New Roman"/>
          <w:sz w:val="24"/>
          <w:szCs w:val="24"/>
        </w:rPr>
        <w:t xml:space="preserve">Ces résultats semblent montrer que les ménages dirigés par des femmes </w:t>
      </w:r>
      <w:r w:rsidR="00B76D0A" w:rsidRPr="00B76D0A">
        <w:rPr>
          <w:rFonts w:ascii="Times New Roman" w:eastAsia="Arial Unicode MS" w:hAnsi="Times New Roman"/>
          <w:sz w:val="24"/>
          <w:szCs w:val="24"/>
        </w:rPr>
        <w:t xml:space="preserve">seraient </w:t>
      </w:r>
      <w:r w:rsidR="003B4EEA">
        <w:rPr>
          <w:rFonts w:ascii="Times New Roman" w:eastAsia="Arial Unicode MS" w:hAnsi="Times New Roman"/>
          <w:sz w:val="24"/>
          <w:szCs w:val="24"/>
        </w:rPr>
        <w:t xml:space="preserve">plus vulnérables </w:t>
      </w:r>
      <w:r w:rsidR="00B76D0A" w:rsidRPr="00B76D0A">
        <w:rPr>
          <w:rFonts w:ascii="Times New Roman" w:eastAsia="Arial Unicode MS" w:hAnsi="Times New Roman"/>
          <w:sz w:val="24"/>
          <w:szCs w:val="24"/>
        </w:rPr>
        <w:t xml:space="preserve">aux chocs exogènes car disposant de moins que les hommes d’actifs physiques dont la cession temporaire pourrait être utilisée comme une stratégie de survie. </w:t>
      </w:r>
      <w:r w:rsidR="00AC00D3">
        <w:rPr>
          <w:rFonts w:ascii="Times New Roman" w:eastAsia="Arial Unicode MS" w:hAnsi="Times New Roman"/>
          <w:sz w:val="24"/>
          <w:szCs w:val="24"/>
        </w:rPr>
        <w:t>Ils montrent aussi la</w:t>
      </w:r>
      <w:r w:rsidR="003E5AAB">
        <w:rPr>
          <w:rFonts w:ascii="Times New Roman" w:eastAsia="Arial Unicode MS" w:hAnsi="Times New Roman"/>
          <w:sz w:val="24"/>
          <w:szCs w:val="24"/>
        </w:rPr>
        <w:t xml:space="preserve"> prédisposition des </w:t>
      </w:r>
      <w:r w:rsidR="00AC00D3">
        <w:rPr>
          <w:rFonts w:ascii="Times New Roman" w:eastAsia="Arial Unicode MS" w:hAnsi="Times New Roman"/>
          <w:sz w:val="24"/>
          <w:szCs w:val="24"/>
        </w:rPr>
        <w:t xml:space="preserve">femmes à </w:t>
      </w:r>
      <w:r w:rsidR="003E5AAB">
        <w:rPr>
          <w:rFonts w:ascii="Times New Roman" w:eastAsia="Arial Unicode MS" w:hAnsi="Times New Roman"/>
          <w:sz w:val="24"/>
          <w:szCs w:val="24"/>
        </w:rPr>
        <w:t>privilégier le bien-être de leur ménage à travers une forte orientation de leur revenu sur les dépenses de consommation</w:t>
      </w:r>
      <w:r w:rsidR="00EE795F">
        <w:rPr>
          <w:rFonts w:ascii="Times New Roman" w:eastAsia="Arial Unicode MS" w:hAnsi="Times New Roman"/>
          <w:sz w:val="24"/>
          <w:szCs w:val="24"/>
        </w:rPr>
        <w:t>. En effet, le</w:t>
      </w:r>
      <w:r w:rsidR="00A13223">
        <w:rPr>
          <w:rFonts w:ascii="Times New Roman" w:eastAsia="Arial Unicode MS" w:hAnsi="Times New Roman"/>
          <w:sz w:val="24"/>
          <w:szCs w:val="24"/>
        </w:rPr>
        <w:t xml:space="preserve"> tableau ci-dessous</w:t>
      </w:r>
      <w:r w:rsidR="00EE795F">
        <w:rPr>
          <w:rFonts w:ascii="Times New Roman" w:eastAsia="Arial Unicode MS" w:hAnsi="Times New Roman"/>
          <w:sz w:val="24"/>
          <w:szCs w:val="24"/>
        </w:rPr>
        <w:t xml:space="preserve"> montre</w:t>
      </w:r>
      <w:r w:rsidR="00F94AB1">
        <w:rPr>
          <w:rFonts w:ascii="Times New Roman" w:eastAsia="Arial Unicode MS" w:hAnsi="Times New Roman"/>
          <w:sz w:val="24"/>
          <w:szCs w:val="24"/>
        </w:rPr>
        <w:t xml:space="preserve"> les postes de dépenses qui caractérisent</w:t>
      </w:r>
      <w:r w:rsidR="000E185C">
        <w:rPr>
          <w:rStyle w:val="Appelnotedebasdep"/>
          <w:rFonts w:ascii="Times New Roman" w:hAnsi="Times New Roman"/>
        </w:rPr>
        <w:footnoteReference w:id="28"/>
      </w:r>
      <w:r w:rsidR="00F94AB1">
        <w:rPr>
          <w:rFonts w:ascii="Times New Roman" w:eastAsia="Arial Unicode MS" w:hAnsi="Times New Roman"/>
          <w:sz w:val="24"/>
          <w:szCs w:val="24"/>
        </w:rPr>
        <w:t xml:space="preserve"> les ménages selon le sexe de celui qui le dirige. Ainsi, pour les ménages dirigés par les hommes, on retrouve prioritairement</w:t>
      </w:r>
      <w:r w:rsidR="003A297F">
        <w:rPr>
          <w:rFonts w:ascii="Times New Roman" w:eastAsia="Arial Unicode MS" w:hAnsi="Times New Roman"/>
          <w:sz w:val="24"/>
          <w:szCs w:val="24"/>
        </w:rPr>
        <w:t xml:space="preserve"> </w:t>
      </w:r>
      <w:r w:rsidR="00F94AB1">
        <w:rPr>
          <w:rFonts w:ascii="Times New Roman" w:eastAsia="Arial Unicode MS" w:hAnsi="Times New Roman"/>
          <w:sz w:val="24"/>
          <w:szCs w:val="24"/>
        </w:rPr>
        <w:t xml:space="preserve">les dépenses de transport, de boissons alcoolisées, tabac et stupéfiant, de communications et de restauration alors que du côté des ménages dirigés par les femmes, il s’agit des </w:t>
      </w:r>
      <w:r w:rsidR="00EE798C">
        <w:rPr>
          <w:rFonts w:ascii="Times New Roman" w:eastAsia="Arial Unicode MS" w:hAnsi="Times New Roman"/>
          <w:sz w:val="24"/>
          <w:szCs w:val="24"/>
        </w:rPr>
        <w:t xml:space="preserve">postes de consommation alimentaire et boisson non alcoolisées, </w:t>
      </w:r>
      <w:r w:rsidR="00EE798C" w:rsidRPr="00C73715">
        <w:rPr>
          <w:rFonts w:ascii="Times New Roman" w:eastAsia="Arial Unicode MS" w:hAnsi="Times New Roman"/>
          <w:sz w:val="24"/>
          <w:szCs w:val="24"/>
        </w:rPr>
        <w:t>l</w:t>
      </w:r>
      <w:r w:rsidR="00EE798C" w:rsidRPr="00C73715">
        <w:rPr>
          <w:rFonts w:ascii="Times New Roman" w:eastAsia="Times New Roman" w:hAnsi="Times New Roman"/>
          <w:sz w:val="24"/>
          <w:szCs w:val="24"/>
          <w:lang w:eastAsia="fr-FR"/>
        </w:rPr>
        <w:t xml:space="preserve">ogement, eau, électricité, gaz et autres combustibles, enseignements et santé. </w:t>
      </w:r>
    </w:p>
    <w:p w:rsidR="00AD7BC1" w:rsidRPr="00EF2AF6" w:rsidRDefault="00AD7BC1" w:rsidP="00AD7BC1">
      <w:pPr>
        <w:spacing w:line="240" w:lineRule="auto"/>
        <w:rPr>
          <w:rFonts w:ascii="Times New Roman" w:eastAsia="Times New Roman" w:hAnsi="Times New Roman"/>
          <w:sz w:val="12"/>
          <w:szCs w:val="12"/>
          <w:lang w:eastAsia="fr-FR"/>
        </w:rPr>
      </w:pPr>
    </w:p>
    <w:tbl>
      <w:tblPr>
        <w:tblW w:w="8945" w:type="dxa"/>
        <w:tblInd w:w="56" w:type="dxa"/>
        <w:tblCellMar>
          <w:left w:w="70" w:type="dxa"/>
          <w:right w:w="70" w:type="dxa"/>
        </w:tblCellMar>
        <w:tblLook w:val="04A0" w:firstRow="1" w:lastRow="0" w:firstColumn="1" w:lastColumn="0" w:noHBand="0" w:noVBand="1"/>
      </w:tblPr>
      <w:tblGrid>
        <w:gridCol w:w="5543"/>
        <w:gridCol w:w="1701"/>
        <w:gridCol w:w="1701"/>
      </w:tblGrid>
      <w:tr w:rsidR="00AD7BC1" w:rsidRPr="00AC5D5F" w:rsidTr="00C46EF6">
        <w:trPr>
          <w:trHeight w:val="238"/>
        </w:trPr>
        <w:tc>
          <w:tcPr>
            <w:tcW w:w="8945" w:type="dxa"/>
            <w:gridSpan w:val="3"/>
            <w:tcBorders>
              <w:bottom w:val="double" w:sz="4" w:space="0" w:color="auto"/>
            </w:tcBorders>
            <w:shd w:val="clear" w:color="auto" w:fill="92CDDC" w:themeFill="accent5" w:themeFillTint="99"/>
            <w:vAlign w:val="center"/>
            <w:hideMark/>
          </w:tcPr>
          <w:p w:rsidR="00AD7BC1" w:rsidRPr="00AC5D5F" w:rsidRDefault="00AC5D5F" w:rsidP="00273A58">
            <w:pPr>
              <w:spacing w:line="240" w:lineRule="auto"/>
              <w:rPr>
                <w:rFonts w:ascii="Times New Roman" w:eastAsia="Arial Unicode MS" w:hAnsi="Times New Roman"/>
                <w:sz w:val="24"/>
                <w:szCs w:val="24"/>
              </w:rPr>
            </w:pPr>
            <w:bookmarkStart w:id="40" w:name="_Toc369712333"/>
            <w:bookmarkStart w:id="41" w:name="_Toc369712420"/>
            <w:bookmarkStart w:id="42" w:name="_Toc369719858"/>
            <w:r w:rsidRPr="00AC5D5F">
              <w:rPr>
                <w:rFonts w:ascii="Times New Roman" w:hAnsi="Times New Roman"/>
                <w:sz w:val="24"/>
                <w:szCs w:val="24"/>
              </w:rPr>
              <w:t>Tableau 1.</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Tableau_1.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4</w:t>
            </w:r>
            <w:r w:rsidR="00182C97" w:rsidRPr="00AC5D5F">
              <w:rPr>
                <w:rFonts w:ascii="Times New Roman" w:hAnsi="Times New Roman"/>
                <w:sz w:val="24"/>
                <w:szCs w:val="24"/>
              </w:rPr>
              <w:fldChar w:fldCharType="end"/>
            </w:r>
            <w:r w:rsidR="00955650" w:rsidRPr="00AC5D5F">
              <w:rPr>
                <w:rFonts w:ascii="Times New Roman" w:eastAsia="Arial Unicode MS" w:hAnsi="Times New Roman"/>
                <w:sz w:val="24"/>
                <w:szCs w:val="24"/>
              </w:rPr>
              <w:t xml:space="preserve"> : </w:t>
            </w:r>
            <w:r w:rsidR="00AD7BC1" w:rsidRPr="00AC5D5F">
              <w:rPr>
                <w:rFonts w:ascii="Times New Roman" w:hAnsi="Times New Roman"/>
                <w:sz w:val="24"/>
                <w:szCs w:val="24"/>
              </w:rPr>
              <w:t>Caractérisation des ménages selon</w:t>
            </w:r>
            <w:r w:rsidR="00EF2AF6" w:rsidRPr="00AC5D5F">
              <w:rPr>
                <w:rFonts w:ascii="Times New Roman" w:hAnsi="Times New Roman"/>
                <w:sz w:val="24"/>
                <w:szCs w:val="24"/>
              </w:rPr>
              <w:t xml:space="preserve"> le rang dans</w:t>
            </w:r>
            <w:r w:rsidR="003A297F">
              <w:rPr>
                <w:rFonts w:ascii="Times New Roman" w:hAnsi="Times New Roman"/>
                <w:sz w:val="24"/>
                <w:szCs w:val="24"/>
              </w:rPr>
              <w:t xml:space="preserve"> </w:t>
            </w:r>
            <w:r w:rsidR="00EF2AF6" w:rsidRPr="00AC5D5F">
              <w:rPr>
                <w:rFonts w:ascii="Times New Roman" w:hAnsi="Times New Roman"/>
                <w:sz w:val="24"/>
                <w:szCs w:val="24"/>
              </w:rPr>
              <w:t>la structure des dépenses de consommation suivant le sexe du chef de ménage</w:t>
            </w:r>
            <w:r w:rsidR="00273A58" w:rsidRPr="00AC5D5F">
              <w:rPr>
                <w:rFonts w:ascii="Times New Roman" w:hAnsi="Times New Roman"/>
                <w:sz w:val="24"/>
                <w:szCs w:val="24"/>
              </w:rPr>
              <w:t xml:space="preserve"> (CM)</w:t>
            </w:r>
            <w:bookmarkEnd w:id="40"/>
            <w:bookmarkEnd w:id="41"/>
            <w:bookmarkEnd w:id="42"/>
          </w:p>
        </w:tc>
      </w:tr>
      <w:tr w:rsidR="008961BE" w:rsidRPr="00C46EF6" w:rsidTr="00C46EF6">
        <w:trPr>
          <w:trHeight w:val="284"/>
        </w:trPr>
        <w:tc>
          <w:tcPr>
            <w:tcW w:w="5543" w:type="dxa"/>
            <w:tcBorders>
              <w:top w:val="double" w:sz="4" w:space="0" w:color="auto"/>
            </w:tcBorders>
            <w:shd w:val="clear" w:color="auto" w:fill="DAEEF3" w:themeFill="accent5" w:themeFillTint="33"/>
            <w:vAlign w:val="center"/>
            <w:hideMark/>
          </w:tcPr>
          <w:p w:rsidR="008961BE" w:rsidRPr="00C46EF6" w:rsidRDefault="008961BE" w:rsidP="003E787A">
            <w:pPr>
              <w:spacing w:line="240" w:lineRule="auto"/>
              <w:jc w:val="left"/>
              <w:rPr>
                <w:rFonts w:ascii="Times New Roman" w:eastAsia="Times New Roman" w:hAnsi="Times New Roman"/>
                <w:bCs/>
                <w:color w:val="000000"/>
                <w:lang w:eastAsia="fr-FR"/>
              </w:rPr>
            </w:pPr>
          </w:p>
        </w:tc>
        <w:tc>
          <w:tcPr>
            <w:tcW w:w="3402" w:type="dxa"/>
            <w:gridSpan w:val="2"/>
            <w:tcBorders>
              <w:top w:val="double" w:sz="4" w:space="0" w:color="auto"/>
              <w:bottom w:val="single" w:sz="4" w:space="0" w:color="auto"/>
            </w:tcBorders>
            <w:shd w:val="clear" w:color="auto" w:fill="DAEEF3" w:themeFill="accent5" w:themeFillTint="33"/>
            <w:vAlign w:val="center"/>
            <w:hideMark/>
          </w:tcPr>
          <w:p w:rsidR="008961BE" w:rsidRPr="00C46EF6" w:rsidRDefault="008961BE" w:rsidP="00273A58">
            <w:pPr>
              <w:spacing w:line="240" w:lineRule="auto"/>
              <w:jc w:val="center"/>
              <w:rPr>
                <w:rFonts w:ascii="Times New Roman" w:eastAsia="Times New Roman" w:hAnsi="Times New Roman"/>
                <w:bCs/>
                <w:color w:val="000000"/>
                <w:lang w:eastAsia="fr-FR"/>
              </w:rPr>
            </w:pPr>
            <w:r w:rsidRPr="00C46EF6">
              <w:rPr>
                <w:rFonts w:ascii="Times New Roman" w:eastAsia="Times New Roman" w:hAnsi="Times New Roman"/>
                <w:bCs/>
                <w:color w:val="000000"/>
                <w:lang w:eastAsia="fr-FR"/>
              </w:rPr>
              <w:t>Rang</w:t>
            </w:r>
            <w:r w:rsidR="00273A58">
              <w:rPr>
                <w:rFonts w:ascii="Times New Roman" w:eastAsia="Times New Roman" w:hAnsi="Times New Roman"/>
                <w:bCs/>
                <w:color w:val="000000"/>
                <w:lang w:eastAsia="fr-FR"/>
              </w:rPr>
              <w:t xml:space="preserve"> suivant </w:t>
            </w:r>
            <w:r w:rsidR="00EF2AF6">
              <w:rPr>
                <w:rFonts w:ascii="Times New Roman" w:eastAsia="Times New Roman" w:hAnsi="Times New Roman"/>
                <w:bCs/>
                <w:color w:val="000000"/>
                <w:lang w:eastAsia="fr-FR"/>
              </w:rPr>
              <w:t xml:space="preserve">le sexe du </w:t>
            </w:r>
            <w:r w:rsidR="00273A58">
              <w:rPr>
                <w:rFonts w:ascii="Times New Roman" w:eastAsia="Times New Roman" w:hAnsi="Times New Roman"/>
                <w:bCs/>
                <w:color w:val="000000"/>
                <w:lang w:eastAsia="fr-FR"/>
              </w:rPr>
              <w:t>CM</w:t>
            </w:r>
          </w:p>
        </w:tc>
      </w:tr>
      <w:tr w:rsidR="00F94AB1" w:rsidRPr="00C46EF6" w:rsidTr="00C46EF6">
        <w:trPr>
          <w:trHeight w:val="284"/>
        </w:trPr>
        <w:tc>
          <w:tcPr>
            <w:tcW w:w="5543" w:type="dxa"/>
            <w:tcBorders>
              <w:bottom w:val="single" w:sz="4" w:space="0" w:color="auto"/>
            </w:tcBorders>
            <w:shd w:val="clear" w:color="auto" w:fill="DAEEF3" w:themeFill="accent5" w:themeFillTint="33"/>
            <w:vAlign w:val="center"/>
            <w:hideMark/>
          </w:tcPr>
          <w:p w:rsidR="00F94AB1" w:rsidRPr="00C46EF6" w:rsidRDefault="00F94AB1" w:rsidP="003E787A">
            <w:pPr>
              <w:spacing w:line="240" w:lineRule="auto"/>
              <w:jc w:val="left"/>
              <w:rPr>
                <w:rFonts w:ascii="Times New Roman" w:eastAsia="Times New Roman" w:hAnsi="Times New Roman"/>
                <w:b/>
                <w:bCs/>
                <w:color w:val="000000"/>
                <w:lang w:eastAsia="fr-FR"/>
              </w:rPr>
            </w:pPr>
            <w:r w:rsidRPr="00C46EF6">
              <w:rPr>
                <w:rFonts w:ascii="Times New Roman" w:eastAsia="Times New Roman" w:hAnsi="Times New Roman"/>
                <w:b/>
                <w:bCs/>
                <w:color w:val="000000"/>
                <w:lang w:eastAsia="fr-FR"/>
              </w:rPr>
              <w:t xml:space="preserve">Postes de dépenses </w:t>
            </w:r>
          </w:p>
        </w:tc>
        <w:tc>
          <w:tcPr>
            <w:tcW w:w="1701" w:type="dxa"/>
            <w:tcBorders>
              <w:bottom w:val="single" w:sz="4" w:space="0" w:color="auto"/>
            </w:tcBorders>
            <w:shd w:val="clear" w:color="auto" w:fill="DAEEF3" w:themeFill="accent5" w:themeFillTint="33"/>
            <w:vAlign w:val="center"/>
            <w:hideMark/>
          </w:tcPr>
          <w:p w:rsidR="00F94AB1" w:rsidRPr="00C46EF6" w:rsidRDefault="00EF2AF6" w:rsidP="003E787A">
            <w:pPr>
              <w:spacing w:line="240" w:lineRule="auto"/>
              <w:jc w:val="center"/>
              <w:rPr>
                <w:rFonts w:ascii="Times New Roman" w:eastAsia="Times New Roman" w:hAnsi="Times New Roman"/>
                <w:bCs/>
                <w:color w:val="000000"/>
                <w:lang w:eastAsia="fr-FR"/>
              </w:rPr>
            </w:pPr>
            <w:r>
              <w:rPr>
                <w:rFonts w:ascii="Times New Roman" w:eastAsia="Times New Roman" w:hAnsi="Times New Roman"/>
                <w:bCs/>
                <w:color w:val="000000"/>
                <w:lang w:eastAsia="fr-FR"/>
              </w:rPr>
              <w:t>Homme</w:t>
            </w:r>
          </w:p>
        </w:tc>
        <w:tc>
          <w:tcPr>
            <w:tcW w:w="1701" w:type="dxa"/>
            <w:tcBorders>
              <w:bottom w:val="single" w:sz="4" w:space="0" w:color="auto"/>
            </w:tcBorders>
            <w:shd w:val="clear" w:color="auto" w:fill="DAEEF3" w:themeFill="accent5" w:themeFillTint="33"/>
            <w:vAlign w:val="center"/>
            <w:hideMark/>
          </w:tcPr>
          <w:p w:rsidR="00F94AB1" w:rsidRPr="00C46EF6" w:rsidRDefault="00EF2AF6" w:rsidP="003E787A">
            <w:pPr>
              <w:spacing w:line="240" w:lineRule="auto"/>
              <w:jc w:val="center"/>
              <w:rPr>
                <w:rFonts w:ascii="Times New Roman" w:eastAsia="Times New Roman" w:hAnsi="Times New Roman"/>
                <w:bCs/>
                <w:color w:val="000000"/>
                <w:lang w:eastAsia="fr-FR"/>
              </w:rPr>
            </w:pPr>
            <w:r>
              <w:rPr>
                <w:rFonts w:ascii="Times New Roman" w:eastAsia="Times New Roman" w:hAnsi="Times New Roman"/>
                <w:bCs/>
                <w:color w:val="000000"/>
                <w:lang w:eastAsia="fr-FR"/>
              </w:rPr>
              <w:t>Femme</w:t>
            </w:r>
          </w:p>
        </w:tc>
      </w:tr>
      <w:tr w:rsidR="00F94AB1" w:rsidRPr="003E787A" w:rsidTr="00C46EF6">
        <w:trPr>
          <w:trHeight w:val="340"/>
        </w:trPr>
        <w:tc>
          <w:tcPr>
            <w:tcW w:w="5543" w:type="dxa"/>
            <w:tcBorders>
              <w:top w:val="single" w:sz="4" w:space="0" w:color="auto"/>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T</w:t>
            </w:r>
            <w:r w:rsidRPr="003E787A">
              <w:rPr>
                <w:rFonts w:ascii="Times New Roman" w:eastAsia="Times New Roman" w:hAnsi="Times New Roman"/>
                <w:color w:val="000000"/>
                <w:lang w:eastAsia="fr-FR"/>
              </w:rPr>
              <w:t>ransports</w:t>
            </w:r>
          </w:p>
        </w:tc>
        <w:tc>
          <w:tcPr>
            <w:tcW w:w="1701" w:type="dxa"/>
            <w:tcBorders>
              <w:top w:val="single" w:sz="4" w:space="0" w:color="auto"/>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1</w:t>
            </w:r>
          </w:p>
        </w:tc>
        <w:tc>
          <w:tcPr>
            <w:tcW w:w="1701" w:type="dxa"/>
            <w:tcBorders>
              <w:top w:val="single" w:sz="4" w:space="0" w:color="auto"/>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5</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B</w:t>
            </w:r>
            <w:r w:rsidRPr="003E787A">
              <w:rPr>
                <w:rFonts w:ascii="Times New Roman" w:eastAsia="Times New Roman" w:hAnsi="Times New Roman"/>
                <w:color w:val="000000"/>
                <w:lang w:eastAsia="fr-FR"/>
              </w:rPr>
              <w:t>oissons alcoolisées, tabac et stupéfiant</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2</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11</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Communications</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3</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8</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Restaurants et hôtels</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4</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color w:val="000000"/>
                <w:lang w:eastAsia="fr-FR"/>
              </w:rPr>
            </w:pPr>
            <w:r w:rsidRPr="003E787A">
              <w:rPr>
                <w:rFonts w:ascii="Times New Roman" w:eastAsia="Times New Roman" w:hAnsi="Times New Roman"/>
                <w:color w:val="000000"/>
                <w:lang w:eastAsia="fr-FR"/>
              </w:rPr>
              <w:t>3</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Meubles, articles de ménages et entretien courant du foyer</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5</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10</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Biens et services divers</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6</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4</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Articles d'habillement et chaussures</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7</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6</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Sante</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8</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9</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Enseignements</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9</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7</w:t>
            </w:r>
          </w:p>
        </w:tc>
      </w:tr>
      <w:tr w:rsidR="00F94AB1" w:rsidRPr="003E787A" w:rsidTr="00EF2AF6">
        <w:trPr>
          <w:trHeight w:val="284"/>
        </w:trPr>
        <w:tc>
          <w:tcPr>
            <w:tcW w:w="5543" w:type="dxa"/>
            <w:tcBorders>
              <w:top w:val="nil"/>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Logement, eau, électricité, gaz et autres combustibles</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10</w:t>
            </w:r>
          </w:p>
        </w:tc>
        <w:tc>
          <w:tcPr>
            <w:tcW w:w="1701" w:type="dxa"/>
            <w:tcBorders>
              <w:top w:val="nil"/>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2</w:t>
            </w:r>
          </w:p>
        </w:tc>
      </w:tr>
      <w:tr w:rsidR="00F94AB1" w:rsidRPr="003E787A" w:rsidTr="00EF2AF6">
        <w:trPr>
          <w:trHeight w:val="284"/>
        </w:trPr>
        <w:tc>
          <w:tcPr>
            <w:tcW w:w="5543" w:type="dxa"/>
            <w:tcBorders>
              <w:top w:val="nil"/>
              <w:bottom w:val="double" w:sz="4" w:space="0" w:color="auto"/>
            </w:tcBorders>
            <w:shd w:val="clear" w:color="auto" w:fill="DAEEF3" w:themeFill="accent5" w:themeFillTint="33"/>
            <w:vAlign w:val="center"/>
            <w:hideMark/>
          </w:tcPr>
          <w:p w:rsidR="00F94AB1" w:rsidRPr="003E787A" w:rsidRDefault="00F94AB1" w:rsidP="003E787A">
            <w:pPr>
              <w:spacing w:line="240" w:lineRule="auto"/>
              <w:jc w:val="left"/>
              <w:rPr>
                <w:rFonts w:ascii="Times New Roman" w:eastAsia="Times New Roman" w:hAnsi="Times New Roman"/>
                <w:lang w:eastAsia="fr-FR"/>
              </w:rPr>
            </w:pPr>
            <w:r w:rsidRPr="003E787A">
              <w:rPr>
                <w:rFonts w:ascii="Times New Roman" w:eastAsia="Times New Roman" w:hAnsi="Times New Roman"/>
                <w:lang w:eastAsia="fr-FR"/>
              </w:rPr>
              <w:t>Alimentation et boisson non alcoolisées</w:t>
            </w:r>
          </w:p>
        </w:tc>
        <w:tc>
          <w:tcPr>
            <w:tcW w:w="1701" w:type="dxa"/>
            <w:tcBorders>
              <w:top w:val="nil"/>
              <w:bottom w:val="double" w:sz="4" w:space="0" w:color="auto"/>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11</w:t>
            </w:r>
          </w:p>
        </w:tc>
        <w:tc>
          <w:tcPr>
            <w:tcW w:w="1701" w:type="dxa"/>
            <w:tcBorders>
              <w:top w:val="nil"/>
              <w:bottom w:val="double" w:sz="4" w:space="0" w:color="auto"/>
            </w:tcBorders>
            <w:shd w:val="clear" w:color="auto" w:fill="DAEEF3" w:themeFill="accent5" w:themeFillTint="33"/>
            <w:noWrap/>
            <w:vAlign w:val="center"/>
            <w:hideMark/>
          </w:tcPr>
          <w:p w:rsidR="00F94AB1" w:rsidRPr="003E787A" w:rsidRDefault="00F94AB1" w:rsidP="003E787A">
            <w:pPr>
              <w:spacing w:line="240" w:lineRule="auto"/>
              <w:jc w:val="center"/>
              <w:rPr>
                <w:rFonts w:ascii="Times New Roman" w:eastAsia="Times New Roman" w:hAnsi="Times New Roman"/>
                <w:lang w:eastAsia="fr-FR"/>
              </w:rPr>
            </w:pPr>
            <w:r w:rsidRPr="003E787A">
              <w:rPr>
                <w:rFonts w:ascii="Times New Roman" w:eastAsia="Times New Roman" w:hAnsi="Times New Roman"/>
                <w:lang w:eastAsia="fr-FR"/>
              </w:rPr>
              <w:t>1</w:t>
            </w:r>
          </w:p>
        </w:tc>
      </w:tr>
      <w:tr w:rsidR="00AD7BC1" w:rsidRPr="00AD7BC1" w:rsidTr="00EF2AF6">
        <w:trPr>
          <w:trHeight w:val="284"/>
        </w:trPr>
        <w:tc>
          <w:tcPr>
            <w:tcW w:w="8945" w:type="dxa"/>
            <w:gridSpan w:val="3"/>
            <w:tcBorders>
              <w:top w:val="double" w:sz="4" w:space="0" w:color="auto"/>
            </w:tcBorders>
            <w:shd w:val="clear" w:color="auto" w:fill="DAEEF3" w:themeFill="accent5" w:themeFillTint="33"/>
            <w:vAlign w:val="center"/>
            <w:hideMark/>
          </w:tcPr>
          <w:p w:rsidR="00AD7BC1" w:rsidRPr="00AD7BC1" w:rsidRDefault="00AD7BC1" w:rsidP="00AD7BC1">
            <w:pPr>
              <w:spacing w:line="240" w:lineRule="auto"/>
              <w:jc w:val="left"/>
              <w:rPr>
                <w:rFonts w:ascii="Times New Roman" w:eastAsia="Times New Roman" w:hAnsi="Times New Roman"/>
                <w:sz w:val="20"/>
                <w:szCs w:val="20"/>
                <w:lang w:eastAsia="fr-FR"/>
              </w:rPr>
            </w:pPr>
            <w:r w:rsidRPr="00AD7BC1">
              <w:rPr>
                <w:rFonts w:ascii="Times New Roman" w:eastAsia="Arial Unicode MS" w:hAnsi="Times New Roman"/>
                <w:sz w:val="20"/>
                <w:szCs w:val="20"/>
              </w:rPr>
              <w:t>Source : INSAE, EMICoV, 2011</w:t>
            </w:r>
          </w:p>
        </w:tc>
      </w:tr>
    </w:tbl>
    <w:p w:rsidR="00AD7BC1" w:rsidRDefault="00AD7BC1" w:rsidP="003740B0">
      <w:pPr>
        <w:spacing w:after="200" w:line="276" w:lineRule="auto"/>
        <w:rPr>
          <w:rFonts w:ascii="Times New Roman" w:eastAsia="Arial Unicode MS" w:hAnsi="Times New Roman"/>
          <w:sz w:val="24"/>
          <w:szCs w:val="24"/>
        </w:rPr>
      </w:pPr>
    </w:p>
    <w:p w:rsidR="0080751B" w:rsidRPr="0080751B" w:rsidRDefault="00B76D0A" w:rsidP="003740B0">
      <w:pPr>
        <w:spacing w:after="200" w:line="276" w:lineRule="auto"/>
        <w:rPr>
          <w:rFonts w:ascii="Times New Roman" w:hAnsi="Times New Roman"/>
          <w:sz w:val="24"/>
          <w:szCs w:val="24"/>
        </w:rPr>
      </w:pPr>
      <w:r w:rsidRPr="00B76D0A">
        <w:rPr>
          <w:rFonts w:ascii="Times New Roman" w:eastAsia="Arial Unicode MS" w:hAnsi="Times New Roman"/>
          <w:sz w:val="24"/>
          <w:szCs w:val="24"/>
        </w:rPr>
        <w:t xml:space="preserve">En somme, ces résultats semblent davantage montrer les difficultés auxquelles </w:t>
      </w:r>
      <w:r w:rsidR="00D761C6">
        <w:rPr>
          <w:rFonts w:ascii="Times New Roman" w:eastAsia="Arial Unicode MS" w:hAnsi="Times New Roman"/>
          <w:sz w:val="24"/>
          <w:szCs w:val="24"/>
        </w:rPr>
        <w:t>font</w:t>
      </w:r>
      <w:r w:rsidRPr="00B76D0A">
        <w:rPr>
          <w:rFonts w:ascii="Times New Roman" w:eastAsia="Arial Unicode MS" w:hAnsi="Times New Roman"/>
          <w:sz w:val="24"/>
          <w:szCs w:val="24"/>
        </w:rPr>
        <w:t xml:space="preserve"> face les ménages dirigés par des hommes sur la période 2006-2011. En effet, les moyens d’existence de beaucoup de ménages ont été affectés, par des chocs dus aux inondations de 2010, à la crise survenue sur la gestion </w:t>
      </w:r>
      <w:r w:rsidRPr="00B76D0A">
        <w:rPr>
          <w:rFonts w:ascii="Times New Roman" w:hAnsi="Times New Roman"/>
          <w:sz w:val="24"/>
          <w:szCs w:val="24"/>
        </w:rPr>
        <w:t>des structures, illégales de placement (</w:t>
      </w:r>
      <w:r w:rsidRPr="00B76D0A">
        <w:rPr>
          <w:rFonts w:ascii="Times New Roman" w:eastAsia="Arial Unicode MS" w:hAnsi="Times New Roman"/>
          <w:sz w:val="24"/>
          <w:szCs w:val="24"/>
        </w:rPr>
        <w:t xml:space="preserve">ICC et consort) en 2010. Selon le rapport sur le </w:t>
      </w:r>
      <w:r w:rsidRPr="00B76D0A">
        <w:rPr>
          <w:rFonts w:ascii="Times New Roman" w:hAnsi="Times New Roman"/>
          <w:sz w:val="24"/>
          <w:szCs w:val="24"/>
        </w:rPr>
        <w:t>recensement des déposants des structures illégales de placement, la structure par sexe des déposants indique une prépondérance des déposants de sexe masculin</w:t>
      </w:r>
      <w:r w:rsidR="003A297F">
        <w:rPr>
          <w:rFonts w:ascii="Times New Roman" w:hAnsi="Times New Roman"/>
          <w:sz w:val="24"/>
          <w:szCs w:val="24"/>
        </w:rPr>
        <w:t xml:space="preserve"> </w:t>
      </w:r>
      <w:r w:rsidR="00857E39" w:rsidRPr="000752E0">
        <w:rPr>
          <w:rFonts w:ascii="Times New Roman" w:hAnsi="Times New Roman"/>
          <w:sz w:val="24"/>
          <w:szCs w:val="24"/>
        </w:rPr>
        <w:t>(INSAE, 2010)</w:t>
      </w:r>
      <w:r w:rsidRPr="000752E0">
        <w:rPr>
          <w:rFonts w:ascii="Times New Roman" w:hAnsi="Times New Roman"/>
          <w:sz w:val="24"/>
          <w:szCs w:val="24"/>
        </w:rPr>
        <w:t>.</w:t>
      </w:r>
      <w:r w:rsidRPr="00B76D0A">
        <w:rPr>
          <w:rFonts w:ascii="Times New Roman" w:hAnsi="Times New Roman"/>
          <w:sz w:val="24"/>
          <w:szCs w:val="24"/>
        </w:rPr>
        <w:t xml:space="preserve"> On compte environ </w:t>
      </w:r>
      <w:r w:rsidR="0086556C">
        <w:rPr>
          <w:rFonts w:ascii="Times New Roman" w:hAnsi="Times New Roman"/>
          <w:sz w:val="24"/>
          <w:szCs w:val="24"/>
        </w:rPr>
        <w:t>deux</w:t>
      </w:r>
      <w:r w:rsidRPr="00B76D0A">
        <w:rPr>
          <w:rFonts w:ascii="Times New Roman" w:hAnsi="Times New Roman"/>
          <w:sz w:val="24"/>
          <w:szCs w:val="24"/>
        </w:rPr>
        <w:t xml:space="preserve"> déposants sur trois qui sont de sexe masculin. Cette tendance est perceptible dans la plupart des départements. De ce fait, plusieurs ménages dirigés par les hommes ont enregistré une dégradation de leurs conditions de vie du fait de cette escroquerie orchestrée par ces structures illégales de placement. </w:t>
      </w:r>
    </w:p>
    <w:p w:rsidR="00A946F5" w:rsidRDefault="00B76D0A">
      <w:pPr>
        <w:spacing w:after="200" w:line="276" w:lineRule="auto"/>
        <w:rPr>
          <w:rFonts w:ascii="Times New Roman" w:hAnsi="Times New Roman"/>
          <w:sz w:val="24"/>
          <w:szCs w:val="24"/>
        </w:rPr>
      </w:pPr>
      <w:r w:rsidRPr="00B76D0A">
        <w:rPr>
          <w:rFonts w:ascii="Times New Roman" w:hAnsi="Times New Roman"/>
          <w:sz w:val="24"/>
          <w:szCs w:val="24"/>
        </w:rPr>
        <w:t>Par ailleurs, les inondations survenues en  2010 ont contribué à éroder le</w:t>
      </w:r>
      <w:r w:rsidR="003B4EEA">
        <w:rPr>
          <w:rFonts w:ascii="Times New Roman" w:hAnsi="Times New Roman"/>
          <w:sz w:val="24"/>
          <w:szCs w:val="24"/>
        </w:rPr>
        <w:t xml:space="preserve"> pouvoir</w:t>
      </w:r>
      <w:r w:rsidRPr="00B76D0A">
        <w:rPr>
          <w:rFonts w:ascii="Times New Roman" w:hAnsi="Times New Roman"/>
          <w:sz w:val="24"/>
          <w:szCs w:val="24"/>
        </w:rPr>
        <w:t xml:space="preserve"> d’achat des ménages, engendrant ainsi une aggravation de la pauvreté monétaire.</w:t>
      </w:r>
      <w:r w:rsidR="003A297F">
        <w:rPr>
          <w:rFonts w:ascii="Times New Roman" w:hAnsi="Times New Roman"/>
          <w:sz w:val="24"/>
          <w:szCs w:val="24"/>
        </w:rPr>
        <w:t xml:space="preserve"> </w:t>
      </w:r>
      <w:r w:rsidR="001D2828">
        <w:rPr>
          <w:rFonts w:ascii="Times New Roman" w:hAnsi="Times New Roman"/>
          <w:sz w:val="24"/>
          <w:szCs w:val="24"/>
        </w:rPr>
        <w:t xml:space="preserve">En effet, </w:t>
      </w:r>
      <w:r w:rsidR="003B4EEA">
        <w:rPr>
          <w:rFonts w:ascii="Times New Roman" w:hAnsi="Times New Roman"/>
          <w:sz w:val="24"/>
          <w:szCs w:val="24"/>
        </w:rPr>
        <w:t>l</w:t>
      </w:r>
      <w:r w:rsidRPr="00B76D0A">
        <w:rPr>
          <w:rFonts w:ascii="Times New Roman" w:hAnsi="Times New Roman"/>
          <w:sz w:val="24"/>
          <w:szCs w:val="24"/>
        </w:rPr>
        <w:t xml:space="preserve">es dommages et les pertes au niveau du secteur agricole ont été ressentis essentiellement au niveau de la rareté de l’offre des produits (alimentaires et de premières nécessité) dans les zones affectées et au plan national, ressentie par le différentiel de prix entre les périodes avant inondation et après inondation. </w:t>
      </w:r>
    </w:p>
    <w:p w:rsidR="009464A9" w:rsidRDefault="009464A9" w:rsidP="003740B0">
      <w:pPr>
        <w:spacing w:after="200" w:line="276" w:lineRule="auto"/>
        <w:rPr>
          <w:rFonts w:ascii="Times New Roman" w:eastAsia="Arial Unicode MS" w:hAnsi="Times New Roman"/>
          <w:sz w:val="24"/>
          <w:szCs w:val="24"/>
        </w:rPr>
      </w:pPr>
      <w:r w:rsidRPr="009464A9">
        <w:rPr>
          <w:rFonts w:ascii="Times New Roman" w:eastAsia="Arial Unicode MS" w:hAnsi="Times New Roman"/>
          <w:b/>
          <w:sz w:val="24"/>
          <w:szCs w:val="24"/>
        </w:rPr>
        <w:t>Sur la période 2006-2011, la pauvreté monétaire a baissé au niveau des ménages dirigés par des personnes qui ont le niveau primaire ou secondaire ou supérieur alors qu’elle a augmenté au niveau des ménages dirigés par des personnes qui n’ont aucun niveau d’instructi</w:t>
      </w:r>
      <w:r w:rsidRPr="007711B5">
        <w:rPr>
          <w:rFonts w:ascii="Times New Roman" w:eastAsia="Arial Unicode MS" w:hAnsi="Times New Roman"/>
          <w:b/>
          <w:sz w:val="24"/>
          <w:szCs w:val="24"/>
        </w:rPr>
        <w:t>on</w:t>
      </w:r>
      <w:r>
        <w:rPr>
          <w:rFonts w:ascii="Times New Roman" w:eastAsia="Arial Unicode MS" w:hAnsi="Times New Roman"/>
          <w:sz w:val="24"/>
          <w:szCs w:val="24"/>
        </w:rPr>
        <w:t xml:space="preserve">. </w:t>
      </w:r>
      <w:r w:rsidR="003740B0" w:rsidRPr="007B43D0">
        <w:rPr>
          <w:rFonts w:ascii="Times New Roman" w:eastAsia="Arial Unicode MS" w:hAnsi="Times New Roman"/>
          <w:sz w:val="24"/>
          <w:szCs w:val="24"/>
        </w:rPr>
        <w:t xml:space="preserve">En 2011, l’incidence de la pauvreté </w:t>
      </w:r>
      <w:r w:rsidR="00FB6D32">
        <w:rPr>
          <w:rFonts w:ascii="Times New Roman" w:eastAsia="Arial Unicode MS" w:hAnsi="Times New Roman"/>
          <w:sz w:val="24"/>
          <w:szCs w:val="24"/>
        </w:rPr>
        <w:t xml:space="preserve">monétaire </w:t>
      </w:r>
      <w:r w:rsidR="003740B0" w:rsidRPr="007B43D0">
        <w:rPr>
          <w:rFonts w:ascii="Times New Roman" w:eastAsia="Arial Unicode MS" w:hAnsi="Times New Roman"/>
          <w:sz w:val="24"/>
          <w:szCs w:val="24"/>
        </w:rPr>
        <w:t xml:space="preserve">dans les ménages dont le chef de ménage a un niveau supérieur est quatre fois </w:t>
      </w:r>
      <w:r w:rsidR="00B93F8C">
        <w:rPr>
          <w:rFonts w:ascii="Times New Roman" w:eastAsia="Arial Unicode MS" w:hAnsi="Times New Roman"/>
          <w:sz w:val="24"/>
          <w:szCs w:val="24"/>
        </w:rPr>
        <w:t>moins</w:t>
      </w:r>
      <w:r w:rsidR="003A297F">
        <w:rPr>
          <w:rFonts w:ascii="Times New Roman" w:eastAsia="Arial Unicode MS" w:hAnsi="Times New Roman"/>
          <w:sz w:val="24"/>
          <w:szCs w:val="24"/>
        </w:rPr>
        <w:t xml:space="preserve"> </w:t>
      </w:r>
      <w:r w:rsidR="002E547A" w:rsidRPr="007B43D0">
        <w:rPr>
          <w:rFonts w:ascii="Times New Roman" w:eastAsia="Arial Unicode MS" w:hAnsi="Times New Roman"/>
          <w:sz w:val="24"/>
          <w:szCs w:val="24"/>
        </w:rPr>
        <w:t>élevée</w:t>
      </w:r>
      <w:r w:rsidR="003740B0" w:rsidRPr="007B43D0">
        <w:rPr>
          <w:rFonts w:ascii="Times New Roman" w:eastAsia="Arial Unicode MS" w:hAnsi="Times New Roman"/>
          <w:sz w:val="24"/>
          <w:szCs w:val="24"/>
        </w:rPr>
        <w:t xml:space="preserve"> que celui des ménages dont le chef n’a aucun niveau d’instruction. En effet, 10,5% des individus vivant dans des ménages avec un chef ayant le niveau supérieur sont pauvres contre 42,9% dans les ménages avec un chef n’ayant aucun niveau d’instruction. </w:t>
      </w:r>
      <w:r w:rsidR="00FB6D32">
        <w:rPr>
          <w:rFonts w:ascii="Times New Roman" w:eastAsia="Arial Unicode MS" w:hAnsi="Times New Roman"/>
          <w:sz w:val="24"/>
          <w:szCs w:val="24"/>
        </w:rPr>
        <w:t>Ainsi, l</w:t>
      </w:r>
      <w:r w:rsidR="003740B0" w:rsidRPr="007B43D0">
        <w:rPr>
          <w:rFonts w:ascii="Times New Roman" w:eastAsia="Arial Unicode MS" w:hAnsi="Times New Roman"/>
          <w:sz w:val="24"/>
          <w:szCs w:val="24"/>
        </w:rPr>
        <w:t xml:space="preserve">’incidence de la pauvreté monétaire diminue de façon significative avec le niveau d’instruction du chef de ménage. La pauvreté est plus sévère dans les ménages dirigés par des individus n’ayant aucun niveau d’instruction. </w:t>
      </w:r>
    </w:p>
    <w:p w:rsidR="005A52A5" w:rsidRDefault="00B76D0A" w:rsidP="003740B0">
      <w:pPr>
        <w:spacing w:after="200" w:line="276" w:lineRule="auto"/>
        <w:rPr>
          <w:rFonts w:ascii="Times New Roman" w:eastAsia="Arial Unicode MS" w:hAnsi="Times New Roman"/>
          <w:sz w:val="24"/>
          <w:szCs w:val="24"/>
        </w:rPr>
      </w:pPr>
      <w:r w:rsidRPr="00C0224E">
        <w:rPr>
          <w:rFonts w:ascii="Times New Roman" w:eastAsia="Arial Unicode MS" w:hAnsi="Times New Roman"/>
          <w:b/>
          <w:sz w:val="24"/>
          <w:szCs w:val="24"/>
        </w:rPr>
        <w:t>L’analyse selon l’âge du chef de ménage montre que les moins de 30 ans constituent la classe la moins pauvre sur l’ensemble de la période d’analyse</w:t>
      </w:r>
      <w:r w:rsidR="003740B0" w:rsidRPr="00C0224E">
        <w:rPr>
          <w:rFonts w:ascii="Times New Roman" w:eastAsia="Arial Unicode MS" w:hAnsi="Times New Roman"/>
          <w:sz w:val="24"/>
          <w:szCs w:val="24"/>
        </w:rPr>
        <w:t>. En effet, 20,6% des</w:t>
      </w:r>
      <w:r w:rsidR="003740B0" w:rsidRPr="007B43D0">
        <w:rPr>
          <w:rFonts w:ascii="Times New Roman" w:eastAsia="Arial Unicode MS" w:hAnsi="Times New Roman"/>
          <w:sz w:val="24"/>
          <w:szCs w:val="24"/>
        </w:rPr>
        <w:t xml:space="preserve"> individus vivant dans des ménages où le chef de ménage à moins de 30 ans sont pauvres contre 37,8% pour ceux vivant dans les ménages où le chef de ménage a entre 30 et 59 ans</w:t>
      </w:r>
      <w:r w:rsidR="002E547A">
        <w:rPr>
          <w:rFonts w:ascii="Times New Roman" w:eastAsia="Arial Unicode MS" w:hAnsi="Times New Roman"/>
          <w:sz w:val="24"/>
          <w:szCs w:val="24"/>
        </w:rPr>
        <w:t xml:space="preserve"> et 36,9% pour les</w:t>
      </w:r>
      <w:r w:rsidR="003740B0" w:rsidRPr="007B43D0">
        <w:rPr>
          <w:rFonts w:ascii="Times New Roman" w:eastAsia="Arial Unicode MS" w:hAnsi="Times New Roman"/>
          <w:sz w:val="24"/>
          <w:szCs w:val="24"/>
        </w:rPr>
        <w:t xml:space="preserve"> personnes vivant dans des ménages où le chef à plus de 60 ans</w:t>
      </w:r>
      <w:r w:rsidR="002E547A">
        <w:rPr>
          <w:rFonts w:ascii="Times New Roman" w:eastAsia="Arial Unicode MS" w:hAnsi="Times New Roman"/>
          <w:sz w:val="24"/>
          <w:szCs w:val="24"/>
        </w:rPr>
        <w:t xml:space="preserve">. </w:t>
      </w:r>
      <w:r w:rsidR="008F5B5E">
        <w:rPr>
          <w:rFonts w:ascii="Times New Roman" w:eastAsia="Arial Unicode MS" w:hAnsi="Times New Roman"/>
          <w:sz w:val="24"/>
          <w:szCs w:val="24"/>
        </w:rPr>
        <w:t>Par contre la pauvreté non monétaire affecte plus les ménages dirigés des individus ayant plus de 60 ans</w:t>
      </w:r>
      <w:r w:rsidRPr="00B76D0A">
        <w:rPr>
          <w:rFonts w:ascii="Times New Roman" w:eastAsia="Arial Unicode MS" w:hAnsi="Times New Roman"/>
          <w:sz w:val="24"/>
          <w:szCs w:val="24"/>
        </w:rPr>
        <w:t xml:space="preserve"> que les autres catégories de ménage</w:t>
      </w:r>
      <w:r w:rsidR="008F5B5E">
        <w:rPr>
          <w:rFonts w:ascii="Times New Roman" w:eastAsia="Arial Unicode MS" w:hAnsi="Times New Roman"/>
          <w:sz w:val="24"/>
          <w:szCs w:val="24"/>
        </w:rPr>
        <w:t xml:space="preserve">. </w:t>
      </w:r>
    </w:p>
    <w:p w:rsidR="00CE79B0" w:rsidRDefault="003B4EEA">
      <w:pPr>
        <w:spacing w:after="200" w:line="276" w:lineRule="auto"/>
        <w:rPr>
          <w:rFonts w:ascii="Times New Roman" w:eastAsia="Arial Unicode MS" w:hAnsi="Times New Roman"/>
          <w:sz w:val="24"/>
          <w:szCs w:val="24"/>
        </w:rPr>
      </w:pPr>
      <w:r w:rsidRPr="00072E64">
        <w:rPr>
          <w:rFonts w:ascii="Times New Roman" w:eastAsia="Arial Unicode MS" w:hAnsi="Times New Roman"/>
          <w:b/>
          <w:sz w:val="24"/>
          <w:szCs w:val="24"/>
        </w:rPr>
        <w:t>L’analyse selon la taille du ménage montre que ce sont les ménages de grande taille qui</w:t>
      </w:r>
      <w:r w:rsidR="00B76D0A" w:rsidRPr="00072E64">
        <w:rPr>
          <w:rFonts w:ascii="Times New Roman" w:eastAsia="Arial Unicode MS" w:hAnsi="Times New Roman"/>
          <w:b/>
          <w:sz w:val="24"/>
          <w:szCs w:val="24"/>
        </w:rPr>
        <w:t xml:space="preserve"> sont</w:t>
      </w:r>
      <w:r w:rsidRPr="00072E64">
        <w:rPr>
          <w:rFonts w:ascii="Times New Roman" w:eastAsia="Arial Unicode MS" w:hAnsi="Times New Roman"/>
          <w:b/>
          <w:sz w:val="24"/>
          <w:szCs w:val="24"/>
        </w:rPr>
        <w:t xml:space="preserve"> le plus touchés par la pauvreté monétaire</w:t>
      </w:r>
      <w:r w:rsidR="008C0774" w:rsidRPr="00072E64">
        <w:rPr>
          <w:rStyle w:val="Appelnotedebasdep"/>
          <w:rFonts w:ascii="Times New Roman" w:eastAsia="Arial Unicode MS" w:hAnsi="Times New Roman"/>
          <w:b/>
          <w:sz w:val="24"/>
          <w:szCs w:val="24"/>
        </w:rPr>
        <w:footnoteReference w:id="29"/>
      </w:r>
      <w:r w:rsidRPr="00072E64">
        <w:rPr>
          <w:rFonts w:ascii="Times New Roman" w:eastAsia="Arial Unicode MS" w:hAnsi="Times New Roman"/>
          <w:b/>
          <w:sz w:val="24"/>
          <w:szCs w:val="24"/>
        </w:rPr>
        <w:t xml:space="preserve">. </w:t>
      </w:r>
      <w:r w:rsidR="00B76D0A" w:rsidRPr="00072E64">
        <w:rPr>
          <w:rFonts w:ascii="Times New Roman" w:eastAsia="Arial Unicode MS" w:hAnsi="Times New Roman"/>
          <w:sz w:val="24"/>
          <w:szCs w:val="24"/>
        </w:rPr>
        <w:t>En 2011,</w:t>
      </w:r>
      <w:r w:rsidR="00F92F23">
        <w:rPr>
          <w:rFonts w:ascii="Times New Roman" w:eastAsia="Arial Unicode MS" w:hAnsi="Times New Roman"/>
          <w:sz w:val="24"/>
          <w:szCs w:val="24"/>
        </w:rPr>
        <w:t xml:space="preserve"> </w:t>
      </w:r>
      <w:r w:rsidR="00256239" w:rsidRPr="00072E64">
        <w:rPr>
          <w:rFonts w:ascii="Times New Roman" w:eastAsia="Arial Unicode MS" w:hAnsi="Times New Roman"/>
          <w:sz w:val="24"/>
          <w:szCs w:val="24"/>
        </w:rPr>
        <w:t xml:space="preserve">l’incidence de pauvreté est </w:t>
      </w:r>
      <w:r w:rsidR="00CB77F4" w:rsidRPr="00072E64">
        <w:rPr>
          <w:rFonts w:ascii="Times New Roman" w:eastAsia="Arial Unicode MS" w:hAnsi="Times New Roman"/>
          <w:sz w:val="24"/>
          <w:szCs w:val="24"/>
        </w:rPr>
        <w:t>plus</w:t>
      </w:r>
      <w:r w:rsidR="00256239" w:rsidRPr="00072E64">
        <w:rPr>
          <w:rFonts w:ascii="Times New Roman" w:eastAsia="Arial Unicode MS" w:hAnsi="Times New Roman"/>
          <w:sz w:val="24"/>
          <w:szCs w:val="24"/>
        </w:rPr>
        <w:t xml:space="preserve"> élevée au niveau des</w:t>
      </w:r>
      <w:r w:rsidRPr="00072E64">
        <w:rPr>
          <w:rFonts w:ascii="Times New Roman" w:eastAsia="Arial Unicode MS" w:hAnsi="Times New Roman"/>
          <w:sz w:val="24"/>
          <w:szCs w:val="24"/>
        </w:rPr>
        <w:t xml:space="preserve"> ménages de </w:t>
      </w:r>
      <w:r w:rsidR="00256239" w:rsidRPr="00072E64">
        <w:rPr>
          <w:rFonts w:ascii="Times New Roman" w:eastAsia="Arial Unicode MS" w:hAnsi="Times New Roman"/>
          <w:sz w:val="24"/>
          <w:szCs w:val="24"/>
        </w:rPr>
        <w:t xml:space="preserve">5 à 7 personnes (33,3%) et ceux de 8 </w:t>
      </w:r>
      <w:r w:rsidRPr="00072E64">
        <w:rPr>
          <w:rFonts w:ascii="Times New Roman" w:eastAsia="Arial Unicode MS" w:hAnsi="Times New Roman"/>
          <w:sz w:val="24"/>
          <w:szCs w:val="24"/>
        </w:rPr>
        <w:t>personnes</w:t>
      </w:r>
      <w:r w:rsidR="00256239" w:rsidRPr="00072E64">
        <w:rPr>
          <w:rFonts w:ascii="Times New Roman" w:eastAsia="Arial Unicode MS" w:hAnsi="Times New Roman"/>
          <w:sz w:val="24"/>
          <w:szCs w:val="24"/>
        </w:rPr>
        <w:t xml:space="preserve"> ou plus (</w:t>
      </w:r>
      <w:r w:rsidR="00031D62">
        <w:rPr>
          <w:rFonts w:ascii="Times New Roman" w:eastAsia="Arial Unicode MS" w:hAnsi="Times New Roman"/>
          <w:sz w:val="24"/>
          <w:szCs w:val="24"/>
        </w:rPr>
        <w:t>59</w:t>
      </w:r>
      <w:r w:rsidR="00256239" w:rsidRPr="00072E64">
        <w:rPr>
          <w:rFonts w:ascii="Times New Roman" w:eastAsia="Arial Unicode MS" w:hAnsi="Times New Roman"/>
          <w:sz w:val="24"/>
          <w:szCs w:val="24"/>
        </w:rPr>
        <w:t>,</w:t>
      </w:r>
      <w:r w:rsidR="00031D62">
        <w:rPr>
          <w:rFonts w:ascii="Times New Roman" w:eastAsia="Arial Unicode MS" w:hAnsi="Times New Roman"/>
          <w:sz w:val="24"/>
          <w:szCs w:val="24"/>
        </w:rPr>
        <w:t>3</w:t>
      </w:r>
      <w:r w:rsidR="00256239" w:rsidRPr="00072E64">
        <w:rPr>
          <w:rFonts w:ascii="Times New Roman" w:eastAsia="Arial Unicode MS" w:hAnsi="Times New Roman"/>
          <w:sz w:val="24"/>
          <w:szCs w:val="24"/>
        </w:rPr>
        <w:t>%) qu’au niveau des ménages de 3 à 4 personnes (11,6%) et ceux de moins de 3 personnes (1,0%)</w:t>
      </w:r>
      <w:r w:rsidRPr="00072E64">
        <w:rPr>
          <w:rFonts w:ascii="Times New Roman" w:eastAsia="Arial Unicode MS" w:hAnsi="Times New Roman"/>
          <w:sz w:val="24"/>
          <w:szCs w:val="24"/>
        </w:rPr>
        <w:t xml:space="preserve">. </w:t>
      </w:r>
      <w:r w:rsidR="00256239" w:rsidRPr="00072E64">
        <w:rPr>
          <w:rFonts w:ascii="Times New Roman" w:eastAsia="Arial Unicode MS" w:hAnsi="Times New Roman"/>
          <w:sz w:val="24"/>
          <w:szCs w:val="24"/>
        </w:rPr>
        <w:t xml:space="preserve">La même tendance est enregistrée en 2006 et </w:t>
      </w:r>
      <w:r w:rsidR="004F1779" w:rsidRPr="00072E64">
        <w:rPr>
          <w:rFonts w:ascii="Times New Roman" w:eastAsia="Arial Unicode MS" w:hAnsi="Times New Roman"/>
          <w:sz w:val="24"/>
          <w:szCs w:val="24"/>
        </w:rPr>
        <w:t xml:space="preserve">en </w:t>
      </w:r>
      <w:r w:rsidR="00256239" w:rsidRPr="00072E64">
        <w:rPr>
          <w:rFonts w:ascii="Times New Roman" w:eastAsia="Arial Unicode MS" w:hAnsi="Times New Roman"/>
          <w:sz w:val="24"/>
          <w:szCs w:val="24"/>
        </w:rPr>
        <w:t>2009.</w:t>
      </w:r>
      <w:r w:rsidR="004F1779" w:rsidRPr="00072E64">
        <w:rPr>
          <w:rFonts w:ascii="Times New Roman" w:eastAsia="Arial Unicode MS" w:hAnsi="Times New Roman"/>
          <w:sz w:val="24"/>
          <w:szCs w:val="24"/>
        </w:rPr>
        <w:t xml:space="preserve"> La situation inverse est observée lorsqu’on considère la pauvreté non monétaire. En effet, la pauvreté non monétaire caractérise davantage les individus vivant dans les ménages de petite taille (38,4% pour les ménages de moins de 3 personnes contre 30,9% pour les ménages de 3 à 4 personnes et 30,3% pour les ménages de 5 à 7 personnes). Sur la période 2006-2011,</w:t>
      </w:r>
      <w:r w:rsidR="00F92F23">
        <w:rPr>
          <w:rFonts w:ascii="Times New Roman" w:eastAsia="Arial Unicode MS" w:hAnsi="Times New Roman"/>
          <w:sz w:val="24"/>
          <w:szCs w:val="24"/>
        </w:rPr>
        <w:t xml:space="preserve"> </w:t>
      </w:r>
      <w:r w:rsidR="004F1779" w:rsidRPr="00072E64">
        <w:rPr>
          <w:rFonts w:ascii="Times New Roman" w:eastAsia="Arial Unicode MS" w:hAnsi="Times New Roman"/>
          <w:sz w:val="24"/>
          <w:szCs w:val="24"/>
        </w:rPr>
        <w:t xml:space="preserve">l’incidence de la pauvreté </w:t>
      </w:r>
      <w:r w:rsidR="00E20624" w:rsidRPr="00072E64">
        <w:rPr>
          <w:rFonts w:ascii="Times New Roman" w:eastAsia="Arial Unicode MS" w:hAnsi="Times New Roman"/>
          <w:sz w:val="24"/>
          <w:szCs w:val="24"/>
        </w:rPr>
        <w:t xml:space="preserve">en termes monétaire ou non monétaire </w:t>
      </w:r>
      <w:r w:rsidR="004F1779" w:rsidRPr="00072E64">
        <w:rPr>
          <w:rFonts w:ascii="Times New Roman" w:eastAsia="Arial Unicode MS" w:hAnsi="Times New Roman"/>
          <w:sz w:val="24"/>
          <w:szCs w:val="24"/>
        </w:rPr>
        <w:t>a globalement baissé quelle que soit la taille du ménage</w:t>
      </w:r>
      <w:r w:rsidR="009E0565">
        <w:rPr>
          <w:rFonts w:ascii="Times New Roman" w:eastAsia="Arial Unicode MS" w:hAnsi="Times New Roman"/>
          <w:sz w:val="24"/>
          <w:szCs w:val="24"/>
        </w:rPr>
        <w:t xml:space="preserve"> sauf pour les ménages de huit personnes et plus</w:t>
      </w:r>
      <w:r w:rsidR="000B4815">
        <w:rPr>
          <w:rFonts w:ascii="Times New Roman" w:eastAsia="Arial Unicode MS" w:hAnsi="Times New Roman"/>
          <w:sz w:val="24"/>
          <w:szCs w:val="24"/>
        </w:rPr>
        <w:t xml:space="preserve">, ce qui montre que la taille du ménage </w:t>
      </w:r>
      <w:r w:rsidR="009C55F0">
        <w:rPr>
          <w:rFonts w:ascii="Times New Roman" w:eastAsia="Arial Unicode MS" w:hAnsi="Times New Roman"/>
          <w:sz w:val="24"/>
          <w:szCs w:val="24"/>
        </w:rPr>
        <w:t xml:space="preserve">constitue </w:t>
      </w:r>
      <w:r w:rsidR="000B4815">
        <w:rPr>
          <w:rFonts w:ascii="Times New Roman" w:eastAsia="Arial Unicode MS" w:hAnsi="Times New Roman"/>
          <w:sz w:val="24"/>
          <w:szCs w:val="24"/>
        </w:rPr>
        <w:t>un facteur déterminant de la pauvreté</w:t>
      </w:r>
      <w:r w:rsidR="004F1779" w:rsidRPr="00072E64">
        <w:rPr>
          <w:rFonts w:ascii="Times New Roman" w:eastAsia="Arial Unicode MS" w:hAnsi="Times New Roman"/>
          <w:sz w:val="24"/>
          <w:szCs w:val="24"/>
        </w:rPr>
        <w:t>.</w:t>
      </w:r>
      <w:r w:rsidR="000B4815">
        <w:rPr>
          <w:rFonts w:ascii="Times New Roman" w:eastAsia="Arial Unicode MS" w:hAnsi="Times New Roman"/>
          <w:sz w:val="24"/>
          <w:szCs w:val="24"/>
        </w:rPr>
        <w:t xml:space="preserve"> Ce</w:t>
      </w:r>
      <w:r w:rsidR="00920364">
        <w:rPr>
          <w:rFonts w:ascii="Times New Roman" w:eastAsia="Arial Unicode MS" w:hAnsi="Times New Roman"/>
          <w:sz w:val="24"/>
          <w:szCs w:val="24"/>
        </w:rPr>
        <w:t>ci</w:t>
      </w:r>
      <w:r w:rsidR="000B4815">
        <w:rPr>
          <w:rFonts w:ascii="Times New Roman" w:eastAsia="Arial Unicode MS" w:hAnsi="Times New Roman"/>
          <w:sz w:val="24"/>
          <w:szCs w:val="24"/>
        </w:rPr>
        <w:t xml:space="preserve"> pose un défi </w:t>
      </w:r>
      <w:r w:rsidR="00920364">
        <w:rPr>
          <w:rFonts w:ascii="Times New Roman" w:eastAsia="Arial Unicode MS" w:hAnsi="Times New Roman"/>
          <w:sz w:val="24"/>
          <w:szCs w:val="24"/>
        </w:rPr>
        <w:t>important en termes de création de richesse</w:t>
      </w:r>
      <w:r w:rsidR="00F92F23">
        <w:rPr>
          <w:rFonts w:ascii="Times New Roman" w:eastAsia="Arial Unicode MS" w:hAnsi="Times New Roman"/>
          <w:sz w:val="24"/>
          <w:szCs w:val="24"/>
        </w:rPr>
        <w:t xml:space="preserve"> </w:t>
      </w:r>
      <w:r w:rsidR="001064B7" w:rsidRPr="001064B7">
        <w:rPr>
          <w:rFonts w:ascii="Times New Roman" w:eastAsia="Arial Unicode MS" w:hAnsi="Times New Roman"/>
          <w:sz w:val="24"/>
          <w:szCs w:val="24"/>
        </w:rPr>
        <w:t>lorsqu’on se réfère à la  croissance continue de la population</w:t>
      </w:r>
      <w:r w:rsidR="000B4815">
        <w:rPr>
          <w:rFonts w:ascii="Times New Roman" w:eastAsia="Arial Unicode MS" w:hAnsi="Times New Roman"/>
          <w:sz w:val="24"/>
          <w:szCs w:val="24"/>
        </w:rPr>
        <w:t>.</w:t>
      </w:r>
      <w:r w:rsidR="00F92F23">
        <w:rPr>
          <w:rFonts w:ascii="Times New Roman" w:eastAsia="Arial Unicode MS" w:hAnsi="Times New Roman"/>
          <w:sz w:val="24"/>
          <w:szCs w:val="24"/>
        </w:rPr>
        <w:t xml:space="preserve"> </w:t>
      </w:r>
      <w:r w:rsidR="000B4815">
        <w:rPr>
          <w:rFonts w:ascii="Times New Roman" w:eastAsia="Arial Unicode MS" w:hAnsi="Times New Roman"/>
          <w:sz w:val="24"/>
          <w:szCs w:val="24"/>
        </w:rPr>
        <w:t>En effet, l</w:t>
      </w:r>
      <w:r w:rsidR="001064B7" w:rsidRPr="001064B7">
        <w:rPr>
          <w:rFonts w:ascii="Times New Roman" w:eastAsia="Arial Unicode MS" w:hAnsi="Times New Roman"/>
          <w:sz w:val="24"/>
          <w:szCs w:val="24"/>
        </w:rPr>
        <w:t>e taux d’accroissement de la population béninoise</w:t>
      </w:r>
      <w:r w:rsidR="001064B7" w:rsidRPr="00F92F23">
        <w:rPr>
          <w:rStyle w:val="Appelnotedebasdep"/>
        </w:rPr>
        <w:footnoteReference w:id="30"/>
      </w:r>
      <w:r w:rsidR="00F92F23">
        <w:rPr>
          <w:rFonts w:ascii="Times New Roman" w:eastAsia="Arial Unicode MS" w:hAnsi="Times New Roman"/>
          <w:sz w:val="24"/>
          <w:szCs w:val="24"/>
        </w:rPr>
        <w:t xml:space="preserve"> </w:t>
      </w:r>
      <w:r w:rsidR="001064B7" w:rsidRPr="001064B7">
        <w:rPr>
          <w:rFonts w:ascii="Times New Roman" w:eastAsia="Arial Unicode MS" w:hAnsi="Times New Roman"/>
          <w:sz w:val="24"/>
          <w:szCs w:val="24"/>
        </w:rPr>
        <w:t xml:space="preserve">est passé de 2,8% entre 1979 et 1992, à 3,2% entre 1992 et 2002 </w:t>
      </w:r>
      <w:r w:rsidR="008B0AF1">
        <w:rPr>
          <w:rFonts w:ascii="Times New Roman" w:eastAsia="Arial Unicode MS" w:hAnsi="Times New Roman"/>
          <w:sz w:val="24"/>
          <w:szCs w:val="24"/>
        </w:rPr>
        <w:t xml:space="preserve"> et 3,5% entre 2002 et 201</w:t>
      </w:r>
      <w:r w:rsidR="00B26564">
        <w:rPr>
          <w:rFonts w:ascii="Times New Roman" w:eastAsia="Arial Unicode MS" w:hAnsi="Times New Roman"/>
          <w:sz w:val="24"/>
          <w:szCs w:val="24"/>
        </w:rPr>
        <w:t>3</w:t>
      </w:r>
      <w:r w:rsidR="000B4815">
        <w:rPr>
          <w:rFonts w:ascii="Times New Roman" w:eastAsia="Arial Unicode MS" w:hAnsi="Times New Roman"/>
          <w:sz w:val="24"/>
          <w:szCs w:val="24"/>
        </w:rPr>
        <w:t xml:space="preserve">. </w:t>
      </w:r>
      <w:r w:rsidR="001064B7" w:rsidRPr="001064B7">
        <w:rPr>
          <w:rFonts w:ascii="Times New Roman" w:eastAsia="Arial Unicode MS" w:hAnsi="Times New Roman"/>
          <w:sz w:val="24"/>
          <w:szCs w:val="24"/>
        </w:rPr>
        <w:t>Cette croissance démographique induir</w:t>
      </w:r>
      <w:r w:rsidR="00763F50">
        <w:rPr>
          <w:rFonts w:ascii="Times New Roman" w:eastAsia="Arial Unicode MS" w:hAnsi="Times New Roman"/>
          <w:sz w:val="24"/>
          <w:szCs w:val="24"/>
        </w:rPr>
        <w:t>ait à coup sûr</w:t>
      </w:r>
      <w:r w:rsidR="001064B7" w:rsidRPr="001064B7">
        <w:rPr>
          <w:rFonts w:ascii="Times New Roman" w:eastAsia="Arial Unicode MS" w:hAnsi="Times New Roman"/>
          <w:sz w:val="24"/>
          <w:szCs w:val="24"/>
        </w:rPr>
        <w:t xml:space="preserve"> une demande sociale élevée face à une croissance économique encore faible. Ainsi, si cette évolution démographique est de nature à inhiber et étouffer les efforts de développement non encore soutenus, elle favorise</w:t>
      </w:r>
      <w:r w:rsidR="00DC1D64">
        <w:rPr>
          <w:rFonts w:ascii="Times New Roman" w:eastAsia="Arial Unicode MS" w:hAnsi="Times New Roman"/>
          <w:sz w:val="24"/>
          <w:szCs w:val="24"/>
        </w:rPr>
        <w:t>ra</w:t>
      </w:r>
      <w:r w:rsidR="001064B7" w:rsidRPr="001064B7">
        <w:rPr>
          <w:rFonts w:ascii="Times New Roman" w:eastAsia="Arial Unicode MS" w:hAnsi="Times New Roman"/>
          <w:sz w:val="24"/>
          <w:szCs w:val="24"/>
        </w:rPr>
        <w:t xml:space="preserve"> en conséquence un taux de pauvreté plus élevé.</w:t>
      </w:r>
    </w:p>
    <w:p w:rsidR="00125431" w:rsidRDefault="00B76D0A" w:rsidP="00626A95">
      <w:pPr>
        <w:spacing w:after="200" w:line="276" w:lineRule="auto"/>
        <w:rPr>
          <w:rFonts w:ascii="Times New Roman" w:eastAsia="Times New Roman" w:hAnsi="Times New Roman"/>
          <w:color w:val="000000"/>
          <w:sz w:val="24"/>
          <w:szCs w:val="24"/>
          <w:lang w:eastAsia="fr-FR"/>
        </w:rPr>
      </w:pPr>
      <w:r w:rsidRPr="00B76D0A">
        <w:rPr>
          <w:rFonts w:ascii="Times New Roman" w:eastAsia="Arial Unicode MS" w:hAnsi="Times New Roman"/>
          <w:b/>
          <w:sz w:val="24"/>
          <w:szCs w:val="24"/>
        </w:rPr>
        <w:t xml:space="preserve">L’analyse de l’interaction entre la pauvreté </w:t>
      </w:r>
      <w:r w:rsidR="00C63241">
        <w:rPr>
          <w:rFonts w:ascii="Times New Roman" w:eastAsia="Arial Unicode MS" w:hAnsi="Times New Roman"/>
          <w:b/>
          <w:sz w:val="24"/>
          <w:szCs w:val="24"/>
        </w:rPr>
        <w:t xml:space="preserve">monétaire </w:t>
      </w:r>
      <w:r w:rsidRPr="00B76D0A">
        <w:rPr>
          <w:rFonts w:ascii="Times New Roman" w:eastAsia="Arial Unicode MS" w:hAnsi="Times New Roman"/>
          <w:b/>
          <w:sz w:val="24"/>
          <w:szCs w:val="24"/>
        </w:rPr>
        <w:t>et la branche d’activité du chef de ménage indique que la participation au marché du travail n’est pas considérée comme un facteur clé dans l’explication de la pauvreté au Bénin.</w:t>
      </w:r>
      <w:r w:rsidR="00F92F23">
        <w:rPr>
          <w:rFonts w:ascii="Times New Roman" w:eastAsia="Arial Unicode MS" w:hAnsi="Times New Roman"/>
          <w:b/>
          <w:sz w:val="24"/>
          <w:szCs w:val="24"/>
        </w:rPr>
        <w:t xml:space="preserve"> </w:t>
      </w:r>
      <w:r w:rsidR="001B2B21" w:rsidRPr="00433D87">
        <w:rPr>
          <w:rFonts w:ascii="Times New Roman" w:eastAsia="Arial Unicode MS" w:hAnsi="Times New Roman"/>
          <w:sz w:val="24"/>
          <w:szCs w:val="24"/>
        </w:rPr>
        <w:t xml:space="preserve">L’analyse de l’incidence de la pauvreté au sein de la population dont le chef de ménage est occupé </w:t>
      </w:r>
      <w:r w:rsidR="00626A95" w:rsidRPr="00433D87">
        <w:rPr>
          <w:rFonts w:ascii="Times New Roman" w:eastAsia="Arial Unicode MS" w:hAnsi="Times New Roman"/>
          <w:sz w:val="24"/>
          <w:szCs w:val="24"/>
        </w:rPr>
        <w:t>indique que</w:t>
      </w:r>
      <w:r w:rsidR="009B27FB">
        <w:rPr>
          <w:rFonts w:ascii="Times New Roman" w:eastAsia="Arial Unicode MS" w:hAnsi="Times New Roman"/>
          <w:sz w:val="24"/>
          <w:szCs w:val="24"/>
        </w:rPr>
        <w:t xml:space="preserve"> </w:t>
      </w:r>
      <w:r w:rsidR="00433D87">
        <w:rPr>
          <w:rFonts w:ascii="Times New Roman" w:eastAsia="Arial Unicode MS" w:hAnsi="Times New Roman"/>
          <w:sz w:val="24"/>
          <w:szCs w:val="24"/>
        </w:rPr>
        <w:t>45</w:t>
      </w:r>
      <w:r w:rsidR="00125431" w:rsidRPr="007B43D0">
        <w:rPr>
          <w:rFonts w:ascii="Times New Roman" w:eastAsia="Arial Unicode MS" w:hAnsi="Times New Roman"/>
          <w:sz w:val="24"/>
          <w:szCs w:val="24"/>
        </w:rPr>
        <w:t>,</w:t>
      </w:r>
      <w:r w:rsidR="00433D87">
        <w:rPr>
          <w:rFonts w:ascii="Times New Roman" w:eastAsia="Arial Unicode MS" w:hAnsi="Times New Roman"/>
          <w:sz w:val="24"/>
          <w:szCs w:val="24"/>
        </w:rPr>
        <w:t>3</w:t>
      </w:r>
      <w:r w:rsidR="00125431" w:rsidRPr="007B43D0">
        <w:rPr>
          <w:rFonts w:ascii="Times New Roman" w:eastAsia="Arial Unicode MS" w:hAnsi="Times New Roman"/>
          <w:sz w:val="24"/>
          <w:szCs w:val="24"/>
        </w:rPr>
        <w:t>% des individus dont le chef de ménage est employé dans l</w:t>
      </w:r>
      <w:r w:rsidR="00125431">
        <w:rPr>
          <w:rFonts w:ascii="Times New Roman" w:eastAsia="Arial Unicode MS" w:hAnsi="Times New Roman"/>
          <w:sz w:val="24"/>
          <w:szCs w:val="24"/>
        </w:rPr>
        <w:t xml:space="preserve">e pôle </w:t>
      </w:r>
      <w:r w:rsidR="00D6338E">
        <w:rPr>
          <w:rFonts w:ascii="Times New Roman" w:eastAsia="Arial Unicode MS" w:hAnsi="Times New Roman"/>
          <w:sz w:val="24"/>
          <w:szCs w:val="24"/>
        </w:rPr>
        <w:t>A</w:t>
      </w:r>
      <w:r w:rsidR="00125431" w:rsidRPr="007B43D0">
        <w:rPr>
          <w:rFonts w:ascii="Times New Roman" w:eastAsia="Arial Unicode MS" w:hAnsi="Times New Roman"/>
          <w:sz w:val="24"/>
          <w:szCs w:val="24"/>
        </w:rPr>
        <w:t xml:space="preserve">griculture hors coton sont </w:t>
      </w:r>
      <w:r w:rsidR="00125431" w:rsidRPr="00DF1228">
        <w:rPr>
          <w:rFonts w:ascii="Times New Roman" w:eastAsia="Arial Unicode MS" w:hAnsi="Times New Roman"/>
          <w:sz w:val="24"/>
          <w:szCs w:val="24"/>
        </w:rPr>
        <w:t xml:space="preserve">pauvres. Au niveau de ce pôle, l’agriculture </w:t>
      </w:r>
      <w:r w:rsidR="003B4EEA">
        <w:rPr>
          <w:rFonts w:ascii="Times New Roman" w:eastAsia="Arial Unicode MS" w:hAnsi="Times New Roman"/>
          <w:sz w:val="24"/>
          <w:szCs w:val="24"/>
        </w:rPr>
        <w:t>vivrière (</w:t>
      </w:r>
      <w:r w:rsidR="003B4EEA">
        <w:rPr>
          <w:rFonts w:ascii="Times New Roman" w:eastAsia="Times New Roman" w:hAnsi="Times New Roman"/>
          <w:color w:val="000000"/>
          <w:sz w:val="24"/>
          <w:szCs w:val="24"/>
          <w:lang w:eastAsia="fr-FR"/>
        </w:rPr>
        <w:t>46</w:t>
      </w:r>
      <w:r w:rsidR="00125431" w:rsidRPr="00DF1228">
        <w:rPr>
          <w:rFonts w:ascii="Times New Roman" w:eastAsia="Times New Roman" w:hAnsi="Times New Roman"/>
          <w:color w:val="000000"/>
          <w:sz w:val="24"/>
          <w:szCs w:val="24"/>
          <w:lang w:eastAsia="fr-FR"/>
        </w:rPr>
        <w:t>,0%)</w:t>
      </w:r>
      <w:r w:rsidR="00D85B4A">
        <w:rPr>
          <w:rFonts w:ascii="Times New Roman" w:eastAsia="Times New Roman" w:hAnsi="Times New Roman"/>
          <w:color w:val="000000"/>
          <w:sz w:val="24"/>
          <w:szCs w:val="24"/>
          <w:lang w:eastAsia="fr-FR"/>
        </w:rPr>
        <w:t>,</w:t>
      </w:r>
      <w:r w:rsidR="00125431" w:rsidRPr="00DF1228">
        <w:rPr>
          <w:rFonts w:ascii="Times New Roman" w:eastAsia="Times New Roman" w:hAnsi="Times New Roman"/>
          <w:color w:val="000000"/>
          <w:sz w:val="24"/>
          <w:szCs w:val="24"/>
          <w:lang w:eastAsia="fr-FR"/>
        </w:rPr>
        <w:t xml:space="preserve"> l’élevage et chasse</w:t>
      </w:r>
      <w:r w:rsidR="00F92F23">
        <w:rPr>
          <w:rFonts w:ascii="Times New Roman" w:eastAsia="Times New Roman" w:hAnsi="Times New Roman"/>
          <w:color w:val="000000"/>
          <w:sz w:val="24"/>
          <w:szCs w:val="24"/>
          <w:lang w:eastAsia="fr-FR"/>
        </w:rPr>
        <w:t xml:space="preserve"> </w:t>
      </w:r>
      <w:r w:rsidR="00125431" w:rsidRPr="00DF1228">
        <w:rPr>
          <w:rFonts w:ascii="Times New Roman" w:eastAsia="Times New Roman" w:hAnsi="Times New Roman"/>
          <w:color w:val="000000"/>
          <w:sz w:val="24"/>
          <w:szCs w:val="24"/>
          <w:lang w:eastAsia="fr-FR"/>
        </w:rPr>
        <w:t>(45,3%)</w:t>
      </w:r>
      <w:r w:rsidR="009B27FB">
        <w:rPr>
          <w:rFonts w:ascii="Times New Roman" w:eastAsia="Times New Roman" w:hAnsi="Times New Roman"/>
          <w:color w:val="000000"/>
          <w:sz w:val="24"/>
          <w:szCs w:val="24"/>
          <w:lang w:eastAsia="fr-FR"/>
        </w:rPr>
        <w:t xml:space="preserve"> </w:t>
      </w:r>
      <w:r w:rsidR="00D85B4A">
        <w:rPr>
          <w:rFonts w:ascii="Times New Roman" w:eastAsia="Times New Roman" w:hAnsi="Times New Roman"/>
          <w:color w:val="000000"/>
          <w:sz w:val="24"/>
          <w:szCs w:val="24"/>
          <w:lang w:eastAsia="fr-FR"/>
        </w:rPr>
        <w:t xml:space="preserve">se  distinguent avec une </w:t>
      </w:r>
      <w:r w:rsidR="00817C84">
        <w:rPr>
          <w:rFonts w:ascii="Times New Roman" w:eastAsia="Times New Roman" w:hAnsi="Times New Roman"/>
          <w:color w:val="000000"/>
          <w:sz w:val="24"/>
          <w:szCs w:val="24"/>
          <w:lang w:eastAsia="fr-FR"/>
        </w:rPr>
        <w:t xml:space="preserve">proportion plus importante de </w:t>
      </w:r>
      <w:r w:rsidR="00125431" w:rsidRPr="00DF1228">
        <w:rPr>
          <w:rFonts w:ascii="Times New Roman" w:eastAsia="Times New Roman" w:hAnsi="Times New Roman"/>
          <w:color w:val="000000"/>
          <w:sz w:val="24"/>
          <w:szCs w:val="24"/>
          <w:lang w:eastAsia="fr-FR"/>
        </w:rPr>
        <w:t xml:space="preserve">ménages pauvres. La proportion de ménages pauvres dans les branches </w:t>
      </w:r>
      <w:r w:rsidR="00125431">
        <w:rPr>
          <w:rFonts w:ascii="Times New Roman" w:eastAsia="Times New Roman" w:hAnsi="Times New Roman"/>
          <w:color w:val="000000"/>
          <w:sz w:val="24"/>
          <w:szCs w:val="24"/>
          <w:lang w:eastAsia="fr-FR"/>
        </w:rPr>
        <w:t>A</w:t>
      </w:r>
      <w:r w:rsidR="00125431" w:rsidRPr="00DF1228">
        <w:rPr>
          <w:rFonts w:ascii="Times New Roman" w:eastAsia="Times New Roman" w:hAnsi="Times New Roman"/>
          <w:color w:val="000000"/>
          <w:sz w:val="24"/>
          <w:szCs w:val="24"/>
          <w:lang w:eastAsia="fr-FR"/>
        </w:rPr>
        <w:t>griculture destinée à l'indu</w:t>
      </w:r>
      <w:r w:rsidR="002F4E27">
        <w:rPr>
          <w:rFonts w:ascii="Times New Roman" w:eastAsia="Times New Roman" w:hAnsi="Times New Roman"/>
          <w:color w:val="000000"/>
          <w:sz w:val="24"/>
          <w:szCs w:val="24"/>
          <w:lang w:eastAsia="fr-FR"/>
        </w:rPr>
        <w:t xml:space="preserve">strie ou l'exportation (40,8%), </w:t>
      </w:r>
      <w:r w:rsidR="00125431" w:rsidRPr="00DF1228">
        <w:rPr>
          <w:rFonts w:ascii="Times New Roman" w:eastAsia="Times New Roman" w:hAnsi="Times New Roman"/>
          <w:color w:val="000000"/>
          <w:sz w:val="24"/>
          <w:szCs w:val="24"/>
          <w:lang w:eastAsia="fr-FR"/>
        </w:rPr>
        <w:t xml:space="preserve">Pêche (38,5%), </w:t>
      </w:r>
      <w:r w:rsidR="002F4E27">
        <w:rPr>
          <w:rFonts w:ascii="Times New Roman" w:eastAsia="Times New Roman" w:hAnsi="Times New Roman"/>
          <w:color w:val="000000"/>
          <w:sz w:val="24"/>
          <w:szCs w:val="24"/>
          <w:lang w:eastAsia="fr-FR"/>
        </w:rPr>
        <w:t>S</w:t>
      </w:r>
      <w:r w:rsidR="00125431" w:rsidRPr="00DF1228">
        <w:rPr>
          <w:rFonts w:ascii="Times New Roman" w:eastAsia="Times New Roman" w:hAnsi="Times New Roman"/>
          <w:color w:val="000000"/>
          <w:sz w:val="24"/>
          <w:szCs w:val="24"/>
          <w:lang w:eastAsia="fr-FR"/>
        </w:rPr>
        <w:t>ylviculture et services annexes</w:t>
      </w:r>
      <w:r w:rsidR="00F92F23">
        <w:rPr>
          <w:rFonts w:ascii="Times New Roman" w:eastAsia="Times New Roman" w:hAnsi="Times New Roman"/>
          <w:color w:val="000000"/>
          <w:sz w:val="24"/>
          <w:szCs w:val="24"/>
          <w:lang w:eastAsia="fr-FR"/>
        </w:rPr>
        <w:t xml:space="preserve"> </w:t>
      </w:r>
      <w:r w:rsidR="00125431" w:rsidRPr="00DF1228">
        <w:rPr>
          <w:rFonts w:ascii="Times New Roman" w:eastAsia="Times New Roman" w:hAnsi="Times New Roman"/>
          <w:color w:val="000000"/>
          <w:sz w:val="24"/>
          <w:szCs w:val="24"/>
          <w:lang w:eastAsia="fr-FR"/>
        </w:rPr>
        <w:t>(21,6%)</w:t>
      </w:r>
      <w:r w:rsidR="00D6338E">
        <w:rPr>
          <w:rFonts w:ascii="Times New Roman" w:eastAsia="Times New Roman" w:hAnsi="Times New Roman"/>
          <w:color w:val="000000"/>
          <w:sz w:val="24"/>
          <w:szCs w:val="24"/>
          <w:lang w:eastAsia="fr-FR"/>
        </w:rPr>
        <w:t xml:space="preserve"> est relativement moins élevée</w:t>
      </w:r>
      <w:r w:rsidR="00125431">
        <w:rPr>
          <w:rFonts w:ascii="Times New Roman" w:eastAsia="Times New Roman" w:hAnsi="Times New Roman"/>
          <w:color w:val="000000"/>
          <w:sz w:val="24"/>
          <w:szCs w:val="24"/>
          <w:lang w:eastAsia="fr-FR"/>
        </w:rPr>
        <w:t>.</w:t>
      </w:r>
    </w:p>
    <w:p w:rsidR="001B2B21" w:rsidRPr="007B43D0" w:rsidRDefault="0023744A" w:rsidP="001B2B21">
      <w:pPr>
        <w:spacing w:after="200" w:line="276" w:lineRule="auto"/>
        <w:rPr>
          <w:rFonts w:ascii="Times New Roman" w:eastAsia="Arial Unicode MS" w:hAnsi="Times New Roman"/>
          <w:sz w:val="24"/>
          <w:szCs w:val="24"/>
        </w:rPr>
      </w:pPr>
      <w:r>
        <w:rPr>
          <w:rFonts w:ascii="Times New Roman" w:eastAsia="Arial Unicode MS" w:hAnsi="Times New Roman"/>
          <w:sz w:val="24"/>
          <w:szCs w:val="24"/>
        </w:rPr>
        <w:t xml:space="preserve">Dans </w:t>
      </w:r>
      <w:r w:rsidR="001B2B21" w:rsidRPr="007B43D0">
        <w:rPr>
          <w:rFonts w:ascii="Times New Roman" w:eastAsia="Arial Unicode MS" w:hAnsi="Times New Roman"/>
          <w:sz w:val="24"/>
          <w:szCs w:val="24"/>
        </w:rPr>
        <w:t>l’</w:t>
      </w:r>
      <w:r w:rsidR="00D6338E">
        <w:rPr>
          <w:rFonts w:ascii="Times New Roman" w:eastAsia="Arial Unicode MS" w:hAnsi="Times New Roman"/>
          <w:sz w:val="24"/>
          <w:szCs w:val="24"/>
        </w:rPr>
        <w:t>A</w:t>
      </w:r>
      <w:r w:rsidR="001B2B21" w:rsidRPr="007B43D0">
        <w:rPr>
          <w:rFonts w:ascii="Times New Roman" w:eastAsia="Arial Unicode MS" w:hAnsi="Times New Roman"/>
          <w:sz w:val="24"/>
          <w:szCs w:val="24"/>
        </w:rPr>
        <w:t>groalimentaire</w:t>
      </w:r>
      <w:r>
        <w:rPr>
          <w:rFonts w:ascii="Times New Roman" w:eastAsia="Arial Unicode MS" w:hAnsi="Times New Roman"/>
          <w:sz w:val="24"/>
          <w:szCs w:val="24"/>
        </w:rPr>
        <w:t xml:space="preserve">, </w:t>
      </w:r>
      <w:r w:rsidR="00D6338E">
        <w:rPr>
          <w:rFonts w:ascii="Times New Roman" w:eastAsia="Arial Unicode MS" w:hAnsi="Times New Roman"/>
          <w:sz w:val="24"/>
          <w:szCs w:val="24"/>
        </w:rPr>
        <w:t>l’incidence de pauvreté monétaire</w:t>
      </w:r>
      <w:r>
        <w:rPr>
          <w:rFonts w:ascii="Times New Roman" w:eastAsia="Arial Unicode MS" w:hAnsi="Times New Roman"/>
          <w:sz w:val="24"/>
          <w:szCs w:val="24"/>
        </w:rPr>
        <w:t xml:space="preserve"> est </w:t>
      </w:r>
      <w:r w:rsidR="00D6338E">
        <w:rPr>
          <w:rFonts w:ascii="Times New Roman" w:eastAsia="Arial Unicode MS" w:hAnsi="Times New Roman"/>
          <w:sz w:val="24"/>
          <w:szCs w:val="24"/>
        </w:rPr>
        <w:t xml:space="preserve">estimée </w:t>
      </w:r>
      <w:r>
        <w:rPr>
          <w:rFonts w:ascii="Times New Roman" w:eastAsia="Arial Unicode MS" w:hAnsi="Times New Roman"/>
          <w:sz w:val="24"/>
          <w:szCs w:val="24"/>
        </w:rPr>
        <w:t>à 32,5%</w:t>
      </w:r>
      <w:r w:rsidR="001B2B21" w:rsidRPr="007B43D0">
        <w:rPr>
          <w:rFonts w:ascii="Times New Roman" w:eastAsia="Arial Unicode MS" w:hAnsi="Times New Roman"/>
          <w:sz w:val="24"/>
          <w:szCs w:val="24"/>
        </w:rPr>
        <w:t xml:space="preserve">, </w:t>
      </w:r>
      <w:r>
        <w:rPr>
          <w:rFonts w:ascii="Times New Roman" w:eastAsia="Arial Unicode MS" w:hAnsi="Times New Roman"/>
          <w:sz w:val="24"/>
          <w:szCs w:val="24"/>
        </w:rPr>
        <w:t>contre respectivement 31,6%</w:t>
      </w:r>
      <w:r w:rsidR="009B27FB">
        <w:rPr>
          <w:rFonts w:ascii="Times New Roman" w:eastAsia="Arial Unicode MS" w:hAnsi="Times New Roman"/>
          <w:sz w:val="24"/>
          <w:szCs w:val="24"/>
        </w:rPr>
        <w:t xml:space="preserve"> </w:t>
      </w:r>
      <w:r w:rsidR="001B2B21" w:rsidRPr="007B43D0">
        <w:rPr>
          <w:rFonts w:ascii="Times New Roman" w:eastAsia="Arial Unicode MS" w:hAnsi="Times New Roman"/>
          <w:sz w:val="24"/>
          <w:szCs w:val="24"/>
        </w:rPr>
        <w:t xml:space="preserve">dans les BTP-matériaux de construction </w:t>
      </w:r>
      <w:r>
        <w:rPr>
          <w:rFonts w:ascii="Times New Roman" w:eastAsia="Arial Unicode MS" w:hAnsi="Times New Roman"/>
          <w:sz w:val="24"/>
          <w:szCs w:val="24"/>
        </w:rPr>
        <w:t xml:space="preserve">et 36,2% </w:t>
      </w:r>
      <w:r w:rsidR="001B2B21" w:rsidRPr="007B43D0">
        <w:rPr>
          <w:rFonts w:ascii="Times New Roman" w:eastAsia="Arial Unicode MS" w:hAnsi="Times New Roman"/>
          <w:sz w:val="24"/>
          <w:szCs w:val="24"/>
        </w:rPr>
        <w:t>dans l’</w:t>
      </w:r>
      <w:r w:rsidR="00D6338E">
        <w:rPr>
          <w:rFonts w:ascii="Times New Roman" w:eastAsia="Arial Unicode MS" w:hAnsi="Times New Roman"/>
          <w:sz w:val="24"/>
          <w:szCs w:val="24"/>
        </w:rPr>
        <w:t>A</w:t>
      </w:r>
      <w:r w:rsidR="001B2B21" w:rsidRPr="007B43D0">
        <w:rPr>
          <w:rFonts w:ascii="Times New Roman" w:eastAsia="Arial Unicode MS" w:hAnsi="Times New Roman"/>
          <w:sz w:val="24"/>
          <w:szCs w:val="24"/>
        </w:rPr>
        <w:t>rtisanat, culture et tourisme</w:t>
      </w:r>
      <w:r>
        <w:rPr>
          <w:rFonts w:ascii="Times New Roman" w:eastAsia="Arial Unicode MS" w:hAnsi="Times New Roman"/>
          <w:sz w:val="24"/>
          <w:szCs w:val="24"/>
        </w:rPr>
        <w:t>.</w:t>
      </w:r>
      <w:r w:rsidR="001B2B21" w:rsidRPr="007B43D0">
        <w:rPr>
          <w:rFonts w:ascii="Times New Roman" w:eastAsia="Arial Unicode MS" w:hAnsi="Times New Roman"/>
          <w:sz w:val="24"/>
          <w:szCs w:val="24"/>
        </w:rPr>
        <w:t xml:space="preserve"> En revanche, les branches à forte main d’œuvre formel telles que les services d’administration publique, les services d’éduc</w:t>
      </w:r>
      <w:r w:rsidR="00244591">
        <w:rPr>
          <w:rFonts w:ascii="Times New Roman" w:eastAsia="Arial Unicode MS" w:hAnsi="Times New Roman"/>
          <w:sz w:val="24"/>
          <w:szCs w:val="24"/>
        </w:rPr>
        <w:t>a</w:t>
      </w:r>
      <w:r w:rsidR="001B2B21" w:rsidRPr="007B43D0">
        <w:rPr>
          <w:rFonts w:ascii="Times New Roman" w:eastAsia="Arial Unicode MS" w:hAnsi="Times New Roman"/>
          <w:sz w:val="24"/>
          <w:szCs w:val="24"/>
        </w:rPr>
        <w:t xml:space="preserve">tion et services de santé présentent des incidences de pauvreté faible. Ces branches sont dominées par des emplois formels avec des incidences de pauvreté inférieures à 25% soit moins d’un individu sur quatre est pauvre. </w:t>
      </w:r>
    </w:p>
    <w:p w:rsidR="002832CA" w:rsidRDefault="001B2B21" w:rsidP="002832CA">
      <w:pPr>
        <w:spacing w:after="200" w:line="276" w:lineRule="auto"/>
        <w:rPr>
          <w:rFonts w:ascii="Times New Roman" w:eastAsia="Arial Unicode MS" w:hAnsi="Times New Roman"/>
          <w:sz w:val="24"/>
          <w:szCs w:val="24"/>
        </w:rPr>
      </w:pPr>
      <w:r w:rsidRPr="00540961">
        <w:rPr>
          <w:rFonts w:ascii="Times New Roman" w:eastAsia="Arial Unicode MS" w:hAnsi="Times New Roman"/>
          <w:sz w:val="24"/>
          <w:szCs w:val="24"/>
        </w:rPr>
        <w:t xml:space="preserve">Entre 2006 et 2011, la pauvreté s’est accentuée dans presque toutes les branches d’activités à l’exception de la branche </w:t>
      </w:r>
      <w:r w:rsidRPr="002832CA">
        <w:rPr>
          <w:rFonts w:ascii="Times New Roman" w:eastAsia="Arial Unicode MS" w:hAnsi="Times New Roman"/>
          <w:sz w:val="24"/>
          <w:szCs w:val="24"/>
        </w:rPr>
        <w:t>Coton-textile, Mines-hydrocarbures et des services de l’administration publique et de l’éducation</w:t>
      </w:r>
      <w:r w:rsidR="003A0997" w:rsidRPr="002832CA">
        <w:rPr>
          <w:rFonts w:ascii="Times New Roman" w:eastAsia="Arial Unicode MS" w:hAnsi="Times New Roman"/>
          <w:sz w:val="24"/>
          <w:szCs w:val="24"/>
        </w:rPr>
        <w:t>.</w:t>
      </w:r>
      <w:r w:rsidR="002832CA" w:rsidRPr="002832CA">
        <w:rPr>
          <w:rFonts w:ascii="Times New Roman" w:eastAsia="Arial Unicode MS" w:hAnsi="Times New Roman"/>
          <w:sz w:val="24"/>
          <w:szCs w:val="24"/>
        </w:rPr>
        <w:t xml:space="preserve"> Il convient toutefois de préciser que la baisse de la pauvreté dans ces branches s’est produite concomitamment avec une réduction des inégalités des dépenses de consommation. En termes d’incidence, la hausse est modérée pour les chefs de ménages travailleurs dans les branches Agriculture hors coton (+4,4 points de pourcentage), Commerce-logistique (+3,8 points de pourcentage) et BTP-matériaux de construction (+1,7 point de pourcentage). Elle est en revanche beaucoup plus marquée pour les chefs de ménages travailleurs dans les branches Agroalimentaire (+8,1 points de pourcentage) et services de santé et d’action sociale (+14,6 points de pourcentage).</w:t>
      </w:r>
    </w:p>
    <w:p w:rsidR="00832112" w:rsidRDefault="003A0997" w:rsidP="00832112">
      <w:pPr>
        <w:spacing w:line="276" w:lineRule="auto"/>
        <w:rPr>
          <w:rFonts w:ascii="Times New Roman" w:eastAsia="Arial Unicode MS" w:hAnsi="Times New Roman"/>
          <w:sz w:val="24"/>
          <w:szCs w:val="24"/>
        </w:rPr>
      </w:pPr>
      <w:r>
        <w:rPr>
          <w:rFonts w:ascii="Times New Roman" w:eastAsia="Arial Unicode MS" w:hAnsi="Times New Roman"/>
          <w:sz w:val="24"/>
          <w:szCs w:val="24"/>
        </w:rPr>
        <w:t>L’amélioration notée dans le secteur public pourrait s’expliquer par l’augmentation des dépenses publiques à l’endroit de cette couche de la population à travers : (i) l</w:t>
      </w:r>
      <w:r w:rsidR="00A64932">
        <w:rPr>
          <w:rFonts w:ascii="Times New Roman" w:eastAsia="Arial Unicode MS" w:hAnsi="Times New Roman"/>
          <w:sz w:val="24"/>
          <w:szCs w:val="24"/>
        </w:rPr>
        <w:t>’évolution du point indiciaire des agents permanents de l’Etat, (ii) l’octroi d’une allocation de 25% du point indiciaire au corps enseignant, dans le cadre de la revalorisation de la fonction enseignante et i</w:t>
      </w:r>
      <w:r w:rsidR="00D971F2">
        <w:rPr>
          <w:rFonts w:ascii="Times New Roman" w:eastAsia="Arial Unicode MS" w:hAnsi="Times New Roman"/>
          <w:sz w:val="24"/>
          <w:szCs w:val="24"/>
        </w:rPr>
        <w:t>ii</w:t>
      </w:r>
      <w:r w:rsidR="00A64932">
        <w:rPr>
          <w:rFonts w:ascii="Times New Roman" w:eastAsia="Arial Unicode MS" w:hAnsi="Times New Roman"/>
          <w:sz w:val="24"/>
          <w:szCs w:val="24"/>
        </w:rPr>
        <w:t xml:space="preserve">) l’octroi des primes et indemnités aux personnels des secteurs prioritaires de la SCRP ( </w:t>
      </w:r>
      <w:r w:rsidR="00A64932" w:rsidRPr="00E74AC7">
        <w:rPr>
          <w:rFonts w:ascii="Times New Roman" w:eastAsia="Arial Unicode MS" w:hAnsi="Times New Roman"/>
          <w:sz w:val="24"/>
          <w:szCs w:val="24"/>
        </w:rPr>
        <w:t xml:space="preserve">santé, éducation, etc. ). </w:t>
      </w:r>
      <w:r w:rsidR="00E81471" w:rsidRPr="008D6050">
        <w:rPr>
          <w:rFonts w:ascii="Times New Roman" w:eastAsia="Arial Unicode MS" w:hAnsi="Times New Roman"/>
          <w:sz w:val="24"/>
          <w:szCs w:val="24"/>
        </w:rPr>
        <w:t>Quant à la situation dans le secteur coton</w:t>
      </w:r>
      <w:r w:rsidR="00BF2990" w:rsidRPr="008D6050">
        <w:rPr>
          <w:rFonts w:ascii="Times New Roman" w:eastAsia="Arial Unicode MS" w:hAnsi="Times New Roman"/>
          <w:sz w:val="24"/>
          <w:szCs w:val="24"/>
        </w:rPr>
        <w:t xml:space="preserve">, elle </w:t>
      </w:r>
      <w:r w:rsidR="008D6050" w:rsidRPr="008D6050">
        <w:rPr>
          <w:rFonts w:ascii="Times New Roman" w:eastAsia="Arial Unicode MS" w:hAnsi="Times New Roman"/>
          <w:sz w:val="24"/>
          <w:szCs w:val="24"/>
        </w:rPr>
        <w:t xml:space="preserve">semble </w:t>
      </w:r>
      <w:r w:rsidR="002C0F00" w:rsidRPr="008D6050">
        <w:rPr>
          <w:rFonts w:ascii="Times New Roman" w:eastAsia="Arial Unicode MS" w:hAnsi="Times New Roman"/>
          <w:sz w:val="24"/>
          <w:szCs w:val="24"/>
        </w:rPr>
        <w:t>refléter</w:t>
      </w:r>
      <w:r w:rsidR="00BF2990" w:rsidRPr="008D6050">
        <w:rPr>
          <w:rFonts w:ascii="Times New Roman" w:eastAsia="Arial Unicode MS" w:hAnsi="Times New Roman"/>
          <w:sz w:val="24"/>
          <w:szCs w:val="24"/>
        </w:rPr>
        <w:t xml:space="preserve"> l’amélioration </w:t>
      </w:r>
      <w:r w:rsidR="00BF2990">
        <w:rPr>
          <w:rFonts w:ascii="Times New Roman" w:eastAsia="Arial Unicode MS" w:hAnsi="Times New Roman"/>
          <w:sz w:val="24"/>
          <w:szCs w:val="24"/>
        </w:rPr>
        <w:t xml:space="preserve">du niveau de revenu  des ménages producteurs de coton-graine comme le </w:t>
      </w:r>
      <w:r w:rsidR="00BF2990" w:rsidRPr="000752E0">
        <w:rPr>
          <w:rFonts w:ascii="Times New Roman" w:eastAsia="Arial Unicode MS" w:hAnsi="Times New Roman"/>
          <w:sz w:val="24"/>
          <w:szCs w:val="24"/>
        </w:rPr>
        <w:t xml:space="preserve">montre le tableau ci-dessous. </w:t>
      </w:r>
      <w:r w:rsidR="00417402">
        <w:rPr>
          <w:rFonts w:ascii="Times New Roman" w:eastAsia="Arial Unicode MS" w:hAnsi="Times New Roman"/>
          <w:sz w:val="24"/>
          <w:szCs w:val="24"/>
        </w:rPr>
        <w:t>Entre 2006 et 2009, le revenu des producteurs a connu un accroissement de 16%.</w:t>
      </w:r>
    </w:p>
    <w:p w:rsidR="00517225" w:rsidRDefault="00517225" w:rsidP="00F0253B">
      <w:pPr>
        <w:spacing w:line="276" w:lineRule="auto"/>
        <w:rPr>
          <w:rFonts w:ascii="Times New Roman" w:eastAsia="Arial Unicode MS" w:hAnsi="Times New Roman"/>
          <w:sz w:val="24"/>
          <w:szCs w:val="24"/>
        </w:rPr>
      </w:pPr>
    </w:p>
    <w:tbl>
      <w:tblPr>
        <w:tblW w:w="0" w:type="auto"/>
        <w:tblLayout w:type="fixed"/>
        <w:tblCellMar>
          <w:left w:w="70" w:type="dxa"/>
          <w:right w:w="70" w:type="dxa"/>
        </w:tblCellMar>
        <w:tblLook w:val="04A0" w:firstRow="1" w:lastRow="0" w:firstColumn="1" w:lastColumn="0" w:noHBand="0" w:noVBand="1"/>
      </w:tblPr>
      <w:tblGrid>
        <w:gridCol w:w="2790"/>
        <w:gridCol w:w="790"/>
        <w:gridCol w:w="790"/>
        <w:gridCol w:w="790"/>
        <w:gridCol w:w="790"/>
        <w:gridCol w:w="924"/>
        <w:gridCol w:w="851"/>
        <w:gridCol w:w="709"/>
        <w:gridCol w:w="778"/>
      </w:tblGrid>
      <w:tr w:rsidR="00C46EF6" w:rsidRPr="00AC5D5F" w:rsidTr="00622124">
        <w:trPr>
          <w:trHeight w:val="330"/>
        </w:trPr>
        <w:tc>
          <w:tcPr>
            <w:tcW w:w="9212" w:type="dxa"/>
            <w:gridSpan w:val="9"/>
            <w:tcBorders>
              <w:left w:val="nil"/>
              <w:bottom w:val="double" w:sz="4" w:space="0" w:color="auto"/>
              <w:right w:val="nil"/>
            </w:tcBorders>
            <w:shd w:val="clear" w:color="auto" w:fill="92CDDC" w:themeFill="accent5" w:themeFillTint="99"/>
            <w:noWrap/>
            <w:vAlign w:val="bottom"/>
            <w:hideMark/>
          </w:tcPr>
          <w:p w:rsidR="00C46EF6" w:rsidRPr="00AC5D5F" w:rsidRDefault="00AC5D5F" w:rsidP="00955650">
            <w:pPr>
              <w:tabs>
                <w:tab w:val="left" w:pos="1335"/>
              </w:tabs>
              <w:spacing w:line="276" w:lineRule="auto"/>
              <w:rPr>
                <w:rFonts w:ascii="Times New Roman" w:hAnsi="Times New Roman"/>
                <w:b/>
                <w:sz w:val="24"/>
                <w:szCs w:val="24"/>
              </w:rPr>
            </w:pPr>
            <w:bookmarkStart w:id="43" w:name="_Toc369712334"/>
            <w:bookmarkStart w:id="44" w:name="_Toc369712421"/>
            <w:bookmarkStart w:id="45" w:name="_Toc369719859"/>
            <w:r w:rsidRPr="00AC5D5F">
              <w:rPr>
                <w:rFonts w:ascii="Times New Roman" w:hAnsi="Times New Roman"/>
                <w:sz w:val="24"/>
                <w:szCs w:val="24"/>
              </w:rPr>
              <w:t xml:space="preserve">Tableau 1. </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Tableau_1.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5</w:t>
            </w:r>
            <w:r w:rsidR="00182C97" w:rsidRPr="00AC5D5F">
              <w:rPr>
                <w:rFonts w:ascii="Times New Roman" w:hAnsi="Times New Roman"/>
                <w:sz w:val="24"/>
                <w:szCs w:val="24"/>
              </w:rPr>
              <w:fldChar w:fldCharType="end"/>
            </w:r>
            <w:r w:rsidR="00955650" w:rsidRPr="00AC5D5F">
              <w:rPr>
                <w:rFonts w:ascii="Times New Roman" w:eastAsia="Arial Unicode MS" w:hAnsi="Times New Roman"/>
                <w:sz w:val="24"/>
                <w:szCs w:val="24"/>
              </w:rPr>
              <w:t>:</w:t>
            </w:r>
            <w:r w:rsidR="00F92F23">
              <w:rPr>
                <w:rFonts w:ascii="Times New Roman" w:eastAsia="Arial Unicode MS" w:hAnsi="Times New Roman"/>
                <w:sz w:val="24"/>
                <w:szCs w:val="24"/>
              </w:rPr>
              <w:t xml:space="preserve"> </w:t>
            </w:r>
            <w:r w:rsidR="00C46EF6" w:rsidRPr="00AC5D5F">
              <w:rPr>
                <w:rFonts w:ascii="Times New Roman" w:hAnsi="Times New Roman"/>
                <w:sz w:val="24"/>
                <w:szCs w:val="24"/>
              </w:rPr>
              <w:t>Evolution du revenu des producteurs de coton graine entre 2006 et 2009</w:t>
            </w:r>
            <w:bookmarkEnd w:id="43"/>
            <w:bookmarkEnd w:id="44"/>
            <w:bookmarkEnd w:id="45"/>
          </w:p>
        </w:tc>
      </w:tr>
      <w:tr w:rsidR="00622124" w:rsidRPr="000843E7" w:rsidTr="00622124">
        <w:trPr>
          <w:trHeight w:val="442"/>
        </w:trPr>
        <w:tc>
          <w:tcPr>
            <w:tcW w:w="2790" w:type="dxa"/>
            <w:vMerge w:val="restart"/>
            <w:tcBorders>
              <w:top w:val="double" w:sz="4" w:space="0" w:color="auto"/>
              <w:left w:val="nil"/>
              <w:right w:val="nil"/>
            </w:tcBorders>
            <w:shd w:val="clear" w:color="auto" w:fill="DAEEF3" w:themeFill="accent5" w:themeFillTint="33"/>
            <w:noWrap/>
            <w:vAlign w:val="bottom"/>
            <w:hideMark/>
          </w:tcPr>
          <w:p w:rsidR="00622124" w:rsidRPr="000843E7" w:rsidRDefault="00622124" w:rsidP="004B634A">
            <w:pPr>
              <w:spacing w:line="240" w:lineRule="auto"/>
              <w:jc w:val="left"/>
              <w:rPr>
                <w:rFonts w:ascii="Times New Roman" w:eastAsia="Times New Roman" w:hAnsi="Times New Roman"/>
                <w:color w:val="000000"/>
                <w:lang w:eastAsia="fr-FR"/>
              </w:rPr>
            </w:pPr>
          </w:p>
        </w:tc>
        <w:tc>
          <w:tcPr>
            <w:tcW w:w="790" w:type="dxa"/>
            <w:vMerge w:val="restart"/>
            <w:tcBorders>
              <w:top w:val="double" w:sz="4" w:space="0" w:color="auto"/>
              <w:left w:val="nil"/>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r w:rsidRPr="000843E7">
              <w:rPr>
                <w:rFonts w:ascii="Times New Roman" w:eastAsia="Times New Roman" w:hAnsi="Times New Roman"/>
                <w:color w:val="000000"/>
                <w:lang w:eastAsia="fr-FR"/>
              </w:rPr>
              <w:t>2006</w:t>
            </w:r>
          </w:p>
        </w:tc>
        <w:tc>
          <w:tcPr>
            <w:tcW w:w="790" w:type="dxa"/>
            <w:vMerge w:val="restart"/>
            <w:tcBorders>
              <w:top w:val="double" w:sz="4" w:space="0" w:color="auto"/>
              <w:left w:val="nil"/>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r w:rsidRPr="000843E7">
              <w:rPr>
                <w:rFonts w:ascii="Times New Roman" w:eastAsia="Times New Roman" w:hAnsi="Times New Roman"/>
                <w:color w:val="000000"/>
                <w:lang w:eastAsia="fr-FR"/>
              </w:rPr>
              <w:t>2007</w:t>
            </w:r>
          </w:p>
        </w:tc>
        <w:tc>
          <w:tcPr>
            <w:tcW w:w="790" w:type="dxa"/>
            <w:vMerge w:val="restart"/>
            <w:tcBorders>
              <w:top w:val="double" w:sz="4" w:space="0" w:color="auto"/>
              <w:left w:val="nil"/>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r w:rsidRPr="000843E7">
              <w:rPr>
                <w:rFonts w:ascii="Times New Roman" w:eastAsia="Times New Roman" w:hAnsi="Times New Roman"/>
                <w:color w:val="000000"/>
                <w:lang w:eastAsia="fr-FR"/>
              </w:rPr>
              <w:t>2008</w:t>
            </w:r>
          </w:p>
        </w:tc>
        <w:tc>
          <w:tcPr>
            <w:tcW w:w="790" w:type="dxa"/>
            <w:vMerge w:val="restart"/>
            <w:tcBorders>
              <w:top w:val="double" w:sz="4" w:space="0" w:color="auto"/>
              <w:left w:val="nil"/>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r w:rsidRPr="000843E7">
              <w:rPr>
                <w:rFonts w:ascii="Times New Roman" w:eastAsia="Times New Roman" w:hAnsi="Times New Roman"/>
                <w:color w:val="000000"/>
                <w:lang w:eastAsia="fr-FR"/>
              </w:rPr>
              <w:t>2009</w:t>
            </w:r>
          </w:p>
        </w:tc>
        <w:tc>
          <w:tcPr>
            <w:tcW w:w="924" w:type="dxa"/>
            <w:vMerge w:val="restart"/>
            <w:tcBorders>
              <w:top w:val="double" w:sz="4" w:space="0" w:color="auto"/>
              <w:left w:val="nil"/>
            </w:tcBorders>
            <w:shd w:val="clear" w:color="auto" w:fill="DAEEF3" w:themeFill="accent5" w:themeFillTint="33"/>
            <w:noWrap/>
            <w:vAlign w:val="bottom"/>
            <w:hideMark/>
          </w:tcPr>
          <w:p w:rsidR="00622124" w:rsidRPr="000843E7" w:rsidRDefault="00622124" w:rsidP="003E6F2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2010</w:t>
            </w:r>
          </w:p>
        </w:tc>
        <w:tc>
          <w:tcPr>
            <w:tcW w:w="851" w:type="dxa"/>
            <w:vMerge w:val="restart"/>
            <w:tcBorders>
              <w:top w:val="double" w:sz="4" w:space="0" w:color="auto"/>
            </w:tcBorders>
            <w:shd w:val="clear" w:color="auto" w:fill="DAEEF3" w:themeFill="accent5" w:themeFillTint="33"/>
            <w:vAlign w:val="bottom"/>
          </w:tcPr>
          <w:p w:rsidR="00622124" w:rsidRPr="000843E7" w:rsidRDefault="00622124" w:rsidP="003E6F2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2011</w:t>
            </w:r>
          </w:p>
        </w:tc>
        <w:tc>
          <w:tcPr>
            <w:tcW w:w="1487" w:type="dxa"/>
            <w:gridSpan w:val="2"/>
            <w:tcBorders>
              <w:top w:val="double" w:sz="4" w:space="0" w:color="auto"/>
              <w:bottom w:val="single" w:sz="4" w:space="0" w:color="auto"/>
              <w:right w:val="nil"/>
            </w:tcBorders>
            <w:shd w:val="clear" w:color="auto" w:fill="DAEEF3" w:themeFill="accent5" w:themeFillTint="33"/>
            <w:vAlign w:val="bottom"/>
          </w:tcPr>
          <w:p w:rsidR="00622124" w:rsidRPr="000843E7" w:rsidRDefault="00622124" w:rsidP="00F92F23">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Variation (%)</w:t>
            </w:r>
          </w:p>
        </w:tc>
      </w:tr>
      <w:tr w:rsidR="00622124" w:rsidRPr="000843E7" w:rsidTr="00622124">
        <w:trPr>
          <w:trHeight w:val="554"/>
        </w:trPr>
        <w:tc>
          <w:tcPr>
            <w:tcW w:w="2790" w:type="dxa"/>
            <w:vMerge/>
            <w:tcBorders>
              <w:left w:val="nil"/>
              <w:bottom w:val="single" w:sz="4" w:space="0" w:color="auto"/>
              <w:right w:val="nil"/>
            </w:tcBorders>
            <w:shd w:val="clear" w:color="auto" w:fill="DAEEF3" w:themeFill="accent5" w:themeFillTint="33"/>
            <w:noWrap/>
            <w:vAlign w:val="bottom"/>
            <w:hideMark/>
          </w:tcPr>
          <w:p w:rsidR="00622124" w:rsidRPr="000843E7" w:rsidRDefault="00622124" w:rsidP="004B634A">
            <w:pPr>
              <w:spacing w:line="240" w:lineRule="auto"/>
              <w:jc w:val="left"/>
              <w:rPr>
                <w:rFonts w:ascii="Times New Roman" w:eastAsia="Times New Roman" w:hAnsi="Times New Roman"/>
                <w:color w:val="000000"/>
                <w:lang w:eastAsia="fr-FR"/>
              </w:rPr>
            </w:pPr>
          </w:p>
        </w:tc>
        <w:tc>
          <w:tcPr>
            <w:tcW w:w="790" w:type="dxa"/>
            <w:vMerge/>
            <w:tcBorders>
              <w:left w:val="nil"/>
              <w:bottom w:val="single" w:sz="4" w:space="0" w:color="auto"/>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p>
        </w:tc>
        <w:tc>
          <w:tcPr>
            <w:tcW w:w="790" w:type="dxa"/>
            <w:vMerge/>
            <w:tcBorders>
              <w:left w:val="nil"/>
              <w:bottom w:val="single" w:sz="4" w:space="0" w:color="auto"/>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p>
        </w:tc>
        <w:tc>
          <w:tcPr>
            <w:tcW w:w="790" w:type="dxa"/>
            <w:vMerge/>
            <w:tcBorders>
              <w:left w:val="nil"/>
              <w:bottom w:val="single" w:sz="4" w:space="0" w:color="auto"/>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p>
        </w:tc>
        <w:tc>
          <w:tcPr>
            <w:tcW w:w="790" w:type="dxa"/>
            <w:vMerge/>
            <w:tcBorders>
              <w:left w:val="nil"/>
              <w:bottom w:val="single" w:sz="4" w:space="0" w:color="auto"/>
              <w:right w:val="nil"/>
            </w:tcBorders>
            <w:shd w:val="clear" w:color="auto" w:fill="DAEEF3" w:themeFill="accent5" w:themeFillTint="33"/>
            <w:noWrap/>
            <w:vAlign w:val="bottom"/>
            <w:hideMark/>
          </w:tcPr>
          <w:p w:rsidR="00622124" w:rsidRPr="000843E7" w:rsidRDefault="00622124" w:rsidP="004B634A">
            <w:pPr>
              <w:spacing w:line="240" w:lineRule="auto"/>
              <w:jc w:val="right"/>
              <w:rPr>
                <w:rFonts w:ascii="Times New Roman" w:eastAsia="Times New Roman" w:hAnsi="Times New Roman"/>
                <w:color w:val="000000"/>
                <w:lang w:eastAsia="fr-FR"/>
              </w:rPr>
            </w:pPr>
          </w:p>
        </w:tc>
        <w:tc>
          <w:tcPr>
            <w:tcW w:w="924" w:type="dxa"/>
            <w:vMerge/>
            <w:tcBorders>
              <w:left w:val="nil"/>
              <w:bottom w:val="single" w:sz="4" w:space="0" w:color="auto"/>
            </w:tcBorders>
            <w:shd w:val="clear" w:color="auto" w:fill="DAEEF3" w:themeFill="accent5" w:themeFillTint="33"/>
            <w:noWrap/>
            <w:vAlign w:val="bottom"/>
            <w:hideMark/>
          </w:tcPr>
          <w:p w:rsidR="00622124" w:rsidRDefault="00622124" w:rsidP="003E6F2A">
            <w:pPr>
              <w:spacing w:line="240" w:lineRule="auto"/>
              <w:jc w:val="center"/>
              <w:rPr>
                <w:rFonts w:ascii="Times New Roman" w:eastAsia="Times New Roman" w:hAnsi="Times New Roman"/>
                <w:color w:val="000000"/>
                <w:lang w:eastAsia="fr-FR"/>
              </w:rPr>
            </w:pPr>
          </w:p>
        </w:tc>
        <w:tc>
          <w:tcPr>
            <w:tcW w:w="851" w:type="dxa"/>
            <w:vMerge/>
            <w:tcBorders>
              <w:bottom w:val="single" w:sz="4" w:space="0" w:color="auto"/>
            </w:tcBorders>
            <w:shd w:val="clear" w:color="auto" w:fill="DAEEF3" w:themeFill="accent5" w:themeFillTint="33"/>
            <w:vAlign w:val="bottom"/>
          </w:tcPr>
          <w:p w:rsidR="00622124" w:rsidRDefault="00622124" w:rsidP="003E6F2A">
            <w:pPr>
              <w:spacing w:line="240" w:lineRule="auto"/>
              <w:jc w:val="center"/>
              <w:rPr>
                <w:rFonts w:ascii="Times New Roman" w:eastAsia="Times New Roman" w:hAnsi="Times New Roman"/>
                <w:color w:val="000000"/>
                <w:lang w:eastAsia="fr-FR"/>
              </w:rPr>
            </w:pPr>
          </w:p>
        </w:tc>
        <w:tc>
          <w:tcPr>
            <w:tcW w:w="709" w:type="dxa"/>
            <w:tcBorders>
              <w:bottom w:val="single" w:sz="4" w:space="0" w:color="auto"/>
            </w:tcBorders>
            <w:shd w:val="clear" w:color="auto" w:fill="DAEEF3" w:themeFill="accent5" w:themeFillTint="33"/>
            <w:vAlign w:val="bottom"/>
          </w:tcPr>
          <w:p w:rsidR="00622124" w:rsidRDefault="00622124" w:rsidP="00622124">
            <w:pPr>
              <w:spacing w:line="240" w:lineRule="auto"/>
              <w:rPr>
                <w:rFonts w:ascii="Times New Roman" w:eastAsia="Times New Roman" w:hAnsi="Times New Roman"/>
                <w:color w:val="000000"/>
                <w:lang w:eastAsia="fr-FR"/>
              </w:rPr>
            </w:pPr>
            <w:r>
              <w:rPr>
                <w:rFonts w:ascii="Times New Roman" w:eastAsia="Times New Roman" w:hAnsi="Times New Roman"/>
                <w:color w:val="000000"/>
                <w:lang w:eastAsia="fr-FR"/>
              </w:rPr>
              <w:t>2006-2009</w:t>
            </w:r>
          </w:p>
        </w:tc>
        <w:tc>
          <w:tcPr>
            <w:tcW w:w="778" w:type="dxa"/>
            <w:tcBorders>
              <w:bottom w:val="single" w:sz="4" w:space="0" w:color="auto"/>
              <w:right w:val="nil"/>
            </w:tcBorders>
            <w:shd w:val="clear" w:color="auto" w:fill="DAEEF3" w:themeFill="accent5" w:themeFillTint="33"/>
            <w:vAlign w:val="bottom"/>
          </w:tcPr>
          <w:p w:rsidR="00622124" w:rsidRPr="000843E7" w:rsidRDefault="00622124" w:rsidP="00622124">
            <w:pPr>
              <w:spacing w:line="240" w:lineRule="auto"/>
              <w:jc w:val="center"/>
              <w:rPr>
                <w:rFonts w:ascii="Times New Roman" w:eastAsia="Times New Roman" w:hAnsi="Times New Roman"/>
                <w:color w:val="000000"/>
                <w:lang w:eastAsia="fr-FR"/>
              </w:rPr>
            </w:pPr>
            <w:r w:rsidRPr="000843E7">
              <w:rPr>
                <w:rFonts w:ascii="Times New Roman" w:eastAsia="Times New Roman" w:hAnsi="Times New Roman"/>
                <w:color w:val="000000"/>
                <w:lang w:eastAsia="fr-FR"/>
              </w:rPr>
              <w:t>2006-20</w:t>
            </w:r>
            <w:r>
              <w:rPr>
                <w:rFonts w:ascii="Times New Roman" w:eastAsia="Times New Roman" w:hAnsi="Times New Roman"/>
                <w:color w:val="000000"/>
                <w:lang w:eastAsia="fr-FR"/>
              </w:rPr>
              <w:t>11</w:t>
            </w:r>
          </w:p>
        </w:tc>
      </w:tr>
      <w:tr w:rsidR="00622124" w:rsidRPr="000843E7" w:rsidTr="00622124">
        <w:trPr>
          <w:trHeight w:val="300"/>
        </w:trPr>
        <w:tc>
          <w:tcPr>
            <w:tcW w:w="2790" w:type="dxa"/>
            <w:tcBorders>
              <w:top w:val="single" w:sz="4" w:space="0" w:color="auto"/>
              <w:left w:val="nil"/>
              <w:bottom w:val="nil"/>
              <w:right w:val="nil"/>
            </w:tcBorders>
            <w:shd w:val="clear" w:color="auto" w:fill="DAEEF3" w:themeFill="accent5" w:themeFillTint="33"/>
            <w:noWrap/>
            <w:vAlign w:val="bottom"/>
            <w:hideMark/>
          </w:tcPr>
          <w:p w:rsidR="00622124" w:rsidRPr="000843E7" w:rsidRDefault="00622124" w:rsidP="004B634A">
            <w:pPr>
              <w:spacing w:line="240" w:lineRule="auto"/>
              <w:jc w:val="left"/>
              <w:rPr>
                <w:rFonts w:ascii="Times New Roman" w:eastAsia="Times New Roman" w:hAnsi="Times New Roman"/>
                <w:color w:val="000000"/>
                <w:lang w:eastAsia="fr-FR"/>
              </w:rPr>
            </w:pPr>
            <w:r w:rsidRPr="000843E7">
              <w:rPr>
                <w:rFonts w:ascii="Times New Roman" w:eastAsia="Times New Roman" w:hAnsi="Times New Roman"/>
                <w:color w:val="000000"/>
                <w:lang w:eastAsia="fr-FR"/>
              </w:rPr>
              <w:t>Prix de vente de coton au producteur (FCFA/KG)</w:t>
            </w:r>
          </w:p>
        </w:tc>
        <w:tc>
          <w:tcPr>
            <w:tcW w:w="790" w:type="dxa"/>
            <w:tcBorders>
              <w:top w:val="single" w:sz="4" w:space="0" w:color="auto"/>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180</w:t>
            </w:r>
          </w:p>
        </w:tc>
        <w:tc>
          <w:tcPr>
            <w:tcW w:w="790" w:type="dxa"/>
            <w:tcBorders>
              <w:top w:val="single" w:sz="4" w:space="0" w:color="auto"/>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180</w:t>
            </w:r>
          </w:p>
        </w:tc>
        <w:tc>
          <w:tcPr>
            <w:tcW w:w="790" w:type="dxa"/>
            <w:tcBorders>
              <w:top w:val="single" w:sz="4" w:space="0" w:color="auto"/>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170</w:t>
            </w:r>
          </w:p>
        </w:tc>
        <w:tc>
          <w:tcPr>
            <w:tcW w:w="790" w:type="dxa"/>
            <w:tcBorders>
              <w:top w:val="single" w:sz="4" w:space="0" w:color="auto"/>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190</w:t>
            </w:r>
          </w:p>
        </w:tc>
        <w:tc>
          <w:tcPr>
            <w:tcW w:w="924" w:type="dxa"/>
            <w:tcBorders>
              <w:top w:val="single" w:sz="4" w:space="0" w:color="auto"/>
              <w:left w:val="nil"/>
              <w:bottom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180</w:t>
            </w:r>
          </w:p>
        </w:tc>
        <w:tc>
          <w:tcPr>
            <w:tcW w:w="851" w:type="dxa"/>
            <w:tcBorders>
              <w:top w:val="single" w:sz="4" w:space="0" w:color="auto"/>
              <w:bottom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250</w:t>
            </w:r>
          </w:p>
        </w:tc>
        <w:tc>
          <w:tcPr>
            <w:tcW w:w="709" w:type="dxa"/>
            <w:tcBorders>
              <w:top w:val="single" w:sz="4" w:space="0" w:color="auto"/>
              <w:bottom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5,6</w:t>
            </w:r>
          </w:p>
        </w:tc>
        <w:tc>
          <w:tcPr>
            <w:tcW w:w="778" w:type="dxa"/>
            <w:tcBorders>
              <w:top w:val="single" w:sz="4" w:space="0" w:color="auto"/>
              <w:bottom w:val="nil"/>
              <w:right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38,9</w:t>
            </w:r>
          </w:p>
        </w:tc>
      </w:tr>
      <w:tr w:rsidR="00622124" w:rsidRPr="000843E7" w:rsidTr="00622124">
        <w:trPr>
          <w:trHeight w:val="300"/>
        </w:trPr>
        <w:tc>
          <w:tcPr>
            <w:tcW w:w="2790" w:type="dxa"/>
            <w:tcBorders>
              <w:top w:val="nil"/>
              <w:left w:val="nil"/>
              <w:bottom w:val="nil"/>
              <w:right w:val="nil"/>
            </w:tcBorders>
            <w:shd w:val="clear" w:color="auto" w:fill="DAEEF3" w:themeFill="accent5" w:themeFillTint="33"/>
            <w:noWrap/>
            <w:vAlign w:val="bottom"/>
            <w:hideMark/>
          </w:tcPr>
          <w:p w:rsidR="00622124" w:rsidRPr="000843E7" w:rsidRDefault="00622124" w:rsidP="004B634A">
            <w:pPr>
              <w:spacing w:line="240" w:lineRule="auto"/>
              <w:jc w:val="left"/>
              <w:rPr>
                <w:rFonts w:ascii="Times New Roman" w:eastAsia="Times New Roman" w:hAnsi="Times New Roman"/>
                <w:color w:val="000000"/>
                <w:lang w:eastAsia="fr-FR"/>
              </w:rPr>
            </w:pPr>
            <w:r w:rsidRPr="000843E7">
              <w:rPr>
                <w:rFonts w:ascii="Times New Roman" w:eastAsia="Times New Roman" w:hAnsi="Times New Roman"/>
                <w:color w:val="000000"/>
                <w:lang w:eastAsia="fr-FR"/>
              </w:rPr>
              <w:t>Quantité de coton produite dans l'année (tonnes)</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241 000</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268 627</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210 000</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166 142</w:t>
            </w:r>
          </w:p>
        </w:tc>
        <w:tc>
          <w:tcPr>
            <w:tcW w:w="924" w:type="dxa"/>
            <w:tcBorders>
              <w:top w:val="nil"/>
              <w:left w:val="nil"/>
              <w:bottom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136 958</w:t>
            </w:r>
          </w:p>
        </w:tc>
        <w:tc>
          <w:tcPr>
            <w:tcW w:w="851" w:type="dxa"/>
            <w:tcBorders>
              <w:top w:val="nil"/>
              <w:bottom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174 000</w:t>
            </w:r>
          </w:p>
        </w:tc>
        <w:tc>
          <w:tcPr>
            <w:tcW w:w="709" w:type="dxa"/>
            <w:tcBorders>
              <w:top w:val="nil"/>
              <w:bottom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-31,1</w:t>
            </w:r>
          </w:p>
        </w:tc>
        <w:tc>
          <w:tcPr>
            <w:tcW w:w="778" w:type="dxa"/>
            <w:tcBorders>
              <w:top w:val="nil"/>
              <w:bottom w:val="nil"/>
              <w:right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-27,8</w:t>
            </w:r>
          </w:p>
        </w:tc>
      </w:tr>
      <w:tr w:rsidR="00622124" w:rsidRPr="000843E7" w:rsidTr="00622124">
        <w:trPr>
          <w:trHeight w:val="300"/>
        </w:trPr>
        <w:tc>
          <w:tcPr>
            <w:tcW w:w="2790" w:type="dxa"/>
            <w:tcBorders>
              <w:top w:val="nil"/>
              <w:left w:val="nil"/>
              <w:bottom w:val="nil"/>
              <w:right w:val="nil"/>
            </w:tcBorders>
            <w:shd w:val="clear" w:color="auto" w:fill="DAEEF3" w:themeFill="accent5" w:themeFillTint="33"/>
            <w:noWrap/>
            <w:vAlign w:val="bottom"/>
            <w:hideMark/>
          </w:tcPr>
          <w:p w:rsidR="00622124" w:rsidRPr="000843E7" w:rsidRDefault="00622124" w:rsidP="004B634A">
            <w:pPr>
              <w:spacing w:line="240" w:lineRule="auto"/>
              <w:jc w:val="left"/>
              <w:rPr>
                <w:rFonts w:ascii="Times New Roman" w:eastAsia="Times New Roman" w:hAnsi="Times New Roman"/>
                <w:color w:val="000000"/>
                <w:lang w:eastAsia="fr-FR"/>
              </w:rPr>
            </w:pPr>
            <w:r w:rsidRPr="000843E7">
              <w:rPr>
                <w:rFonts w:ascii="Times New Roman" w:eastAsia="Times New Roman" w:hAnsi="Times New Roman"/>
                <w:color w:val="000000"/>
                <w:lang w:eastAsia="fr-FR"/>
              </w:rPr>
              <w:t>Quantité de coton vendue au cours de l’année (tonnes)</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190 504</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241 000</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268 627</w:t>
            </w:r>
          </w:p>
        </w:tc>
        <w:tc>
          <w:tcPr>
            <w:tcW w:w="790" w:type="dxa"/>
            <w:tcBorders>
              <w:top w:val="nil"/>
              <w:left w:val="nil"/>
              <w:bottom w:val="nil"/>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210 000</w:t>
            </w:r>
          </w:p>
        </w:tc>
        <w:tc>
          <w:tcPr>
            <w:tcW w:w="924" w:type="dxa"/>
            <w:tcBorders>
              <w:top w:val="nil"/>
              <w:left w:val="nil"/>
              <w:bottom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166 142</w:t>
            </w:r>
          </w:p>
        </w:tc>
        <w:tc>
          <w:tcPr>
            <w:tcW w:w="851" w:type="dxa"/>
            <w:tcBorders>
              <w:top w:val="nil"/>
              <w:bottom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136 958</w:t>
            </w:r>
          </w:p>
        </w:tc>
        <w:tc>
          <w:tcPr>
            <w:tcW w:w="709" w:type="dxa"/>
            <w:tcBorders>
              <w:top w:val="nil"/>
              <w:bottom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10,2</w:t>
            </w:r>
          </w:p>
        </w:tc>
        <w:tc>
          <w:tcPr>
            <w:tcW w:w="778" w:type="dxa"/>
            <w:tcBorders>
              <w:top w:val="nil"/>
              <w:bottom w:val="nil"/>
              <w:right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-28,1</w:t>
            </w:r>
          </w:p>
        </w:tc>
      </w:tr>
      <w:tr w:rsidR="00622124" w:rsidRPr="000843E7" w:rsidTr="00622124">
        <w:trPr>
          <w:trHeight w:val="300"/>
        </w:trPr>
        <w:tc>
          <w:tcPr>
            <w:tcW w:w="2790" w:type="dxa"/>
            <w:tcBorders>
              <w:top w:val="nil"/>
              <w:left w:val="nil"/>
              <w:bottom w:val="double" w:sz="4" w:space="0" w:color="auto"/>
              <w:right w:val="nil"/>
            </w:tcBorders>
            <w:shd w:val="clear" w:color="auto" w:fill="DAEEF3" w:themeFill="accent5" w:themeFillTint="33"/>
            <w:noWrap/>
            <w:vAlign w:val="bottom"/>
            <w:hideMark/>
          </w:tcPr>
          <w:p w:rsidR="00622124" w:rsidRPr="000843E7" w:rsidRDefault="00622124" w:rsidP="004B634A">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Revenu lié au coton (m</w:t>
            </w:r>
            <w:r w:rsidRPr="000843E7">
              <w:rPr>
                <w:rFonts w:ascii="Times New Roman" w:eastAsia="Times New Roman" w:hAnsi="Times New Roman"/>
                <w:color w:val="000000"/>
                <w:lang w:eastAsia="fr-FR"/>
              </w:rPr>
              <w:t>illiard</w:t>
            </w:r>
            <w:r>
              <w:rPr>
                <w:rFonts w:ascii="Times New Roman" w:eastAsia="Times New Roman" w:hAnsi="Times New Roman"/>
                <w:color w:val="000000"/>
                <w:lang w:eastAsia="fr-FR"/>
              </w:rPr>
              <w:t>s</w:t>
            </w:r>
            <w:r w:rsidRPr="000843E7">
              <w:rPr>
                <w:rFonts w:ascii="Times New Roman" w:eastAsia="Times New Roman" w:hAnsi="Times New Roman"/>
                <w:color w:val="000000"/>
                <w:lang w:eastAsia="fr-FR"/>
              </w:rPr>
              <w:t>)</w:t>
            </w:r>
          </w:p>
        </w:tc>
        <w:tc>
          <w:tcPr>
            <w:tcW w:w="790" w:type="dxa"/>
            <w:tcBorders>
              <w:top w:val="nil"/>
              <w:left w:val="nil"/>
              <w:bottom w:val="double" w:sz="4" w:space="0" w:color="auto"/>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34,3</w:t>
            </w:r>
          </w:p>
        </w:tc>
        <w:tc>
          <w:tcPr>
            <w:tcW w:w="790" w:type="dxa"/>
            <w:tcBorders>
              <w:top w:val="nil"/>
              <w:left w:val="nil"/>
              <w:bottom w:val="double" w:sz="4" w:space="0" w:color="auto"/>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43,4</w:t>
            </w:r>
          </w:p>
        </w:tc>
        <w:tc>
          <w:tcPr>
            <w:tcW w:w="790" w:type="dxa"/>
            <w:tcBorders>
              <w:top w:val="nil"/>
              <w:left w:val="nil"/>
              <w:bottom w:val="double" w:sz="4" w:space="0" w:color="auto"/>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45,7</w:t>
            </w:r>
          </w:p>
        </w:tc>
        <w:tc>
          <w:tcPr>
            <w:tcW w:w="790" w:type="dxa"/>
            <w:tcBorders>
              <w:top w:val="nil"/>
              <w:left w:val="nil"/>
              <w:bottom w:val="double" w:sz="4" w:space="0" w:color="auto"/>
              <w:right w:val="nil"/>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39,9</w:t>
            </w:r>
          </w:p>
        </w:tc>
        <w:tc>
          <w:tcPr>
            <w:tcW w:w="924" w:type="dxa"/>
            <w:tcBorders>
              <w:top w:val="nil"/>
              <w:left w:val="nil"/>
              <w:bottom w:val="double" w:sz="4" w:space="0" w:color="auto"/>
            </w:tcBorders>
            <w:shd w:val="clear" w:color="auto" w:fill="DAEEF3" w:themeFill="accent5" w:themeFillTint="33"/>
            <w:noWrap/>
            <w:vAlign w:val="center"/>
            <w:hideMark/>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29,9</w:t>
            </w:r>
          </w:p>
        </w:tc>
        <w:tc>
          <w:tcPr>
            <w:tcW w:w="851" w:type="dxa"/>
            <w:tcBorders>
              <w:top w:val="nil"/>
              <w:bottom w:val="double" w:sz="4" w:space="0" w:color="auto"/>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34,2</w:t>
            </w:r>
          </w:p>
        </w:tc>
        <w:tc>
          <w:tcPr>
            <w:tcW w:w="709" w:type="dxa"/>
            <w:tcBorders>
              <w:top w:val="nil"/>
              <w:bottom w:val="double" w:sz="4" w:space="0" w:color="auto"/>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16,4</w:t>
            </w:r>
          </w:p>
        </w:tc>
        <w:tc>
          <w:tcPr>
            <w:tcW w:w="778" w:type="dxa"/>
            <w:tcBorders>
              <w:top w:val="nil"/>
              <w:bottom w:val="double" w:sz="4" w:space="0" w:color="auto"/>
              <w:right w:val="nil"/>
            </w:tcBorders>
            <w:shd w:val="clear" w:color="auto" w:fill="DAEEF3" w:themeFill="accent5" w:themeFillTint="33"/>
            <w:vAlign w:val="center"/>
          </w:tcPr>
          <w:p w:rsidR="00622124" w:rsidRPr="000843E7" w:rsidRDefault="00622124" w:rsidP="00622124">
            <w:pPr>
              <w:spacing w:line="240" w:lineRule="auto"/>
              <w:jc w:val="right"/>
              <w:rPr>
                <w:rFonts w:ascii="Times New Roman" w:eastAsia="Times New Roman" w:hAnsi="Times New Roman"/>
                <w:color w:val="000000"/>
                <w:lang w:eastAsia="fr-FR"/>
              </w:rPr>
            </w:pPr>
            <w:r w:rsidRPr="00656E45">
              <w:rPr>
                <w:rFonts w:ascii="Times New Roman" w:eastAsia="Times New Roman" w:hAnsi="Times New Roman"/>
                <w:color w:val="000000"/>
                <w:sz w:val="18"/>
                <w:szCs w:val="18"/>
                <w:lang w:eastAsia="fr-FR"/>
              </w:rPr>
              <w:t>-0,2</w:t>
            </w:r>
          </w:p>
        </w:tc>
      </w:tr>
      <w:tr w:rsidR="00C46EF6" w:rsidRPr="000843E7" w:rsidTr="00622124">
        <w:trPr>
          <w:trHeight w:val="300"/>
        </w:trPr>
        <w:tc>
          <w:tcPr>
            <w:tcW w:w="9212" w:type="dxa"/>
            <w:gridSpan w:val="9"/>
            <w:tcBorders>
              <w:top w:val="double" w:sz="4" w:space="0" w:color="auto"/>
              <w:left w:val="nil"/>
              <w:right w:val="nil"/>
            </w:tcBorders>
            <w:shd w:val="clear" w:color="auto" w:fill="DAEEF3" w:themeFill="accent5" w:themeFillTint="33"/>
            <w:noWrap/>
            <w:vAlign w:val="bottom"/>
            <w:hideMark/>
          </w:tcPr>
          <w:p w:rsidR="00C46EF6" w:rsidRPr="00C46EF6" w:rsidRDefault="00C46EF6" w:rsidP="000F2310">
            <w:pPr>
              <w:keepNext/>
              <w:tabs>
                <w:tab w:val="left" w:pos="1335"/>
              </w:tabs>
              <w:spacing w:line="276" w:lineRule="auto"/>
              <w:rPr>
                <w:rFonts w:ascii="Times New Roman" w:hAnsi="Times New Roman"/>
                <w:sz w:val="20"/>
                <w:szCs w:val="20"/>
              </w:rPr>
            </w:pPr>
            <w:r w:rsidRPr="00185F29">
              <w:rPr>
                <w:rFonts w:ascii="Times New Roman" w:hAnsi="Times New Roman"/>
                <w:sz w:val="20"/>
                <w:szCs w:val="20"/>
              </w:rPr>
              <w:t>Source : INSAE, 2013</w:t>
            </w:r>
          </w:p>
        </w:tc>
      </w:tr>
    </w:tbl>
    <w:p w:rsidR="009B27FB" w:rsidRDefault="009B27FB" w:rsidP="00452909">
      <w:pPr>
        <w:spacing w:line="276" w:lineRule="auto"/>
      </w:pPr>
    </w:p>
    <w:p w:rsidR="00452909" w:rsidRDefault="00182C97" w:rsidP="00452909">
      <w:pPr>
        <w:spacing w:line="276" w:lineRule="auto"/>
        <w:rPr>
          <w:rFonts w:ascii="Times New Roman" w:eastAsia="Arial Unicode MS" w:hAnsi="Times New Roman"/>
          <w:sz w:val="24"/>
          <w:szCs w:val="24"/>
        </w:rPr>
      </w:pPr>
      <w:r w:rsidRPr="00C15C6F">
        <w:rPr>
          <w:rFonts w:ascii="Times New Roman" w:eastAsia="Arial Unicode MS" w:hAnsi="Times New Roman"/>
          <w:sz w:val="24"/>
          <w:szCs w:val="24"/>
        </w:rPr>
        <w:t>La</w:t>
      </w:r>
      <w:r w:rsidR="00452909" w:rsidRPr="001838CF">
        <w:rPr>
          <w:rFonts w:ascii="Times New Roman" w:eastAsia="Arial Unicode MS" w:hAnsi="Times New Roman"/>
          <w:b/>
          <w:sz w:val="24"/>
          <w:szCs w:val="24"/>
        </w:rPr>
        <w:t xml:space="preserve"> </w:t>
      </w:r>
      <w:r w:rsidR="00B939CE">
        <w:rPr>
          <w:rFonts w:ascii="Times New Roman" w:hAnsi="Times New Roman"/>
          <w:sz w:val="24"/>
          <w:szCs w:val="24"/>
        </w:rPr>
        <w:t>p</w:t>
      </w:r>
      <w:r w:rsidR="00B939CE">
        <w:rPr>
          <w:rFonts w:ascii="Times New Roman" w:eastAsia="Arial Unicode MS" w:hAnsi="Times New Roman"/>
          <w:sz w:val="24"/>
          <w:szCs w:val="24"/>
        </w:rPr>
        <w:t>roportion de la population disposant de moins de 1,25 dollars par jour au Bénin</w:t>
      </w:r>
      <w:r w:rsidR="00B939CE" w:rsidRPr="001838CF" w:rsidDel="00B939CE">
        <w:rPr>
          <w:rFonts w:ascii="Times New Roman" w:eastAsia="Arial Unicode MS" w:hAnsi="Times New Roman"/>
          <w:b/>
          <w:sz w:val="24"/>
          <w:szCs w:val="24"/>
        </w:rPr>
        <w:t xml:space="preserve"> </w:t>
      </w:r>
      <w:r w:rsidR="00452909" w:rsidRPr="001838CF">
        <w:rPr>
          <w:rStyle w:val="Appelnotedebasdep"/>
          <w:rFonts w:ascii="Times New Roman" w:eastAsia="Arial Unicode MS" w:hAnsi="Times New Roman"/>
          <w:b/>
          <w:sz w:val="24"/>
          <w:szCs w:val="24"/>
        </w:rPr>
        <w:footnoteReference w:id="31"/>
      </w:r>
      <w:r w:rsidR="00452909" w:rsidRPr="001838CF">
        <w:rPr>
          <w:rFonts w:ascii="Times New Roman" w:eastAsia="Arial Unicode MS" w:hAnsi="Times New Roman"/>
          <w:b/>
          <w:sz w:val="24"/>
          <w:szCs w:val="24"/>
        </w:rPr>
        <w:t xml:space="preserve"> a </w:t>
      </w:r>
      <w:r w:rsidR="00452909">
        <w:rPr>
          <w:rFonts w:ascii="Times New Roman" w:eastAsia="Arial Unicode MS" w:hAnsi="Times New Roman"/>
          <w:b/>
          <w:sz w:val="24"/>
          <w:szCs w:val="24"/>
        </w:rPr>
        <w:t xml:space="preserve">également </w:t>
      </w:r>
      <w:r w:rsidR="00452909" w:rsidRPr="001838CF">
        <w:rPr>
          <w:rFonts w:ascii="Times New Roman" w:eastAsia="Arial Unicode MS" w:hAnsi="Times New Roman"/>
          <w:b/>
          <w:sz w:val="24"/>
          <w:szCs w:val="24"/>
        </w:rPr>
        <w:t xml:space="preserve">connu </w:t>
      </w:r>
      <w:r w:rsidR="00452909">
        <w:rPr>
          <w:rFonts w:ascii="Times New Roman" w:eastAsia="Arial Unicode MS" w:hAnsi="Times New Roman"/>
          <w:b/>
          <w:sz w:val="24"/>
          <w:szCs w:val="24"/>
        </w:rPr>
        <w:t>la même</w:t>
      </w:r>
      <w:r w:rsidR="00452909" w:rsidRPr="001838CF">
        <w:rPr>
          <w:rFonts w:ascii="Times New Roman" w:eastAsia="Arial Unicode MS" w:hAnsi="Times New Roman"/>
          <w:b/>
          <w:sz w:val="24"/>
          <w:szCs w:val="24"/>
        </w:rPr>
        <w:t xml:space="preserve"> évolution que la pauvreté monétaire au sens large</w:t>
      </w:r>
      <w:r w:rsidR="00452909">
        <w:rPr>
          <w:rFonts w:ascii="Times New Roman" w:eastAsia="Arial Unicode MS" w:hAnsi="Times New Roman"/>
          <w:b/>
          <w:sz w:val="24"/>
          <w:szCs w:val="24"/>
        </w:rPr>
        <w:t>, mais elle apparait plus significative</w:t>
      </w:r>
      <w:r w:rsidR="00452909">
        <w:rPr>
          <w:rFonts w:ascii="Times New Roman" w:eastAsia="Arial Unicode MS" w:hAnsi="Times New Roman"/>
          <w:sz w:val="24"/>
          <w:szCs w:val="24"/>
        </w:rPr>
        <w:t xml:space="preserve">. Comme le </w:t>
      </w:r>
      <w:r w:rsidR="00452909" w:rsidRPr="00085EB0">
        <w:rPr>
          <w:rFonts w:ascii="Times New Roman" w:eastAsia="Arial Unicode MS" w:hAnsi="Times New Roman"/>
          <w:sz w:val="24"/>
          <w:szCs w:val="24"/>
        </w:rPr>
        <w:t xml:space="preserve">montre le graphique 1.7, l’incidence de </w:t>
      </w:r>
      <w:r w:rsidR="00D73E88">
        <w:rPr>
          <w:rFonts w:ascii="Times New Roman" w:eastAsia="Arial Unicode MS" w:hAnsi="Times New Roman"/>
          <w:sz w:val="24"/>
          <w:szCs w:val="24"/>
        </w:rPr>
        <w:t>l</w:t>
      </w:r>
      <w:r w:rsidR="00D73E88" w:rsidRPr="00632BBC">
        <w:rPr>
          <w:rFonts w:ascii="Times New Roman" w:eastAsia="Arial Unicode MS" w:hAnsi="Times New Roman"/>
          <w:sz w:val="24"/>
          <w:szCs w:val="24"/>
        </w:rPr>
        <w:t>a</w:t>
      </w:r>
      <w:r w:rsidR="00D73E88" w:rsidRPr="001838CF">
        <w:rPr>
          <w:rFonts w:ascii="Times New Roman" w:eastAsia="Arial Unicode MS" w:hAnsi="Times New Roman"/>
          <w:b/>
          <w:sz w:val="24"/>
          <w:szCs w:val="24"/>
        </w:rPr>
        <w:t xml:space="preserve"> </w:t>
      </w:r>
      <w:r w:rsidR="00D73E88">
        <w:rPr>
          <w:rFonts w:ascii="Times New Roman" w:hAnsi="Times New Roman"/>
          <w:sz w:val="24"/>
          <w:szCs w:val="24"/>
        </w:rPr>
        <w:t>p</w:t>
      </w:r>
      <w:r w:rsidR="00D73E88">
        <w:rPr>
          <w:rFonts w:ascii="Times New Roman" w:eastAsia="Arial Unicode MS" w:hAnsi="Times New Roman"/>
          <w:sz w:val="24"/>
          <w:szCs w:val="24"/>
        </w:rPr>
        <w:t>roportion de la population disposant de moins de 1,25 dollars par jour au Bénin</w:t>
      </w:r>
      <w:r w:rsidR="00D73E88" w:rsidRPr="001838CF" w:rsidDel="00B939CE">
        <w:rPr>
          <w:rFonts w:ascii="Times New Roman" w:eastAsia="Arial Unicode MS" w:hAnsi="Times New Roman"/>
          <w:b/>
          <w:sz w:val="24"/>
          <w:szCs w:val="24"/>
        </w:rPr>
        <w:t xml:space="preserve"> </w:t>
      </w:r>
      <w:r w:rsidR="00452909" w:rsidRPr="00085EB0">
        <w:rPr>
          <w:rFonts w:ascii="Times New Roman" w:eastAsia="Arial Unicode MS" w:hAnsi="Times New Roman"/>
          <w:sz w:val="24"/>
          <w:szCs w:val="24"/>
        </w:rPr>
        <w:t>s’est établie à 50,9% en 2011 contre 45,9% en 2009 et</w:t>
      </w:r>
      <w:r w:rsidR="00452909">
        <w:rPr>
          <w:rFonts w:ascii="Times New Roman" w:eastAsia="Arial Unicode MS" w:hAnsi="Times New Roman"/>
          <w:sz w:val="24"/>
          <w:szCs w:val="24"/>
        </w:rPr>
        <w:t xml:space="preserve"> 61,7% en 2006, ce qui traduit une baisse 15,8 points de pourcentage entre 2006 et 2009 et une aggravation de 5 points de pourcentage entre 2009 et 2011.</w:t>
      </w:r>
    </w:p>
    <w:p w:rsidR="00452909" w:rsidRDefault="00452909" w:rsidP="00452909">
      <w:pPr>
        <w:spacing w:line="276" w:lineRule="auto"/>
        <w:rPr>
          <w:rFonts w:ascii="Times New Roman" w:eastAsia="Arial Unicode MS" w:hAnsi="Times New Roman"/>
          <w:sz w:val="24"/>
          <w:szCs w:val="24"/>
        </w:rPr>
      </w:pPr>
    </w:p>
    <w:p w:rsidR="00452909" w:rsidRDefault="00452909" w:rsidP="00452909">
      <w:pPr>
        <w:spacing w:line="276" w:lineRule="auto"/>
        <w:rPr>
          <w:rFonts w:ascii="Times New Roman" w:eastAsia="Arial Unicode MS" w:hAnsi="Times New Roman"/>
          <w:sz w:val="24"/>
          <w:szCs w:val="24"/>
        </w:rPr>
      </w:pPr>
    </w:p>
    <w:p w:rsidR="00452909" w:rsidRDefault="00452909" w:rsidP="00452909">
      <w:pPr>
        <w:spacing w:line="276" w:lineRule="auto"/>
        <w:rPr>
          <w:rFonts w:ascii="Times New Roman" w:eastAsia="Arial Unicode MS" w:hAnsi="Times New Roman"/>
          <w:sz w:val="24"/>
          <w:szCs w:val="24"/>
        </w:rPr>
      </w:pPr>
    </w:p>
    <w:tbl>
      <w:tblPr>
        <w:tblStyle w:val="Grilledutablea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2"/>
      </w:tblGrid>
      <w:tr w:rsidR="00452909" w:rsidRPr="006B0732" w:rsidTr="001E4052">
        <w:trPr>
          <w:trHeight w:val="344"/>
        </w:trPr>
        <w:tc>
          <w:tcPr>
            <w:tcW w:w="8902" w:type="dxa"/>
            <w:shd w:val="clear" w:color="auto" w:fill="92CDDC" w:themeFill="accent5" w:themeFillTint="99"/>
          </w:tcPr>
          <w:p w:rsidR="00452909" w:rsidRPr="00452909" w:rsidRDefault="00452909" w:rsidP="008F2346">
            <w:pPr>
              <w:spacing w:line="276" w:lineRule="auto"/>
              <w:rPr>
                <w:rFonts w:ascii="Times New Roman" w:eastAsia="Arial Unicode MS" w:hAnsi="Times New Roman"/>
                <w:sz w:val="24"/>
                <w:szCs w:val="24"/>
              </w:rPr>
            </w:pPr>
            <w:bookmarkStart w:id="46" w:name="_Toc373430609"/>
            <w:r w:rsidRPr="006B0732">
              <w:rPr>
                <w:rFonts w:ascii="Times New Roman" w:hAnsi="Times New Roman"/>
                <w:sz w:val="24"/>
                <w:szCs w:val="24"/>
              </w:rPr>
              <w:t>Graphique 1.</w:t>
            </w:r>
            <w:r w:rsidR="00182C97" w:rsidRPr="006B0732">
              <w:rPr>
                <w:rFonts w:ascii="Times New Roman" w:hAnsi="Times New Roman"/>
                <w:sz w:val="24"/>
                <w:szCs w:val="24"/>
              </w:rPr>
              <w:fldChar w:fldCharType="begin"/>
            </w:r>
            <w:r w:rsidRPr="006B0732">
              <w:rPr>
                <w:rFonts w:ascii="Times New Roman" w:hAnsi="Times New Roman"/>
                <w:sz w:val="24"/>
                <w:szCs w:val="24"/>
              </w:rPr>
              <w:instrText xml:space="preserve"> SEQ Graphique_2. \* ARABIC </w:instrText>
            </w:r>
            <w:r w:rsidR="00182C97" w:rsidRPr="006B0732">
              <w:rPr>
                <w:rFonts w:ascii="Times New Roman" w:hAnsi="Times New Roman"/>
                <w:sz w:val="24"/>
                <w:szCs w:val="24"/>
              </w:rPr>
              <w:fldChar w:fldCharType="separate"/>
            </w:r>
            <w:r w:rsidR="00AB1967">
              <w:rPr>
                <w:rFonts w:ascii="Times New Roman" w:hAnsi="Times New Roman"/>
                <w:noProof/>
                <w:sz w:val="24"/>
                <w:szCs w:val="24"/>
              </w:rPr>
              <w:t>7</w:t>
            </w:r>
            <w:r w:rsidR="00182C97" w:rsidRPr="006B0732">
              <w:rPr>
                <w:rFonts w:ascii="Times New Roman" w:hAnsi="Times New Roman"/>
                <w:sz w:val="24"/>
                <w:szCs w:val="24"/>
              </w:rPr>
              <w:fldChar w:fldCharType="end"/>
            </w:r>
            <w:r w:rsidRPr="006B0732">
              <w:rPr>
                <w:rFonts w:ascii="Times New Roman" w:hAnsi="Times New Roman"/>
                <w:sz w:val="24"/>
                <w:szCs w:val="24"/>
              </w:rPr>
              <w:t xml:space="preserve"> : </w:t>
            </w:r>
            <w:r w:rsidR="00B939CE">
              <w:rPr>
                <w:rFonts w:ascii="Times New Roman" w:eastAsia="Arial Unicode MS" w:hAnsi="Times New Roman"/>
                <w:sz w:val="24"/>
                <w:szCs w:val="24"/>
              </w:rPr>
              <w:t xml:space="preserve">Proportion de la population disposant de moins de 1,25 dollars par jour </w:t>
            </w:r>
            <w:r>
              <w:rPr>
                <w:rFonts w:ascii="Times New Roman" w:eastAsia="Arial Unicode MS" w:hAnsi="Times New Roman"/>
                <w:sz w:val="24"/>
                <w:szCs w:val="24"/>
              </w:rPr>
              <w:t>au Bénin</w:t>
            </w:r>
            <w:bookmarkEnd w:id="46"/>
          </w:p>
        </w:tc>
      </w:tr>
      <w:tr w:rsidR="00452909" w:rsidTr="001E4052">
        <w:trPr>
          <w:trHeight w:val="4041"/>
        </w:trPr>
        <w:tc>
          <w:tcPr>
            <w:tcW w:w="8902" w:type="dxa"/>
            <w:shd w:val="clear" w:color="auto" w:fill="DAEEF3" w:themeFill="accent5" w:themeFillTint="33"/>
          </w:tcPr>
          <w:p w:rsidR="00452909" w:rsidRDefault="00253C93" w:rsidP="000F2310">
            <w:pPr>
              <w:spacing w:before="120" w:after="120" w:line="240" w:lineRule="auto"/>
              <w:ind w:left="-57"/>
              <w:jc w:val="center"/>
            </w:pPr>
            <w:r>
              <w:rPr>
                <w:noProof/>
                <w:lang w:eastAsia="fr-FR"/>
              </w:rPr>
              <w:drawing>
                <wp:inline distT="0" distB="0" distL="0" distR="0" wp14:anchorId="62D04BDD" wp14:editId="6BFB5385">
                  <wp:extent cx="4362450" cy="2433320"/>
                  <wp:effectExtent l="19050" t="0" r="19050" b="5080"/>
                  <wp:docPr id="18"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452909" w:rsidRPr="00E16B3C" w:rsidTr="001E4052">
        <w:trPr>
          <w:trHeight w:val="253"/>
        </w:trPr>
        <w:tc>
          <w:tcPr>
            <w:tcW w:w="8902" w:type="dxa"/>
            <w:shd w:val="clear" w:color="auto" w:fill="DAEEF3" w:themeFill="accent5" w:themeFillTint="33"/>
          </w:tcPr>
          <w:p w:rsidR="00452909" w:rsidRPr="00E16B3C" w:rsidRDefault="00452909" w:rsidP="000F2310">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2009 et  </w:t>
            </w:r>
            <w:r w:rsidRPr="00E16B3C">
              <w:rPr>
                <w:rFonts w:ascii="Times New Roman" w:hAnsi="Times New Roman"/>
              </w:rPr>
              <w:t>2011</w:t>
            </w:r>
          </w:p>
        </w:tc>
      </w:tr>
    </w:tbl>
    <w:p w:rsidR="00452909" w:rsidRDefault="000F2310" w:rsidP="00452909">
      <w:pPr>
        <w:spacing w:line="276" w:lineRule="auto"/>
        <w:rPr>
          <w:rFonts w:ascii="Times New Roman" w:eastAsia="Arial Unicode MS" w:hAnsi="Times New Roman"/>
          <w:sz w:val="24"/>
          <w:szCs w:val="24"/>
        </w:rPr>
      </w:pPr>
      <w:r>
        <w:rPr>
          <w:rFonts w:ascii="Times New Roman" w:eastAsia="Arial Unicode MS" w:hAnsi="Times New Roman"/>
          <w:sz w:val="24"/>
          <w:szCs w:val="24"/>
        </w:rPr>
        <w:br w:type="textWrapping" w:clear="all"/>
      </w:r>
    </w:p>
    <w:p w:rsidR="00452909" w:rsidRDefault="00452909" w:rsidP="00452909">
      <w:pPr>
        <w:spacing w:line="276" w:lineRule="auto"/>
        <w:rPr>
          <w:rFonts w:ascii="Times New Roman" w:eastAsia="Arial Unicode MS" w:hAnsi="Times New Roman"/>
          <w:sz w:val="24"/>
          <w:szCs w:val="24"/>
        </w:rPr>
      </w:pPr>
    </w:p>
    <w:p w:rsidR="00452909" w:rsidRDefault="00452909" w:rsidP="00452909">
      <w:pPr>
        <w:spacing w:line="276" w:lineRule="auto"/>
        <w:rPr>
          <w:rFonts w:ascii="Times New Roman" w:eastAsia="Arial Unicode MS" w:hAnsi="Times New Roman"/>
          <w:sz w:val="24"/>
          <w:szCs w:val="24"/>
        </w:rPr>
      </w:pPr>
      <w:r w:rsidRPr="007115DC">
        <w:rPr>
          <w:rFonts w:ascii="Times New Roman" w:eastAsia="Arial Unicode MS" w:hAnsi="Times New Roman"/>
          <w:b/>
          <w:sz w:val="24"/>
          <w:szCs w:val="24"/>
        </w:rPr>
        <w:t xml:space="preserve">Comme le montre le </w:t>
      </w:r>
      <w:r>
        <w:rPr>
          <w:rFonts w:ascii="Times New Roman" w:eastAsia="Arial Unicode MS" w:hAnsi="Times New Roman"/>
          <w:b/>
          <w:sz w:val="24"/>
          <w:szCs w:val="24"/>
        </w:rPr>
        <w:t xml:space="preserve">tableau </w:t>
      </w:r>
      <w:r w:rsidRPr="007115DC">
        <w:rPr>
          <w:rFonts w:ascii="Times New Roman" w:eastAsia="Arial Unicode MS" w:hAnsi="Times New Roman"/>
          <w:b/>
          <w:sz w:val="24"/>
          <w:szCs w:val="24"/>
        </w:rPr>
        <w:t xml:space="preserve">ci-après, </w:t>
      </w:r>
      <w:r w:rsidR="00D73E88">
        <w:rPr>
          <w:rFonts w:ascii="Times New Roman" w:eastAsia="Arial Unicode MS" w:hAnsi="Times New Roman"/>
          <w:sz w:val="24"/>
          <w:szCs w:val="24"/>
        </w:rPr>
        <w:t>l</w:t>
      </w:r>
      <w:r w:rsidR="00D73E88" w:rsidRPr="00632BBC">
        <w:rPr>
          <w:rFonts w:ascii="Times New Roman" w:eastAsia="Arial Unicode MS" w:hAnsi="Times New Roman"/>
          <w:sz w:val="24"/>
          <w:szCs w:val="24"/>
        </w:rPr>
        <w:t>a</w:t>
      </w:r>
      <w:r w:rsidR="00D73E88" w:rsidRPr="001838CF">
        <w:rPr>
          <w:rFonts w:ascii="Times New Roman" w:eastAsia="Arial Unicode MS" w:hAnsi="Times New Roman"/>
          <w:b/>
          <w:sz w:val="24"/>
          <w:szCs w:val="24"/>
        </w:rPr>
        <w:t xml:space="preserve"> </w:t>
      </w:r>
      <w:r w:rsidR="00D73E88">
        <w:rPr>
          <w:rFonts w:ascii="Times New Roman" w:hAnsi="Times New Roman"/>
          <w:sz w:val="24"/>
          <w:szCs w:val="24"/>
        </w:rPr>
        <w:t>p</w:t>
      </w:r>
      <w:r w:rsidR="00D73E88">
        <w:rPr>
          <w:rFonts w:ascii="Times New Roman" w:eastAsia="Arial Unicode MS" w:hAnsi="Times New Roman"/>
          <w:sz w:val="24"/>
          <w:szCs w:val="24"/>
        </w:rPr>
        <w:t>roportion de la population disposant de moins de 1,25 dollars par jour au Bénin</w:t>
      </w:r>
      <w:r w:rsidR="00D73E88" w:rsidRPr="001838CF" w:rsidDel="00B939CE">
        <w:rPr>
          <w:rFonts w:ascii="Times New Roman" w:eastAsia="Arial Unicode MS" w:hAnsi="Times New Roman"/>
          <w:b/>
          <w:sz w:val="24"/>
          <w:szCs w:val="24"/>
        </w:rPr>
        <w:t xml:space="preserve"> </w:t>
      </w:r>
      <w:r w:rsidRPr="007115DC">
        <w:rPr>
          <w:rFonts w:ascii="Times New Roman" w:eastAsia="Arial Unicode MS" w:hAnsi="Times New Roman"/>
          <w:b/>
          <w:sz w:val="24"/>
          <w:szCs w:val="24"/>
        </w:rPr>
        <w:t>présente de fortes disparités selon les milieux et les départements de résidence</w:t>
      </w:r>
      <w:r>
        <w:rPr>
          <w:rFonts w:ascii="Times New Roman" w:eastAsia="Arial Unicode MS" w:hAnsi="Times New Roman"/>
          <w:sz w:val="24"/>
          <w:szCs w:val="24"/>
        </w:rPr>
        <w:t xml:space="preserve">. Elle plus élevée en milieu rural qu’en milieu urbain. En 2011, 64,4% de la population rurale est considérée comme pauvre extrême contre 32% de la  population urbaine, soit le double. </w:t>
      </w:r>
    </w:p>
    <w:p w:rsidR="00452909" w:rsidRDefault="00452909" w:rsidP="00452909">
      <w:pPr>
        <w:spacing w:line="276" w:lineRule="auto"/>
        <w:rPr>
          <w:rFonts w:ascii="Times New Roman" w:eastAsia="Arial Unicode MS" w:hAnsi="Times New Roman"/>
          <w:sz w:val="24"/>
          <w:szCs w:val="24"/>
        </w:rPr>
      </w:pPr>
    </w:p>
    <w:p w:rsidR="00452909" w:rsidRDefault="00452909" w:rsidP="00452909">
      <w:pPr>
        <w:spacing w:line="276" w:lineRule="auto"/>
        <w:rPr>
          <w:rFonts w:ascii="Times New Roman" w:eastAsia="Arial Unicode MS" w:hAnsi="Times New Roman"/>
          <w:sz w:val="24"/>
          <w:szCs w:val="24"/>
        </w:rPr>
      </w:pPr>
      <w:r w:rsidRPr="007B43D0">
        <w:rPr>
          <w:rFonts w:ascii="Times New Roman" w:eastAsia="Arial Unicode MS" w:hAnsi="Times New Roman"/>
          <w:sz w:val="24"/>
          <w:szCs w:val="24"/>
        </w:rPr>
        <w:t>En 2011, sur les douze départements que compte le pays</w:t>
      </w:r>
      <w:r>
        <w:rPr>
          <w:rFonts w:ascii="Times New Roman" w:eastAsia="Arial Unicode MS" w:hAnsi="Times New Roman"/>
          <w:sz w:val="24"/>
          <w:szCs w:val="24"/>
        </w:rPr>
        <w:t>,</w:t>
      </w:r>
      <w:r w:rsidRPr="007B43D0">
        <w:rPr>
          <w:rFonts w:ascii="Times New Roman" w:eastAsia="Arial Unicode MS" w:hAnsi="Times New Roman"/>
          <w:sz w:val="24"/>
          <w:szCs w:val="24"/>
        </w:rPr>
        <w:t xml:space="preserve"> </w:t>
      </w:r>
      <w:r>
        <w:rPr>
          <w:rFonts w:ascii="Times New Roman" w:eastAsia="Arial Unicode MS" w:hAnsi="Times New Roman"/>
          <w:sz w:val="24"/>
          <w:szCs w:val="24"/>
        </w:rPr>
        <w:t>huit</w:t>
      </w:r>
      <w:r w:rsidRPr="007B43D0">
        <w:rPr>
          <w:rFonts w:ascii="Times New Roman" w:eastAsia="Arial Unicode MS" w:hAnsi="Times New Roman"/>
          <w:sz w:val="24"/>
          <w:szCs w:val="24"/>
        </w:rPr>
        <w:t xml:space="preserve"> présentent une </w:t>
      </w:r>
      <w:r w:rsidR="00D73E88">
        <w:rPr>
          <w:rFonts w:ascii="Times New Roman" w:hAnsi="Times New Roman"/>
          <w:sz w:val="24"/>
          <w:szCs w:val="24"/>
        </w:rPr>
        <w:t>p</w:t>
      </w:r>
      <w:r w:rsidR="00D73E88">
        <w:rPr>
          <w:rFonts w:ascii="Times New Roman" w:eastAsia="Arial Unicode MS" w:hAnsi="Times New Roman"/>
          <w:sz w:val="24"/>
          <w:szCs w:val="24"/>
        </w:rPr>
        <w:t xml:space="preserve">roportion de la population disposant de moins de 1,25 dollars par jour </w:t>
      </w:r>
      <w:r w:rsidRPr="007B43D0">
        <w:rPr>
          <w:rFonts w:ascii="Times New Roman" w:eastAsia="Arial Unicode MS" w:hAnsi="Times New Roman"/>
          <w:sz w:val="24"/>
          <w:szCs w:val="24"/>
        </w:rPr>
        <w:t>supérieure à la moyenne nationale (</w:t>
      </w:r>
      <w:r>
        <w:rPr>
          <w:rFonts w:ascii="Times New Roman" w:eastAsia="Arial Unicode MS" w:hAnsi="Times New Roman"/>
          <w:sz w:val="24"/>
          <w:szCs w:val="24"/>
        </w:rPr>
        <w:t>50,9</w:t>
      </w:r>
      <w:r w:rsidRPr="007B43D0">
        <w:rPr>
          <w:rFonts w:ascii="Times New Roman" w:eastAsia="Arial Unicode MS" w:hAnsi="Times New Roman"/>
          <w:sz w:val="24"/>
          <w:szCs w:val="24"/>
        </w:rPr>
        <w:t xml:space="preserve">%). Sur </w:t>
      </w:r>
      <w:r>
        <w:rPr>
          <w:rFonts w:ascii="Times New Roman" w:eastAsia="Arial Unicode MS" w:hAnsi="Times New Roman"/>
          <w:sz w:val="24"/>
          <w:szCs w:val="24"/>
        </w:rPr>
        <w:t>ces huit</w:t>
      </w:r>
      <w:r w:rsidRPr="007B43D0">
        <w:rPr>
          <w:rFonts w:ascii="Times New Roman" w:eastAsia="Arial Unicode MS" w:hAnsi="Times New Roman"/>
          <w:sz w:val="24"/>
          <w:szCs w:val="24"/>
        </w:rPr>
        <w:t xml:space="preserve"> départements, </w:t>
      </w:r>
      <w:r>
        <w:rPr>
          <w:rFonts w:ascii="Times New Roman" w:eastAsia="Arial Unicode MS" w:hAnsi="Times New Roman"/>
          <w:sz w:val="24"/>
          <w:szCs w:val="24"/>
        </w:rPr>
        <w:t xml:space="preserve">sept </w:t>
      </w:r>
      <w:r w:rsidRPr="007B43D0">
        <w:rPr>
          <w:rFonts w:ascii="Times New Roman" w:eastAsia="Arial Unicode MS" w:hAnsi="Times New Roman"/>
          <w:sz w:val="24"/>
          <w:szCs w:val="24"/>
        </w:rPr>
        <w:t xml:space="preserve"> départements présentent une incidence supérieure de 5 points de pourcentage à la moyenne nationale : </w:t>
      </w:r>
      <w:r>
        <w:rPr>
          <w:rFonts w:ascii="Times New Roman" w:eastAsia="Arial Unicode MS" w:hAnsi="Times New Roman"/>
          <w:sz w:val="24"/>
          <w:szCs w:val="24"/>
        </w:rPr>
        <w:t>Atacora</w:t>
      </w:r>
      <w:r w:rsidRPr="007B43D0">
        <w:rPr>
          <w:rFonts w:ascii="Times New Roman" w:eastAsia="Arial Unicode MS" w:hAnsi="Times New Roman"/>
          <w:sz w:val="24"/>
          <w:szCs w:val="24"/>
        </w:rPr>
        <w:t xml:space="preserve"> (</w:t>
      </w:r>
      <w:r>
        <w:rPr>
          <w:rFonts w:ascii="Times New Roman" w:eastAsia="Arial Unicode MS" w:hAnsi="Times New Roman"/>
          <w:sz w:val="24"/>
          <w:szCs w:val="24"/>
        </w:rPr>
        <w:t>77,0</w:t>
      </w:r>
      <w:r w:rsidRPr="007B43D0">
        <w:rPr>
          <w:rFonts w:ascii="Times New Roman" w:eastAsia="Arial Unicode MS" w:hAnsi="Times New Roman"/>
          <w:sz w:val="24"/>
          <w:szCs w:val="24"/>
        </w:rPr>
        <w:t xml:space="preserve">%), </w:t>
      </w:r>
      <w:r>
        <w:rPr>
          <w:rFonts w:ascii="Times New Roman" w:eastAsia="Arial Unicode MS" w:hAnsi="Times New Roman"/>
          <w:sz w:val="24"/>
          <w:szCs w:val="24"/>
        </w:rPr>
        <w:t>Donga (75,7%), Alibori</w:t>
      </w:r>
      <w:r w:rsidRPr="007B43D0">
        <w:rPr>
          <w:rFonts w:ascii="Times New Roman" w:eastAsia="Arial Unicode MS" w:hAnsi="Times New Roman"/>
          <w:sz w:val="24"/>
          <w:szCs w:val="24"/>
        </w:rPr>
        <w:t xml:space="preserve"> (</w:t>
      </w:r>
      <w:r>
        <w:rPr>
          <w:rFonts w:ascii="Times New Roman" w:eastAsia="Arial Unicode MS" w:hAnsi="Times New Roman"/>
          <w:sz w:val="24"/>
          <w:szCs w:val="24"/>
        </w:rPr>
        <w:t>68</w:t>
      </w:r>
      <w:r w:rsidRPr="007B43D0">
        <w:rPr>
          <w:rFonts w:ascii="Times New Roman" w:eastAsia="Arial Unicode MS" w:hAnsi="Times New Roman"/>
          <w:sz w:val="24"/>
          <w:szCs w:val="24"/>
        </w:rPr>
        <w:t>,</w:t>
      </w:r>
      <w:r>
        <w:rPr>
          <w:rFonts w:ascii="Times New Roman" w:eastAsia="Arial Unicode MS" w:hAnsi="Times New Roman"/>
          <w:sz w:val="24"/>
          <w:szCs w:val="24"/>
        </w:rPr>
        <w:t>0%),</w:t>
      </w:r>
      <w:r w:rsidRPr="007B43D0">
        <w:rPr>
          <w:rFonts w:ascii="Times New Roman" w:eastAsia="Arial Unicode MS" w:hAnsi="Times New Roman"/>
          <w:sz w:val="24"/>
          <w:szCs w:val="24"/>
        </w:rPr>
        <w:t xml:space="preserve"> </w:t>
      </w:r>
      <w:r>
        <w:rPr>
          <w:rFonts w:ascii="Times New Roman" w:eastAsia="Arial Unicode MS" w:hAnsi="Times New Roman"/>
          <w:sz w:val="24"/>
          <w:szCs w:val="24"/>
        </w:rPr>
        <w:t>Zou (64,2</w:t>
      </w:r>
      <w:r w:rsidRPr="007B43D0">
        <w:rPr>
          <w:rFonts w:ascii="Times New Roman" w:eastAsia="Arial Unicode MS" w:hAnsi="Times New Roman"/>
          <w:sz w:val="24"/>
          <w:szCs w:val="24"/>
        </w:rPr>
        <w:t>%)</w:t>
      </w:r>
      <w:r>
        <w:rPr>
          <w:rFonts w:ascii="Times New Roman" w:eastAsia="Arial Unicode MS" w:hAnsi="Times New Roman"/>
          <w:sz w:val="24"/>
          <w:szCs w:val="24"/>
        </w:rPr>
        <w:t>, Couffo (64,1%), Borgou (60,1%) et les Collines (59,4%)</w:t>
      </w:r>
      <w:r w:rsidRPr="007B43D0">
        <w:rPr>
          <w:rFonts w:ascii="Times New Roman" w:eastAsia="Arial Unicode MS" w:hAnsi="Times New Roman"/>
          <w:sz w:val="24"/>
          <w:szCs w:val="24"/>
        </w:rPr>
        <w:t>.</w:t>
      </w:r>
      <w:r>
        <w:rPr>
          <w:rFonts w:ascii="Times New Roman" w:eastAsia="Arial Unicode MS" w:hAnsi="Times New Roman"/>
          <w:sz w:val="24"/>
          <w:szCs w:val="24"/>
        </w:rPr>
        <w:t xml:space="preserve"> Les départements de l’Ouémé (27,8</w:t>
      </w:r>
      <w:r w:rsidRPr="007B43D0">
        <w:rPr>
          <w:rFonts w:ascii="Times New Roman" w:eastAsia="Arial Unicode MS" w:hAnsi="Times New Roman"/>
          <w:sz w:val="24"/>
          <w:szCs w:val="24"/>
        </w:rPr>
        <w:t>%) et du Litt</w:t>
      </w:r>
      <w:r>
        <w:rPr>
          <w:rFonts w:ascii="Times New Roman" w:eastAsia="Arial Unicode MS" w:hAnsi="Times New Roman"/>
          <w:sz w:val="24"/>
          <w:szCs w:val="24"/>
        </w:rPr>
        <w:t>oral (6, 3</w:t>
      </w:r>
      <w:r w:rsidRPr="007B43D0">
        <w:rPr>
          <w:rFonts w:ascii="Times New Roman" w:eastAsia="Arial Unicode MS" w:hAnsi="Times New Roman"/>
          <w:sz w:val="24"/>
          <w:szCs w:val="24"/>
        </w:rPr>
        <w:t>%) affichent les taux de pauvreté les plus faibles en 2011</w:t>
      </w:r>
      <w:r w:rsidR="00517225">
        <w:rPr>
          <w:rFonts w:ascii="Times New Roman" w:eastAsia="Arial Unicode MS" w:hAnsi="Times New Roman"/>
          <w:sz w:val="24"/>
          <w:szCs w:val="24"/>
        </w:rPr>
        <w:t>.</w:t>
      </w:r>
    </w:p>
    <w:p w:rsidR="00452909" w:rsidRDefault="00452909"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085EB0" w:rsidRDefault="00085EB0" w:rsidP="00452909">
      <w:pPr>
        <w:spacing w:line="276" w:lineRule="auto"/>
        <w:rPr>
          <w:rFonts w:ascii="Times New Roman" w:eastAsia="Arial Unicode MS" w:hAnsi="Times New Roman"/>
          <w:sz w:val="24"/>
          <w:szCs w:val="24"/>
        </w:rPr>
      </w:pPr>
    </w:p>
    <w:p w:rsidR="00517225" w:rsidRDefault="00517225" w:rsidP="00452909">
      <w:pPr>
        <w:spacing w:line="276" w:lineRule="auto"/>
        <w:rPr>
          <w:rFonts w:ascii="Times New Roman" w:eastAsia="Arial Unicode MS" w:hAnsi="Times New Roman"/>
          <w:sz w:val="24"/>
          <w:szCs w:val="24"/>
        </w:rPr>
      </w:pPr>
    </w:p>
    <w:tbl>
      <w:tblPr>
        <w:tblW w:w="8834" w:type="dxa"/>
        <w:tblInd w:w="60" w:type="dxa"/>
        <w:tblCellMar>
          <w:left w:w="70" w:type="dxa"/>
          <w:right w:w="70" w:type="dxa"/>
        </w:tblCellMar>
        <w:tblLook w:val="04A0" w:firstRow="1" w:lastRow="0" w:firstColumn="1" w:lastColumn="0" w:noHBand="0" w:noVBand="1"/>
      </w:tblPr>
      <w:tblGrid>
        <w:gridCol w:w="3312"/>
        <w:gridCol w:w="1951"/>
        <w:gridCol w:w="1988"/>
        <w:gridCol w:w="1583"/>
      </w:tblGrid>
      <w:tr w:rsidR="009471B0" w:rsidRPr="007115DC" w:rsidTr="00517225">
        <w:trPr>
          <w:trHeight w:val="267"/>
        </w:trPr>
        <w:tc>
          <w:tcPr>
            <w:tcW w:w="8834" w:type="dxa"/>
            <w:gridSpan w:val="4"/>
            <w:tcBorders>
              <w:bottom w:val="double" w:sz="4" w:space="0" w:color="auto"/>
            </w:tcBorders>
            <w:shd w:val="clear" w:color="auto" w:fill="92CDDC" w:themeFill="accent5" w:themeFillTint="99"/>
            <w:vAlign w:val="bottom"/>
            <w:hideMark/>
          </w:tcPr>
          <w:p w:rsidR="009471B0" w:rsidRPr="009471B0" w:rsidRDefault="00517225" w:rsidP="00D73E88">
            <w:pPr>
              <w:spacing w:line="276" w:lineRule="auto"/>
              <w:rPr>
                <w:rFonts w:ascii="Times New Roman" w:eastAsia="Arial Unicode MS" w:hAnsi="Times New Roman"/>
                <w:sz w:val="24"/>
                <w:szCs w:val="24"/>
              </w:rPr>
            </w:pPr>
            <w:r w:rsidRPr="00AC5D5F">
              <w:rPr>
                <w:rFonts w:ascii="Times New Roman" w:hAnsi="Times New Roman"/>
                <w:sz w:val="24"/>
                <w:szCs w:val="24"/>
              </w:rPr>
              <w:t>Tableau 1.</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Tableau_1.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6</w:t>
            </w:r>
            <w:r w:rsidR="00182C97" w:rsidRPr="00AC5D5F">
              <w:rPr>
                <w:rFonts w:ascii="Times New Roman" w:hAnsi="Times New Roman"/>
                <w:sz w:val="24"/>
                <w:szCs w:val="24"/>
              </w:rPr>
              <w:fldChar w:fldCharType="end"/>
            </w:r>
            <w:r w:rsidRPr="00AC5D5F">
              <w:rPr>
                <w:rFonts w:ascii="Times New Roman" w:eastAsia="Arial Unicode MS" w:hAnsi="Times New Roman"/>
                <w:sz w:val="24"/>
                <w:szCs w:val="24"/>
              </w:rPr>
              <w:t>:</w:t>
            </w:r>
            <w:r w:rsidRPr="00AC5D5F">
              <w:rPr>
                <w:rFonts w:ascii="Times New Roman" w:hAnsi="Times New Roman"/>
                <w:sz w:val="24"/>
                <w:szCs w:val="24"/>
              </w:rPr>
              <w:t xml:space="preserve"> </w:t>
            </w:r>
            <w:r w:rsidR="00D73E88">
              <w:rPr>
                <w:rFonts w:ascii="Times New Roman" w:hAnsi="Times New Roman"/>
                <w:sz w:val="24"/>
                <w:szCs w:val="24"/>
              </w:rPr>
              <w:t>P</w:t>
            </w:r>
            <w:r w:rsidR="00D73E88">
              <w:rPr>
                <w:rFonts w:ascii="Times New Roman" w:eastAsia="Arial Unicode MS" w:hAnsi="Times New Roman"/>
                <w:sz w:val="24"/>
                <w:szCs w:val="24"/>
              </w:rPr>
              <w:t>roportion de la population disposant de moins de 1,25 dollars par jou</w:t>
            </w:r>
            <w:r>
              <w:rPr>
                <w:rFonts w:ascii="Times New Roman" w:eastAsia="Arial Unicode MS" w:hAnsi="Times New Roman"/>
                <w:sz w:val="24"/>
                <w:szCs w:val="24"/>
              </w:rPr>
              <w:t>selon le milieu et le département de résidence</w:t>
            </w:r>
          </w:p>
        </w:tc>
      </w:tr>
      <w:tr w:rsidR="009471B0" w:rsidRPr="007115DC" w:rsidTr="00517225">
        <w:trPr>
          <w:trHeight w:val="267"/>
        </w:trPr>
        <w:tc>
          <w:tcPr>
            <w:tcW w:w="3312" w:type="dxa"/>
            <w:tcBorders>
              <w:top w:val="double" w:sz="4" w:space="0" w:color="auto"/>
              <w:bottom w:val="single" w:sz="4" w:space="0" w:color="auto"/>
            </w:tcBorders>
            <w:shd w:val="clear" w:color="auto" w:fill="DAEEF3" w:themeFill="accent5" w:themeFillTint="33"/>
            <w:hideMark/>
          </w:tcPr>
          <w:p w:rsidR="009471B0" w:rsidRPr="007115DC" w:rsidRDefault="009471B0" w:rsidP="001528C2">
            <w:pPr>
              <w:spacing w:line="240" w:lineRule="auto"/>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 </w:t>
            </w:r>
          </w:p>
        </w:tc>
        <w:tc>
          <w:tcPr>
            <w:tcW w:w="1951" w:type="dxa"/>
            <w:tcBorders>
              <w:top w:val="double" w:sz="4" w:space="0" w:color="auto"/>
              <w:bottom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2006</w:t>
            </w:r>
          </w:p>
        </w:tc>
        <w:tc>
          <w:tcPr>
            <w:tcW w:w="1988" w:type="dxa"/>
            <w:tcBorders>
              <w:top w:val="double" w:sz="4" w:space="0" w:color="auto"/>
              <w:bottom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2009</w:t>
            </w:r>
          </w:p>
        </w:tc>
        <w:tc>
          <w:tcPr>
            <w:tcW w:w="1583" w:type="dxa"/>
            <w:tcBorders>
              <w:top w:val="double" w:sz="4" w:space="0" w:color="auto"/>
              <w:bottom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2011</w:t>
            </w:r>
          </w:p>
        </w:tc>
      </w:tr>
      <w:tr w:rsidR="009471B0" w:rsidRPr="007115DC" w:rsidTr="00517225">
        <w:trPr>
          <w:trHeight w:val="264"/>
        </w:trPr>
        <w:tc>
          <w:tcPr>
            <w:tcW w:w="3312" w:type="dxa"/>
            <w:tcBorders>
              <w:top w:val="single" w:sz="4" w:space="0" w:color="auto"/>
            </w:tcBorders>
            <w:shd w:val="clear" w:color="auto" w:fill="DAEEF3" w:themeFill="accent5" w:themeFillTint="33"/>
            <w:hideMark/>
          </w:tcPr>
          <w:p w:rsidR="009471B0" w:rsidRPr="007115DC" w:rsidRDefault="009471B0" w:rsidP="001528C2">
            <w:pPr>
              <w:spacing w:line="240" w:lineRule="auto"/>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Milieu de résidence</w:t>
            </w:r>
          </w:p>
        </w:tc>
        <w:tc>
          <w:tcPr>
            <w:tcW w:w="1951" w:type="dxa"/>
            <w:tcBorders>
              <w:top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 </w:t>
            </w:r>
          </w:p>
        </w:tc>
        <w:tc>
          <w:tcPr>
            <w:tcW w:w="1988" w:type="dxa"/>
            <w:tcBorders>
              <w:top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 </w:t>
            </w:r>
          </w:p>
        </w:tc>
        <w:tc>
          <w:tcPr>
            <w:tcW w:w="1583" w:type="dxa"/>
            <w:tcBorders>
              <w:top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 </w:t>
            </w:r>
          </w:p>
        </w:tc>
      </w:tr>
      <w:tr w:rsidR="009471B0" w:rsidRPr="007115DC" w:rsidTr="00517225">
        <w:trPr>
          <w:trHeight w:val="267"/>
        </w:trPr>
        <w:tc>
          <w:tcPr>
            <w:tcW w:w="3312" w:type="dxa"/>
            <w:shd w:val="clear" w:color="auto" w:fill="DAEEF3" w:themeFill="accent5" w:themeFillTint="33"/>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Urbain</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44,9</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29,3</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32,0</w:t>
            </w:r>
          </w:p>
        </w:tc>
      </w:tr>
      <w:tr w:rsidR="009471B0" w:rsidRPr="007115DC" w:rsidTr="00517225">
        <w:trPr>
          <w:trHeight w:val="267"/>
        </w:trPr>
        <w:tc>
          <w:tcPr>
            <w:tcW w:w="3312" w:type="dxa"/>
            <w:shd w:val="clear" w:color="auto" w:fill="DAEEF3" w:themeFill="accent5" w:themeFillTint="33"/>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Rural</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71,6</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55,5</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64,4</w:t>
            </w:r>
          </w:p>
        </w:tc>
      </w:tr>
      <w:tr w:rsidR="009471B0" w:rsidRPr="007115DC" w:rsidTr="00517225">
        <w:trPr>
          <w:trHeight w:val="267"/>
        </w:trPr>
        <w:tc>
          <w:tcPr>
            <w:tcW w:w="3312" w:type="dxa"/>
            <w:shd w:val="clear" w:color="auto" w:fill="DAEEF3" w:themeFill="accent5" w:themeFillTint="33"/>
            <w:hideMark/>
          </w:tcPr>
          <w:p w:rsidR="009471B0" w:rsidRPr="007115DC" w:rsidRDefault="009471B0" w:rsidP="001528C2">
            <w:pPr>
              <w:spacing w:line="240" w:lineRule="auto"/>
              <w:rPr>
                <w:rFonts w:ascii="Times New Roman" w:eastAsia="Times New Roman" w:hAnsi="Times New Roman"/>
                <w:b/>
                <w:bCs/>
                <w:color w:val="000000"/>
                <w:sz w:val="24"/>
                <w:szCs w:val="24"/>
                <w:lang w:eastAsia="fr-FR"/>
              </w:rPr>
            </w:pPr>
            <w:r w:rsidRPr="007115DC">
              <w:rPr>
                <w:rFonts w:ascii="Times New Roman" w:eastAsia="Times New Roman" w:hAnsi="Times New Roman"/>
                <w:b/>
                <w:bCs/>
                <w:color w:val="000000"/>
                <w:sz w:val="24"/>
                <w:szCs w:val="24"/>
                <w:lang w:eastAsia="fr-FR"/>
              </w:rPr>
              <w:t>Département</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 </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 </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 </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Alibori</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67,4</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45,0</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68,0</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Atacora</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67,2</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59,8</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77,0</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Atlantique</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58,9</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38,8</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47,8</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Borgou</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72,2</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44,2</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60,1</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Collines</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50,2</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50,4</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59,4</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Couffo</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86,6</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75,0</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64,1</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Donga</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75,0</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58,5</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75,7</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Littoral</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18,6</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4,8</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6,3</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Mono</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78,0</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62,7</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50,8</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Ouémé</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32,3</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20,0</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27,8</w:t>
            </w:r>
          </w:p>
        </w:tc>
      </w:tr>
      <w:tr w:rsidR="009471B0" w:rsidRPr="007115DC" w:rsidTr="00517225">
        <w:trPr>
          <w:trHeight w:val="267"/>
        </w:trPr>
        <w:tc>
          <w:tcPr>
            <w:tcW w:w="3312" w:type="dxa"/>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Plateau</w:t>
            </w:r>
          </w:p>
        </w:tc>
        <w:tc>
          <w:tcPr>
            <w:tcW w:w="1951"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73,0</w:t>
            </w:r>
          </w:p>
        </w:tc>
        <w:tc>
          <w:tcPr>
            <w:tcW w:w="1988"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54,3</w:t>
            </w:r>
          </w:p>
        </w:tc>
        <w:tc>
          <w:tcPr>
            <w:tcW w:w="1583" w:type="dxa"/>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52,4</w:t>
            </w:r>
          </w:p>
        </w:tc>
      </w:tr>
      <w:tr w:rsidR="009471B0" w:rsidRPr="007115DC" w:rsidTr="00517225">
        <w:trPr>
          <w:trHeight w:val="267"/>
        </w:trPr>
        <w:tc>
          <w:tcPr>
            <w:tcW w:w="3312" w:type="dxa"/>
            <w:tcBorders>
              <w:bottom w:val="single" w:sz="4" w:space="0" w:color="auto"/>
            </w:tcBorders>
            <w:shd w:val="clear" w:color="auto" w:fill="DAEEF3" w:themeFill="accent5" w:themeFillTint="33"/>
            <w:vAlign w:val="bottom"/>
            <w:hideMark/>
          </w:tcPr>
          <w:p w:rsidR="009471B0" w:rsidRPr="007115DC" w:rsidRDefault="009471B0" w:rsidP="001528C2">
            <w:pPr>
              <w:spacing w:line="240" w:lineRule="auto"/>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Zou</w:t>
            </w:r>
          </w:p>
        </w:tc>
        <w:tc>
          <w:tcPr>
            <w:tcW w:w="1951" w:type="dxa"/>
            <w:tcBorders>
              <w:bottom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79,4</w:t>
            </w:r>
          </w:p>
        </w:tc>
        <w:tc>
          <w:tcPr>
            <w:tcW w:w="1988" w:type="dxa"/>
            <w:tcBorders>
              <w:bottom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64,5</w:t>
            </w:r>
          </w:p>
        </w:tc>
        <w:tc>
          <w:tcPr>
            <w:tcW w:w="1583" w:type="dxa"/>
            <w:tcBorders>
              <w:bottom w:val="sing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64,2</w:t>
            </w:r>
          </w:p>
        </w:tc>
      </w:tr>
      <w:tr w:rsidR="009471B0" w:rsidRPr="007115DC" w:rsidTr="00517225">
        <w:trPr>
          <w:trHeight w:val="267"/>
        </w:trPr>
        <w:tc>
          <w:tcPr>
            <w:tcW w:w="3312" w:type="dxa"/>
            <w:tcBorders>
              <w:top w:val="single" w:sz="4" w:space="0" w:color="auto"/>
              <w:bottom w:val="double" w:sz="4" w:space="0" w:color="auto"/>
            </w:tcBorders>
            <w:shd w:val="clear" w:color="auto" w:fill="DAEEF3" w:themeFill="accent5" w:themeFillTint="33"/>
            <w:vAlign w:val="bottom"/>
            <w:hideMark/>
          </w:tcPr>
          <w:p w:rsidR="009471B0" w:rsidRPr="006933DD" w:rsidRDefault="009471B0" w:rsidP="001528C2">
            <w:pPr>
              <w:spacing w:line="240" w:lineRule="auto"/>
              <w:rPr>
                <w:rFonts w:ascii="Times New Roman" w:eastAsia="Times New Roman" w:hAnsi="Times New Roman"/>
                <w:b/>
                <w:color w:val="000000"/>
                <w:sz w:val="24"/>
                <w:szCs w:val="24"/>
                <w:lang w:eastAsia="fr-FR"/>
              </w:rPr>
            </w:pPr>
            <w:r w:rsidRPr="006933DD">
              <w:rPr>
                <w:rFonts w:ascii="Times New Roman" w:eastAsia="Times New Roman" w:hAnsi="Times New Roman"/>
                <w:b/>
                <w:color w:val="000000"/>
                <w:sz w:val="24"/>
                <w:szCs w:val="24"/>
                <w:lang w:eastAsia="fr-FR"/>
              </w:rPr>
              <w:t>Bénin</w:t>
            </w:r>
          </w:p>
        </w:tc>
        <w:tc>
          <w:tcPr>
            <w:tcW w:w="1951" w:type="dxa"/>
            <w:tcBorders>
              <w:top w:val="single" w:sz="4" w:space="0" w:color="auto"/>
              <w:bottom w:val="doub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61,7</w:t>
            </w:r>
          </w:p>
        </w:tc>
        <w:tc>
          <w:tcPr>
            <w:tcW w:w="1988" w:type="dxa"/>
            <w:tcBorders>
              <w:top w:val="single" w:sz="4" w:space="0" w:color="auto"/>
              <w:bottom w:val="doub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45,9</w:t>
            </w:r>
          </w:p>
        </w:tc>
        <w:tc>
          <w:tcPr>
            <w:tcW w:w="1583" w:type="dxa"/>
            <w:tcBorders>
              <w:top w:val="single" w:sz="4" w:space="0" w:color="auto"/>
              <w:bottom w:val="double" w:sz="4" w:space="0" w:color="auto"/>
            </w:tcBorders>
            <w:shd w:val="clear" w:color="auto" w:fill="DAEEF3" w:themeFill="accent5" w:themeFillTint="33"/>
            <w:hideMark/>
          </w:tcPr>
          <w:p w:rsidR="009471B0" w:rsidRPr="007115DC" w:rsidRDefault="009471B0" w:rsidP="001528C2">
            <w:pPr>
              <w:spacing w:line="240" w:lineRule="auto"/>
              <w:jc w:val="center"/>
              <w:rPr>
                <w:rFonts w:ascii="Times New Roman" w:eastAsia="Times New Roman" w:hAnsi="Times New Roman"/>
                <w:color w:val="000000"/>
                <w:sz w:val="24"/>
                <w:szCs w:val="24"/>
                <w:lang w:eastAsia="fr-FR"/>
              </w:rPr>
            </w:pPr>
            <w:r w:rsidRPr="007115DC">
              <w:rPr>
                <w:rFonts w:ascii="Times New Roman" w:eastAsia="Times New Roman" w:hAnsi="Times New Roman"/>
                <w:color w:val="000000"/>
                <w:sz w:val="24"/>
                <w:szCs w:val="24"/>
                <w:lang w:eastAsia="fr-FR"/>
              </w:rPr>
              <w:t>50,9</w:t>
            </w:r>
          </w:p>
        </w:tc>
      </w:tr>
      <w:tr w:rsidR="009471B0" w:rsidRPr="007115DC" w:rsidTr="00517225">
        <w:trPr>
          <w:trHeight w:val="267"/>
        </w:trPr>
        <w:tc>
          <w:tcPr>
            <w:tcW w:w="8834" w:type="dxa"/>
            <w:gridSpan w:val="4"/>
            <w:tcBorders>
              <w:top w:val="double" w:sz="4" w:space="0" w:color="auto"/>
            </w:tcBorders>
            <w:shd w:val="clear" w:color="auto" w:fill="DAEEF3" w:themeFill="accent5" w:themeFillTint="33"/>
            <w:vAlign w:val="bottom"/>
            <w:hideMark/>
          </w:tcPr>
          <w:p w:rsidR="009471B0" w:rsidRPr="009471B0" w:rsidRDefault="009471B0" w:rsidP="009471B0">
            <w:pPr>
              <w:spacing w:line="276" w:lineRule="auto"/>
              <w:rPr>
                <w:rFonts w:ascii="Times New Roman" w:eastAsia="Arial Unicode MS" w:hAnsi="Times New Roman"/>
                <w:sz w:val="24"/>
                <w:szCs w:val="24"/>
              </w:rPr>
            </w:pPr>
            <w:r>
              <w:rPr>
                <w:rFonts w:ascii="Times New Roman" w:eastAsia="Arial Unicode MS" w:hAnsi="Times New Roman"/>
                <w:sz w:val="24"/>
                <w:szCs w:val="24"/>
              </w:rPr>
              <w:t xml:space="preserve">Source : </w:t>
            </w:r>
            <w:r>
              <w:rPr>
                <w:rFonts w:ascii="Times New Roman" w:hAnsi="Times New Roman"/>
              </w:rPr>
              <w:t xml:space="preserve">INSAE, EMICoV 2006, 2009 et  </w:t>
            </w:r>
            <w:r w:rsidRPr="00E16B3C">
              <w:rPr>
                <w:rFonts w:ascii="Times New Roman" w:hAnsi="Times New Roman"/>
              </w:rPr>
              <w:t>2011</w:t>
            </w:r>
          </w:p>
        </w:tc>
      </w:tr>
    </w:tbl>
    <w:p w:rsidR="00452909" w:rsidRPr="00517225" w:rsidRDefault="00452909" w:rsidP="002C302A">
      <w:pPr>
        <w:spacing w:after="200" w:line="276" w:lineRule="auto"/>
        <w:rPr>
          <w:rFonts w:ascii="Times New Roman" w:eastAsia="Arial Unicode MS" w:hAnsi="Times New Roman"/>
          <w:sz w:val="24"/>
          <w:szCs w:val="24"/>
        </w:rPr>
      </w:pPr>
    </w:p>
    <w:p w:rsidR="003740B0" w:rsidRPr="00CC312E" w:rsidRDefault="001064B7" w:rsidP="00196694">
      <w:pPr>
        <w:pStyle w:val="Titre2"/>
        <w:spacing w:before="0" w:after="0"/>
        <w:rPr>
          <w:rFonts w:ascii="Times New Roman" w:hAnsi="Times New Roman" w:cs="Times New Roman"/>
          <w:i w:val="0"/>
          <w:color w:val="31849B" w:themeColor="accent5" w:themeShade="BF"/>
        </w:rPr>
      </w:pPr>
      <w:bookmarkStart w:id="47" w:name="_Toc382322917"/>
      <w:r w:rsidRPr="00CC312E">
        <w:rPr>
          <w:rFonts w:ascii="Times New Roman" w:hAnsi="Times New Roman"/>
          <w:i w:val="0"/>
          <w:color w:val="31849B" w:themeColor="accent5" w:themeShade="BF"/>
        </w:rPr>
        <w:t>1</w:t>
      </w:r>
      <w:r w:rsidRPr="00CC312E">
        <w:rPr>
          <w:rFonts w:ascii="Times New Roman" w:hAnsi="Times New Roman" w:cs="Times New Roman"/>
          <w:i w:val="0"/>
          <w:color w:val="31849B" w:themeColor="accent5" w:themeShade="BF"/>
        </w:rPr>
        <w:t>.</w:t>
      </w:r>
      <w:r w:rsidR="00A471E0" w:rsidRPr="00CC312E">
        <w:rPr>
          <w:rFonts w:ascii="Times New Roman" w:hAnsi="Times New Roman" w:cs="Times New Roman"/>
          <w:i w:val="0"/>
          <w:color w:val="31849B" w:themeColor="accent5" w:themeShade="BF"/>
        </w:rPr>
        <w:t>3</w:t>
      </w:r>
      <w:r w:rsidR="00622124">
        <w:rPr>
          <w:rFonts w:ascii="Times New Roman" w:hAnsi="Times New Roman" w:cs="Times New Roman"/>
          <w:i w:val="0"/>
          <w:color w:val="31849B" w:themeColor="accent5" w:themeShade="BF"/>
        </w:rPr>
        <w:t xml:space="preserve"> </w:t>
      </w:r>
      <w:r w:rsidR="003740B0" w:rsidRPr="00CC312E">
        <w:rPr>
          <w:rFonts w:ascii="Times New Roman" w:hAnsi="Times New Roman" w:cs="Times New Roman"/>
          <w:i w:val="0"/>
          <w:color w:val="31849B" w:themeColor="accent5" w:themeShade="BF"/>
        </w:rPr>
        <w:t>Analyse de la mobilité des ménages dans la pauvreté</w:t>
      </w:r>
      <w:bookmarkEnd w:id="47"/>
    </w:p>
    <w:p w:rsidR="003740B0" w:rsidRPr="00B04268" w:rsidRDefault="003740B0" w:rsidP="003740B0">
      <w:pPr>
        <w:spacing w:line="240" w:lineRule="auto"/>
        <w:rPr>
          <w:rFonts w:ascii="Times New Roman" w:hAnsi="Times New Roman"/>
          <w:sz w:val="20"/>
          <w:szCs w:val="20"/>
        </w:rPr>
      </w:pPr>
    </w:p>
    <w:p w:rsidR="00C60A25" w:rsidRDefault="008F5B5E" w:rsidP="00F121CD">
      <w:pPr>
        <w:spacing w:line="276" w:lineRule="auto"/>
        <w:rPr>
          <w:rFonts w:ascii="Times New Roman" w:hAnsi="Times New Roman"/>
          <w:sz w:val="24"/>
          <w:szCs w:val="24"/>
        </w:rPr>
      </w:pPr>
      <w:r>
        <w:rPr>
          <w:rFonts w:ascii="Times New Roman" w:hAnsi="Times New Roman"/>
          <w:sz w:val="24"/>
          <w:szCs w:val="24"/>
        </w:rPr>
        <w:t>L’analyse de la mobilité des ménages dans la pauvreté</w:t>
      </w:r>
      <w:r w:rsidR="00F0253B">
        <w:rPr>
          <w:rFonts w:ascii="Times New Roman" w:hAnsi="Times New Roman"/>
          <w:sz w:val="24"/>
          <w:szCs w:val="24"/>
        </w:rPr>
        <w:t xml:space="preserve"> </w:t>
      </w:r>
      <w:r w:rsidR="00B76D0A" w:rsidRPr="00B76D0A">
        <w:rPr>
          <w:rFonts w:ascii="Times New Roman" w:hAnsi="Times New Roman"/>
          <w:sz w:val="24"/>
          <w:szCs w:val="24"/>
        </w:rPr>
        <w:t>permet d’avoir un regard sur la nature et la portée des individus qui transitent dans les différents états de bien-être</w:t>
      </w:r>
      <w:r w:rsidR="00223181">
        <w:rPr>
          <w:rFonts w:ascii="Times New Roman" w:hAnsi="Times New Roman"/>
          <w:sz w:val="24"/>
          <w:szCs w:val="24"/>
        </w:rPr>
        <w:t xml:space="preserve">. </w:t>
      </w:r>
      <w:r w:rsidR="00C60A25">
        <w:rPr>
          <w:rFonts w:ascii="Times New Roman" w:hAnsi="Times New Roman"/>
          <w:sz w:val="24"/>
          <w:szCs w:val="24"/>
        </w:rPr>
        <w:t xml:space="preserve">La </w:t>
      </w:r>
      <w:r w:rsidR="00B76D0A" w:rsidRPr="00B76D0A">
        <w:rPr>
          <w:rFonts w:ascii="Times New Roman" w:hAnsi="Times New Roman"/>
          <w:sz w:val="24"/>
          <w:szCs w:val="24"/>
        </w:rPr>
        <w:t xml:space="preserve">démarche méthodologique adoptée pour cette analyse est l’approche de périodes en raison de la nature des données disponibles. En effet, pour des raisons d’adéquation et de comparabilité, il a été construit un panel de 10815 ménages à partir des éditions de l’enquête EMICoV 2006 </w:t>
      </w:r>
      <w:r w:rsidR="00A860D7">
        <w:rPr>
          <w:rFonts w:ascii="Times New Roman" w:hAnsi="Times New Roman"/>
          <w:sz w:val="24"/>
          <w:szCs w:val="24"/>
        </w:rPr>
        <w:t xml:space="preserve">et </w:t>
      </w:r>
      <w:r w:rsidR="001064B7" w:rsidRPr="001064B7">
        <w:rPr>
          <w:rFonts w:ascii="Times New Roman" w:hAnsi="Times New Roman"/>
          <w:sz w:val="24"/>
          <w:szCs w:val="24"/>
        </w:rPr>
        <w:t>2009</w:t>
      </w:r>
      <w:r w:rsidR="00B76D0A" w:rsidRPr="00B76D0A">
        <w:rPr>
          <w:rFonts w:ascii="Times New Roman" w:hAnsi="Times New Roman"/>
          <w:sz w:val="24"/>
          <w:szCs w:val="24"/>
        </w:rPr>
        <w:t xml:space="preserve">. Cette approche se réfère ainsi au concept de durée de la pauvreté et consiste à compter le nombre de périodes, c’est-à-dire le nombre de vagues du panel, que chaque ménage a passé en situation de pauvreté. </w:t>
      </w:r>
      <w:r w:rsidR="00C60A25">
        <w:rPr>
          <w:rFonts w:ascii="Times New Roman" w:hAnsi="Times New Roman"/>
          <w:sz w:val="24"/>
          <w:szCs w:val="24"/>
        </w:rPr>
        <w:t xml:space="preserve">A cet effet, l’analyse distingue trois catégories de ménage par rapport au critère de pauvreté : </w:t>
      </w:r>
      <w:r w:rsidR="00C60A25" w:rsidRPr="00241FB3">
        <w:rPr>
          <w:rFonts w:ascii="Times New Roman" w:hAnsi="Times New Roman"/>
          <w:sz w:val="24"/>
          <w:szCs w:val="24"/>
        </w:rPr>
        <w:t xml:space="preserve">les ménages pauvres à toutes les périodes (pauvres persistants), les ménages pauvres à certaines dates (pauvres temporaires) et les ménages qui n’ont jamais connu de situation de pauvreté (jamais pauvres). </w:t>
      </w:r>
      <w:r w:rsidR="00C60A25" w:rsidRPr="00D42E96">
        <w:rPr>
          <w:rFonts w:ascii="Times New Roman" w:hAnsi="Times New Roman"/>
          <w:sz w:val="24"/>
          <w:szCs w:val="24"/>
        </w:rPr>
        <w:t>Les pauvres temporaires constituent ici les ménages qui entrent dans la pauvreté et ceux qui en sortent</w:t>
      </w:r>
      <w:r w:rsidR="00C60A25">
        <w:rPr>
          <w:rFonts w:ascii="Times New Roman" w:hAnsi="Times New Roman"/>
          <w:sz w:val="24"/>
          <w:szCs w:val="24"/>
        </w:rPr>
        <w:t>.</w:t>
      </w:r>
    </w:p>
    <w:p w:rsidR="00D212EC" w:rsidRPr="00B04268" w:rsidRDefault="00D212EC">
      <w:pPr>
        <w:spacing w:line="276" w:lineRule="auto"/>
        <w:rPr>
          <w:rFonts w:ascii="Times New Roman" w:hAnsi="Times New Roman"/>
          <w:b/>
          <w:sz w:val="16"/>
          <w:szCs w:val="16"/>
        </w:rPr>
      </w:pPr>
    </w:p>
    <w:p w:rsidR="00515E84" w:rsidRDefault="00B76D0A">
      <w:pPr>
        <w:spacing w:line="276" w:lineRule="auto"/>
      </w:pPr>
      <w:r w:rsidRPr="00EA4250">
        <w:rPr>
          <w:rFonts w:ascii="Times New Roman" w:hAnsi="Times New Roman"/>
          <w:b/>
          <w:sz w:val="24"/>
          <w:szCs w:val="24"/>
        </w:rPr>
        <w:t xml:space="preserve">Le tableau </w:t>
      </w:r>
      <w:r w:rsidR="00EA4250">
        <w:rPr>
          <w:rFonts w:ascii="Times New Roman" w:hAnsi="Times New Roman"/>
          <w:b/>
          <w:sz w:val="24"/>
          <w:szCs w:val="24"/>
        </w:rPr>
        <w:t>1</w:t>
      </w:r>
      <w:r w:rsidRPr="00EA4250">
        <w:rPr>
          <w:rFonts w:ascii="Times New Roman" w:hAnsi="Times New Roman"/>
          <w:b/>
          <w:sz w:val="24"/>
          <w:szCs w:val="24"/>
        </w:rPr>
        <w:t>.</w:t>
      </w:r>
      <w:r w:rsidR="00C24ADC">
        <w:rPr>
          <w:rFonts w:ascii="Times New Roman" w:hAnsi="Times New Roman"/>
          <w:b/>
          <w:sz w:val="24"/>
          <w:szCs w:val="24"/>
        </w:rPr>
        <w:t xml:space="preserve">7 </w:t>
      </w:r>
      <w:r w:rsidRPr="00EA4250">
        <w:rPr>
          <w:rFonts w:ascii="Times New Roman" w:hAnsi="Times New Roman"/>
          <w:b/>
          <w:sz w:val="24"/>
          <w:szCs w:val="24"/>
        </w:rPr>
        <w:t>montre à l’échelle nationale, que la pauvreté s’apparente principalement à un phénomène transitoire</w:t>
      </w:r>
      <w:r w:rsidR="003740B0" w:rsidRPr="007B43D0">
        <w:rPr>
          <w:rFonts w:ascii="Times New Roman" w:hAnsi="Times New Roman"/>
          <w:sz w:val="24"/>
          <w:szCs w:val="24"/>
        </w:rPr>
        <w:t xml:space="preserve">. En effet, </w:t>
      </w:r>
      <w:r w:rsidR="00F5208B" w:rsidRPr="007B43D0">
        <w:rPr>
          <w:rFonts w:ascii="Times New Roman" w:hAnsi="Times New Roman"/>
          <w:sz w:val="24"/>
          <w:szCs w:val="24"/>
        </w:rPr>
        <w:t xml:space="preserve">41,2% </w:t>
      </w:r>
      <w:r w:rsidR="00671E50">
        <w:rPr>
          <w:rFonts w:ascii="Times New Roman" w:hAnsi="Times New Roman"/>
          <w:sz w:val="24"/>
          <w:szCs w:val="24"/>
        </w:rPr>
        <w:t xml:space="preserve">d’individus sont </w:t>
      </w:r>
      <w:r w:rsidR="00F5208B" w:rsidRPr="007B43D0">
        <w:rPr>
          <w:rFonts w:ascii="Times New Roman" w:hAnsi="Times New Roman"/>
          <w:sz w:val="24"/>
          <w:szCs w:val="24"/>
        </w:rPr>
        <w:t>en situation de pauvreté temporaire (22,3% des individus entrant dans la pauvreté en 2009 et 18,9% sortant d</w:t>
      </w:r>
      <w:r w:rsidR="00932CC2">
        <w:rPr>
          <w:rFonts w:ascii="Times New Roman" w:hAnsi="Times New Roman"/>
          <w:sz w:val="24"/>
          <w:szCs w:val="24"/>
        </w:rPr>
        <w:t>e</w:t>
      </w:r>
      <w:r w:rsidR="00F5208B" w:rsidRPr="007B43D0">
        <w:rPr>
          <w:rFonts w:ascii="Times New Roman" w:hAnsi="Times New Roman"/>
          <w:sz w:val="24"/>
          <w:szCs w:val="24"/>
        </w:rPr>
        <w:t xml:space="preserve"> la pauvreté en 2009)</w:t>
      </w:r>
      <w:r w:rsidR="00F5208B">
        <w:rPr>
          <w:rFonts w:ascii="Times New Roman" w:hAnsi="Times New Roman"/>
          <w:sz w:val="24"/>
          <w:szCs w:val="24"/>
        </w:rPr>
        <w:t xml:space="preserve"> contre </w:t>
      </w:r>
      <w:r w:rsidR="003740B0" w:rsidRPr="007B43D0">
        <w:rPr>
          <w:rFonts w:ascii="Times New Roman" w:hAnsi="Times New Roman"/>
          <w:sz w:val="24"/>
          <w:szCs w:val="24"/>
        </w:rPr>
        <w:t>15,5% d</w:t>
      </w:r>
      <w:r w:rsidR="00707D6A">
        <w:rPr>
          <w:rFonts w:ascii="Times New Roman" w:hAnsi="Times New Roman"/>
          <w:sz w:val="24"/>
          <w:szCs w:val="24"/>
        </w:rPr>
        <w:t>’</w:t>
      </w:r>
      <w:r w:rsidR="003740B0" w:rsidRPr="007B43D0">
        <w:rPr>
          <w:rFonts w:ascii="Times New Roman" w:hAnsi="Times New Roman"/>
          <w:sz w:val="24"/>
          <w:szCs w:val="24"/>
        </w:rPr>
        <w:t xml:space="preserve">individus </w:t>
      </w:r>
      <w:r w:rsidR="00D66907">
        <w:rPr>
          <w:rFonts w:ascii="Times New Roman" w:hAnsi="Times New Roman"/>
          <w:sz w:val="24"/>
          <w:szCs w:val="24"/>
        </w:rPr>
        <w:t xml:space="preserve">qui </w:t>
      </w:r>
      <w:r w:rsidR="003740B0" w:rsidRPr="007B43D0">
        <w:rPr>
          <w:rFonts w:ascii="Times New Roman" w:hAnsi="Times New Roman"/>
          <w:sz w:val="24"/>
          <w:szCs w:val="24"/>
        </w:rPr>
        <w:t xml:space="preserve">sont en situation de pauvreté permanente. </w:t>
      </w:r>
      <w:r w:rsidRPr="00B76D0A">
        <w:rPr>
          <w:rFonts w:ascii="Times New Roman" w:hAnsi="Times New Roman"/>
          <w:sz w:val="24"/>
          <w:szCs w:val="24"/>
        </w:rPr>
        <w:t xml:space="preserve">Ceci confirme </w:t>
      </w:r>
      <w:r w:rsidR="00570AD3">
        <w:rPr>
          <w:rFonts w:ascii="Times New Roman" w:hAnsi="Times New Roman"/>
          <w:sz w:val="24"/>
          <w:szCs w:val="24"/>
        </w:rPr>
        <w:t xml:space="preserve">d’une part, </w:t>
      </w:r>
      <w:r w:rsidRPr="00B76D0A">
        <w:rPr>
          <w:rFonts w:ascii="Times New Roman" w:hAnsi="Times New Roman"/>
          <w:sz w:val="24"/>
          <w:szCs w:val="24"/>
        </w:rPr>
        <w:t>l’assertion selon laquelle la pauvreté ne devrait pas être perçue comme un état permanent (IEM, 2001</w:t>
      </w:r>
      <w:r w:rsidR="00570AD3">
        <w:rPr>
          <w:rFonts w:ascii="Times New Roman" w:hAnsi="Times New Roman"/>
          <w:sz w:val="24"/>
          <w:szCs w:val="24"/>
        </w:rPr>
        <w:t>, Mededji, 200</w:t>
      </w:r>
      <w:r w:rsidR="002661A1">
        <w:rPr>
          <w:rFonts w:ascii="Times New Roman" w:hAnsi="Times New Roman"/>
          <w:sz w:val="24"/>
          <w:szCs w:val="24"/>
        </w:rPr>
        <w:t>8</w:t>
      </w:r>
      <w:r w:rsidRPr="00B76D0A">
        <w:rPr>
          <w:rFonts w:ascii="Times New Roman" w:hAnsi="Times New Roman"/>
          <w:sz w:val="24"/>
          <w:szCs w:val="24"/>
        </w:rPr>
        <w:t>)</w:t>
      </w:r>
      <w:r w:rsidR="00570AD3">
        <w:rPr>
          <w:rFonts w:ascii="Times New Roman" w:hAnsi="Times New Roman"/>
          <w:sz w:val="24"/>
          <w:szCs w:val="24"/>
        </w:rPr>
        <w:t xml:space="preserve"> et d’autre part, </w:t>
      </w:r>
      <w:r w:rsidRPr="00B76D0A">
        <w:rPr>
          <w:rFonts w:ascii="Times New Roman" w:hAnsi="Times New Roman"/>
          <w:sz w:val="24"/>
          <w:szCs w:val="24"/>
        </w:rPr>
        <w:t>qu’au sein des pauvres de court terme, les entrées sont de façon significative supérieures aux sorties</w:t>
      </w:r>
      <w:r w:rsidR="002B0CC6">
        <w:rPr>
          <w:rStyle w:val="Appelnotedebasdep"/>
          <w:rFonts w:ascii="Times New Roman" w:hAnsi="Times New Roman"/>
          <w:sz w:val="24"/>
          <w:szCs w:val="24"/>
        </w:rPr>
        <w:footnoteReference w:id="32"/>
      </w:r>
      <w:r w:rsidRPr="00B76D0A">
        <w:rPr>
          <w:rFonts w:ascii="Times New Roman" w:hAnsi="Times New Roman"/>
          <w:sz w:val="24"/>
          <w:szCs w:val="24"/>
        </w:rPr>
        <w:t>.</w:t>
      </w:r>
      <w:r w:rsidR="000D29A8">
        <w:rPr>
          <w:rFonts w:ascii="Times New Roman" w:hAnsi="Times New Roman"/>
          <w:sz w:val="24"/>
          <w:szCs w:val="24"/>
        </w:rPr>
        <w:t xml:space="preserve"> Ainsi, l</w:t>
      </w:r>
      <w:r w:rsidRPr="00B76D0A">
        <w:rPr>
          <w:rFonts w:ascii="Times New Roman" w:hAnsi="Times New Roman"/>
          <w:sz w:val="24"/>
          <w:szCs w:val="24"/>
        </w:rPr>
        <w:t xml:space="preserve">’acuité du phénomène de la pauvreté </w:t>
      </w:r>
      <w:r w:rsidR="000D29A8">
        <w:rPr>
          <w:rFonts w:ascii="Times New Roman" w:hAnsi="Times New Roman"/>
          <w:sz w:val="24"/>
          <w:szCs w:val="24"/>
        </w:rPr>
        <w:t xml:space="preserve">au Bénin </w:t>
      </w:r>
      <w:r w:rsidRPr="00B76D0A">
        <w:rPr>
          <w:rFonts w:ascii="Times New Roman" w:hAnsi="Times New Roman"/>
          <w:sz w:val="24"/>
          <w:szCs w:val="24"/>
        </w:rPr>
        <w:t>est ainsi traduite par la différence des flux de ceux qui tombent dans la pauvreté et de ceux qui en sortent.</w:t>
      </w:r>
      <w:r w:rsidR="00CF4A3C">
        <w:rPr>
          <w:rFonts w:ascii="Times New Roman" w:hAnsi="Times New Roman"/>
          <w:sz w:val="24"/>
          <w:szCs w:val="24"/>
        </w:rPr>
        <w:t xml:space="preserve"> La connaissance des facteurs explicatifs de ces différents types de mobilité devrait contribuer à une meilleure orientation des stratégies de réduction de la pauvreté au Bénin. Aussi, l</w:t>
      </w:r>
      <w:r w:rsidR="00672DAF">
        <w:rPr>
          <w:rFonts w:ascii="Times New Roman" w:hAnsi="Times New Roman"/>
          <w:sz w:val="24"/>
          <w:szCs w:val="24"/>
        </w:rPr>
        <w:t xml:space="preserve">a proportion relativement importante de pauvres permanents interpelle </w:t>
      </w:r>
      <w:r w:rsidR="00CF4A3C">
        <w:rPr>
          <w:rFonts w:ascii="Times New Roman" w:hAnsi="Times New Roman"/>
          <w:sz w:val="24"/>
          <w:szCs w:val="24"/>
        </w:rPr>
        <w:t xml:space="preserve">sur </w:t>
      </w:r>
      <w:r w:rsidR="00672DAF">
        <w:rPr>
          <w:rFonts w:ascii="Times New Roman" w:hAnsi="Times New Roman"/>
          <w:sz w:val="24"/>
          <w:szCs w:val="24"/>
        </w:rPr>
        <w:t>la mise en œuvre d’</w:t>
      </w:r>
      <w:r w:rsidRPr="00B76D0A">
        <w:rPr>
          <w:rFonts w:ascii="Times New Roman" w:hAnsi="Times New Roman"/>
          <w:sz w:val="24"/>
          <w:szCs w:val="24"/>
        </w:rPr>
        <w:t>interventions</w:t>
      </w:r>
      <w:r w:rsidR="006F43AF">
        <w:rPr>
          <w:rFonts w:ascii="Times New Roman" w:hAnsi="Times New Roman"/>
          <w:sz w:val="24"/>
          <w:szCs w:val="24"/>
        </w:rPr>
        <w:t xml:space="preserve"> adéquates et</w:t>
      </w:r>
      <w:r w:rsidR="001A55A9">
        <w:rPr>
          <w:rFonts w:ascii="Times New Roman" w:hAnsi="Times New Roman"/>
          <w:sz w:val="24"/>
          <w:szCs w:val="24"/>
        </w:rPr>
        <w:t xml:space="preserve"> </w:t>
      </w:r>
      <w:r w:rsidR="00672DAF">
        <w:rPr>
          <w:rFonts w:ascii="Times New Roman" w:hAnsi="Times New Roman"/>
          <w:sz w:val="24"/>
          <w:szCs w:val="24"/>
        </w:rPr>
        <w:t>ciblées</w:t>
      </w:r>
      <w:r w:rsidR="00CA5563">
        <w:rPr>
          <w:rFonts w:ascii="Times New Roman" w:hAnsi="Times New Roman"/>
          <w:sz w:val="24"/>
          <w:szCs w:val="24"/>
        </w:rPr>
        <w:t xml:space="preserve"> tels que les filets sociaux</w:t>
      </w:r>
      <w:r w:rsidR="006E1EFE">
        <w:rPr>
          <w:rFonts w:ascii="Times New Roman" w:hAnsi="Times New Roman"/>
          <w:sz w:val="24"/>
          <w:szCs w:val="24"/>
        </w:rPr>
        <w:t>.</w:t>
      </w:r>
    </w:p>
    <w:p w:rsidR="00515E84" w:rsidRPr="00B04268" w:rsidRDefault="00515E84">
      <w:pPr>
        <w:spacing w:line="276" w:lineRule="auto"/>
        <w:rPr>
          <w:sz w:val="16"/>
          <w:szCs w:val="16"/>
        </w:rPr>
      </w:pPr>
    </w:p>
    <w:p w:rsidR="00515E84" w:rsidRDefault="00B97972">
      <w:pPr>
        <w:spacing w:line="276" w:lineRule="auto"/>
      </w:pPr>
      <w:r>
        <w:rPr>
          <w:rFonts w:ascii="Times New Roman" w:hAnsi="Times New Roman"/>
          <w:sz w:val="24"/>
          <w:szCs w:val="24"/>
        </w:rPr>
        <w:t>S</w:t>
      </w:r>
      <w:r w:rsidR="00B76D0A" w:rsidRPr="00B76D0A">
        <w:rPr>
          <w:rFonts w:ascii="Times New Roman" w:hAnsi="Times New Roman"/>
          <w:sz w:val="24"/>
          <w:szCs w:val="24"/>
        </w:rPr>
        <w:t>elon les résultats issus de l’étude sur la revue des filets sociaux</w:t>
      </w:r>
      <w:r w:rsidR="00BE1BEB">
        <w:rPr>
          <w:rStyle w:val="Appelnotedebasdep"/>
          <w:rFonts w:ascii="Times New Roman" w:hAnsi="Times New Roman"/>
          <w:sz w:val="24"/>
          <w:szCs w:val="24"/>
        </w:rPr>
        <w:footnoteReference w:id="33"/>
      </w:r>
      <w:r w:rsidR="00B76D0A" w:rsidRPr="00B76D0A">
        <w:rPr>
          <w:rFonts w:ascii="Times New Roman" w:hAnsi="Times New Roman"/>
          <w:sz w:val="24"/>
          <w:szCs w:val="24"/>
        </w:rPr>
        <w:t xml:space="preserve"> au Bénin</w:t>
      </w:r>
      <w:r w:rsidR="001A55A9">
        <w:rPr>
          <w:rFonts w:ascii="Times New Roman" w:hAnsi="Times New Roman"/>
          <w:sz w:val="24"/>
          <w:szCs w:val="24"/>
        </w:rPr>
        <w:t xml:space="preserve"> </w:t>
      </w:r>
      <w:r w:rsidR="00BE1BEB" w:rsidRPr="00A319DF">
        <w:rPr>
          <w:rFonts w:ascii="Times New Roman" w:hAnsi="Times New Roman"/>
          <w:sz w:val="24"/>
          <w:szCs w:val="24"/>
        </w:rPr>
        <w:t>(BM, 2010)</w:t>
      </w:r>
      <w:r w:rsidR="00A319DF">
        <w:rPr>
          <w:rFonts w:ascii="Times New Roman" w:hAnsi="Times New Roman"/>
          <w:sz w:val="24"/>
          <w:szCs w:val="24"/>
        </w:rPr>
        <w:t xml:space="preserve">, </w:t>
      </w:r>
      <w:r>
        <w:rPr>
          <w:rFonts w:ascii="Times New Roman" w:hAnsi="Times New Roman"/>
          <w:sz w:val="24"/>
          <w:szCs w:val="24"/>
        </w:rPr>
        <w:t>ces initiatives</w:t>
      </w:r>
      <w:r w:rsidR="00B76D0A" w:rsidRPr="00B76D0A">
        <w:rPr>
          <w:rFonts w:ascii="Times New Roman" w:hAnsi="Times New Roman"/>
          <w:sz w:val="24"/>
          <w:szCs w:val="24"/>
        </w:rPr>
        <w:t xml:space="preserve"> sont presque inexistant</w:t>
      </w:r>
      <w:r>
        <w:rPr>
          <w:rFonts w:ascii="Times New Roman" w:hAnsi="Times New Roman"/>
          <w:sz w:val="24"/>
          <w:szCs w:val="24"/>
        </w:rPr>
        <w:t>e</w:t>
      </w:r>
      <w:r w:rsidR="00B76D0A" w:rsidRPr="00B76D0A">
        <w:rPr>
          <w:rFonts w:ascii="Times New Roman" w:hAnsi="Times New Roman"/>
          <w:sz w:val="24"/>
          <w:szCs w:val="24"/>
        </w:rPr>
        <w:t>s et représentent une fraction minime du Budget de l'Etat</w:t>
      </w:r>
      <w:r w:rsidR="001A55A9">
        <w:rPr>
          <w:rFonts w:ascii="Times New Roman" w:hAnsi="Times New Roman"/>
          <w:sz w:val="24"/>
          <w:szCs w:val="24"/>
        </w:rPr>
        <w:t xml:space="preserve"> </w:t>
      </w:r>
      <w:r w:rsidR="00B76D0A" w:rsidRPr="00B76D0A">
        <w:rPr>
          <w:rFonts w:ascii="Times New Roman" w:hAnsi="Times New Roman"/>
          <w:sz w:val="24"/>
          <w:szCs w:val="24"/>
        </w:rPr>
        <w:t xml:space="preserve">Au cours des 5 dernières années, ils représentent, en moyenne environ 1,1% des dépenses générales du Budget de l'Etat, soit environ 0,3% du PIB. Les partenaires y </w:t>
      </w:r>
      <w:r w:rsidR="008E2A5F">
        <w:rPr>
          <w:rFonts w:ascii="Times New Roman" w:hAnsi="Times New Roman"/>
          <w:sz w:val="24"/>
          <w:szCs w:val="24"/>
        </w:rPr>
        <w:t>ont contribué</w:t>
      </w:r>
      <w:r w:rsidR="00B76D0A" w:rsidRPr="00B76D0A">
        <w:rPr>
          <w:rFonts w:ascii="Times New Roman" w:hAnsi="Times New Roman"/>
          <w:sz w:val="24"/>
          <w:szCs w:val="24"/>
        </w:rPr>
        <w:t xml:space="preserve"> à hauteur de 70% (équivalant à 0,7% du Budget de l'Etat). En termes de couverture, la proportion de personnes pauvres touchées par les programmes de filets sociaux est estimée à environ 5% de la population pauvre</w:t>
      </w:r>
      <w:r w:rsidR="00B777F1">
        <w:rPr>
          <w:rFonts w:ascii="Times New Roman" w:hAnsi="Times New Roman"/>
          <w:sz w:val="24"/>
          <w:szCs w:val="24"/>
        </w:rPr>
        <w:t xml:space="preserve">. </w:t>
      </w:r>
    </w:p>
    <w:p w:rsidR="00515E84" w:rsidRPr="00B04268" w:rsidRDefault="00515E84">
      <w:pPr>
        <w:spacing w:line="276" w:lineRule="auto"/>
        <w:rPr>
          <w:sz w:val="16"/>
          <w:szCs w:val="16"/>
        </w:rPr>
      </w:pPr>
    </w:p>
    <w:p w:rsidR="00515E84" w:rsidRDefault="00CA500B">
      <w:pPr>
        <w:spacing w:line="276" w:lineRule="auto"/>
        <w:rPr>
          <w:rFonts w:ascii="Times New Roman" w:hAnsi="Times New Roman"/>
        </w:rPr>
      </w:pPr>
      <w:r>
        <w:rPr>
          <w:rFonts w:ascii="Times New Roman" w:hAnsi="Times New Roman"/>
          <w:sz w:val="24"/>
          <w:szCs w:val="24"/>
        </w:rPr>
        <w:t xml:space="preserve">Avec la contribution de la Banque Mondiale, </w:t>
      </w:r>
      <w:r w:rsidR="00B76D0A" w:rsidRPr="00B76D0A">
        <w:rPr>
          <w:rFonts w:ascii="Times New Roman" w:hAnsi="Times New Roman"/>
          <w:sz w:val="24"/>
          <w:szCs w:val="24"/>
        </w:rPr>
        <w:t>un programme pilote de transferts en espèces au Bénin</w:t>
      </w:r>
      <w:r>
        <w:rPr>
          <w:rFonts w:ascii="Times New Roman" w:hAnsi="Times New Roman"/>
          <w:sz w:val="24"/>
          <w:szCs w:val="24"/>
        </w:rPr>
        <w:t xml:space="preserve"> est entrain d’être mise en œuvre dans le cadre du </w:t>
      </w:r>
      <w:r w:rsidR="00B76D0A" w:rsidRPr="00B76D0A">
        <w:rPr>
          <w:rFonts w:ascii="Times New Roman" w:hAnsi="Times New Roman"/>
          <w:sz w:val="24"/>
          <w:szCs w:val="24"/>
        </w:rPr>
        <w:t>Projet de Services Décentralisés Conduits par les C</w:t>
      </w:r>
      <w:r w:rsidR="00352271">
        <w:rPr>
          <w:rFonts w:ascii="Times New Roman" w:hAnsi="Times New Roman"/>
          <w:sz w:val="24"/>
          <w:szCs w:val="24"/>
        </w:rPr>
        <w:t>ommunautés (PSDCC)</w:t>
      </w:r>
      <w:r w:rsidR="00B76D0A" w:rsidRPr="00B76D0A">
        <w:rPr>
          <w:rFonts w:ascii="Times New Roman" w:hAnsi="Times New Roman"/>
          <w:sz w:val="24"/>
          <w:szCs w:val="24"/>
        </w:rPr>
        <w:t xml:space="preserve">. </w:t>
      </w:r>
      <w:r w:rsidR="00FC20E4">
        <w:rPr>
          <w:rFonts w:ascii="Times New Roman" w:hAnsi="Times New Roman"/>
          <w:sz w:val="24"/>
          <w:szCs w:val="24"/>
        </w:rPr>
        <w:t>Il vise à</w:t>
      </w:r>
      <w:r w:rsidR="00B76D0A" w:rsidRPr="00B76D0A">
        <w:rPr>
          <w:rFonts w:ascii="Times New Roman" w:hAnsi="Times New Roman"/>
          <w:sz w:val="24"/>
          <w:szCs w:val="24"/>
        </w:rPr>
        <w:t xml:space="preserve"> soutenir la consommation des ménages pauvres </w:t>
      </w:r>
      <w:r w:rsidR="005410DC">
        <w:rPr>
          <w:rFonts w:ascii="Times New Roman" w:hAnsi="Times New Roman"/>
          <w:sz w:val="24"/>
          <w:szCs w:val="24"/>
        </w:rPr>
        <w:t>alimentaires</w:t>
      </w:r>
      <w:r w:rsidR="00B76D0A" w:rsidRPr="00B76D0A">
        <w:rPr>
          <w:rFonts w:ascii="Times New Roman" w:hAnsi="Times New Roman"/>
          <w:sz w:val="24"/>
          <w:szCs w:val="24"/>
        </w:rPr>
        <w:t xml:space="preserve"> (pendant deux ans pour la phase initiale) et dans la phase ultérieure pendant le nombre d’années requis jusqu’à leur sortie du programme. Il comprend deux éléments à savoir : (i) les transferts monétaires non conditionnels versés à tous les ménages ciblés, et (ii) les travaux publics HIMO ciblant les mêmes ménages et fournissant une opportunité d'accès à un transfert additionnel pendant la période de soudure</w:t>
      </w:r>
      <w:r w:rsidR="00DD4C53">
        <w:rPr>
          <w:rStyle w:val="Appelnotedebasdep"/>
          <w:rFonts w:ascii="Times New Roman" w:hAnsi="Times New Roman"/>
          <w:sz w:val="24"/>
          <w:szCs w:val="24"/>
        </w:rPr>
        <w:footnoteReference w:id="34"/>
      </w:r>
      <w:r w:rsidR="00B76D0A" w:rsidRPr="00B76D0A">
        <w:rPr>
          <w:rFonts w:ascii="Times New Roman" w:hAnsi="Times New Roman"/>
          <w:sz w:val="24"/>
          <w:szCs w:val="24"/>
        </w:rPr>
        <w:t xml:space="preserve">. </w:t>
      </w:r>
      <w:r w:rsidR="008E2A5F">
        <w:rPr>
          <w:rFonts w:ascii="Times New Roman" w:hAnsi="Times New Roman"/>
          <w:sz w:val="24"/>
          <w:szCs w:val="24"/>
        </w:rPr>
        <w:t xml:space="preserve">En termes d’impact, ce projet </w:t>
      </w:r>
      <w:r w:rsidR="00B76D0A" w:rsidRPr="00B76D0A">
        <w:rPr>
          <w:rFonts w:ascii="Times New Roman" w:hAnsi="Times New Roman"/>
          <w:sz w:val="24"/>
          <w:szCs w:val="24"/>
        </w:rPr>
        <w:t xml:space="preserve">induirait </w:t>
      </w:r>
      <w:r w:rsidR="00BE1BEB">
        <w:rPr>
          <w:rFonts w:ascii="Times New Roman" w:hAnsi="Times New Roman"/>
          <w:sz w:val="24"/>
          <w:szCs w:val="24"/>
        </w:rPr>
        <w:t xml:space="preserve">globalement </w:t>
      </w:r>
      <w:r w:rsidR="00B76D0A" w:rsidRPr="00B76D0A">
        <w:rPr>
          <w:rFonts w:ascii="Times New Roman" w:hAnsi="Times New Roman"/>
          <w:sz w:val="24"/>
          <w:szCs w:val="24"/>
        </w:rPr>
        <w:t xml:space="preserve">une réduction de l’incidence </w:t>
      </w:r>
      <w:r w:rsidR="003D430D">
        <w:rPr>
          <w:rFonts w:ascii="Times New Roman" w:hAnsi="Times New Roman"/>
          <w:sz w:val="24"/>
          <w:szCs w:val="24"/>
        </w:rPr>
        <w:t>de la pauvreté de 7,44 points de pourcentage</w:t>
      </w:r>
      <w:r w:rsidR="00BE1BEB">
        <w:rPr>
          <w:rFonts w:ascii="Times New Roman" w:hAnsi="Times New Roman"/>
          <w:sz w:val="24"/>
          <w:szCs w:val="24"/>
        </w:rPr>
        <w:t xml:space="preserve">, de </w:t>
      </w:r>
      <w:r w:rsidR="003D430D">
        <w:rPr>
          <w:rFonts w:ascii="Times New Roman" w:hAnsi="Times New Roman"/>
          <w:sz w:val="24"/>
          <w:szCs w:val="24"/>
        </w:rPr>
        <w:t>2,1</w:t>
      </w:r>
      <w:r w:rsidR="00B76D0A" w:rsidRPr="00B76D0A">
        <w:rPr>
          <w:rFonts w:ascii="Times New Roman" w:hAnsi="Times New Roman"/>
          <w:sz w:val="24"/>
          <w:szCs w:val="24"/>
        </w:rPr>
        <w:t>% pour la profondeu</w:t>
      </w:r>
      <w:r w:rsidR="00BE1BEB">
        <w:rPr>
          <w:rFonts w:ascii="Times New Roman" w:hAnsi="Times New Roman"/>
          <w:sz w:val="24"/>
          <w:szCs w:val="24"/>
        </w:rPr>
        <w:t xml:space="preserve">r et </w:t>
      </w:r>
      <w:r w:rsidR="003D430D">
        <w:rPr>
          <w:rFonts w:ascii="Times New Roman" w:hAnsi="Times New Roman"/>
          <w:sz w:val="24"/>
          <w:szCs w:val="24"/>
        </w:rPr>
        <w:t>0,8</w:t>
      </w:r>
      <w:r w:rsidR="003D430D" w:rsidRPr="003D430D">
        <w:rPr>
          <w:rFonts w:ascii="Times New Roman" w:hAnsi="Times New Roman"/>
          <w:sz w:val="24"/>
          <w:szCs w:val="24"/>
        </w:rPr>
        <w:t>%</w:t>
      </w:r>
      <w:r w:rsidR="00517225">
        <w:rPr>
          <w:rFonts w:ascii="Times New Roman" w:hAnsi="Times New Roman"/>
          <w:sz w:val="24"/>
          <w:szCs w:val="24"/>
        </w:rPr>
        <w:t xml:space="preserve"> </w:t>
      </w:r>
      <w:r w:rsidR="00BE1BEB">
        <w:rPr>
          <w:rFonts w:ascii="Times New Roman" w:hAnsi="Times New Roman"/>
          <w:sz w:val="24"/>
          <w:szCs w:val="24"/>
        </w:rPr>
        <w:t xml:space="preserve">pour </w:t>
      </w:r>
      <w:r w:rsidR="00B76D0A" w:rsidRPr="00B76D0A">
        <w:rPr>
          <w:rFonts w:ascii="Times New Roman" w:hAnsi="Times New Roman"/>
          <w:sz w:val="24"/>
          <w:szCs w:val="24"/>
        </w:rPr>
        <w:t>l’inégalité globale mesurée à travers l’ind</w:t>
      </w:r>
      <w:r w:rsidR="003D430D">
        <w:rPr>
          <w:rFonts w:ascii="Times New Roman" w:hAnsi="Times New Roman"/>
          <w:sz w:val="24"/>
          <w:szCs w:val="24"/>
        </w:rPr>
        <w:t>ice de Gini.</w:t>
      </w:r>
    </w:p>
    <w:p w:rsidR="00515E84" w:rsidRPr="00B04268" w:rsidRDefault="00515E84">
      <w:pPr>
        <w:spacing w:line="276" w:lineRule="auto"/>
        <w:rPr>
          <w:sz w:val="16"/>
          <w:szCs w:val="16"/>
        </w:rPr>
      </w:pPr>
    </w:p>
    <w:p w:rsidR="00E01173" w:rsidRDefault="00B76D0A" w:rsidP="003740B0">
      <w:pPr>
        <w:spacing w:line="276" w:lineRule="auto"/>
        <w:rPr>
          <w:rFonts w:ascii="Times New Roman" w:hAnsi="Times New Roman"/>
          <w:sz w:val="24"/>
          <w:szCs w:val="24"/>
        </w:rPr>
      </w:pPr>
      <w:r w:rsidRPr="00B76D0A">
        <w:rPr>
          <w:rFonts w:ascii="Times New Roman" w:hAnsi="Times New Roman"/>
          <w:b/>
          <w:sz w:val="24"/>
          <w:szCs w:val="24"/>
        </w:rPr>
        <w:t xml:space="preserve">L’analyse des formes de pauvreté selon le milieu de résidence </w:t>
      </w:r>
      <w:r w:rsidR="00F00441">
        <w:rPr>
          <w:rFonts w:ascii="Times New Roman" w:hAnsi="Times New Roman"/>
          <w:b/>
          <w:sz w:val="24"/>
          <w:szCs w:val="24"/>
        </w:rPr>
        <w:t>confirme</w:t>
      </w:r>
      <w:r w:rsidRPr="00B76D0A">
        <w:rPr>
          <w:rFonts w:ascii="Times New Roman" w:hAnsi="Times New Roman"/>
          <w:b/>
          <w:sz w:val="24"/>
          <w:szCs w:val="24"/>
        </w:rPr>
        <w:t xml:space="preserve"> la </w:t>
      </w:r>
      <w:r w:rsidR="00E119DA">
        <w:rPr>
          <w:rFonts w:ascii="Times New Roman" w:hAnsi="Times New Roman"/>
          <w:b/>
          <w:sz w:val="24"/>
          <w:szCs w:val="24"/>
        </w:rPr>
        <w:t xml:space="preserve">prédominance de la </w:t>
      </w:r>
      <w:r w:rsidRPr="00B76D0A">
        <w:rPr>
          <w:rFonts w:ascii="Times New Roman" w:hAnsi="Times New Roman"/>
          <w:b/>
          <w:sz w:val="24"/>
          <w:szCs w:val="24"/>
        </w:rPr>
        <w:t>pauvreté temporaire</w:t>
      </w:r>
      <w:r w:rsidR="00F00441">
        <w:rPr>
          <w:rFonts w:ascii="Times New Roman" w:hAnsi="Times New Roman"/>
          <w:b/>
          <w:sz w:val="24"/>
          <w:szCs w:val="24"/>
        </w:rPr>
        <w:t xml:space="preserve">. Elle révèle </w:t>
      </w:r>
      <w:r w:rsidR="00264F4D">
        <w:rPr>
          <w:rFonts w:ascii="Times New Roman" w:hAnsi="Times New Roman"/>
          <w:b/>
          <w:sz w:val="24"/>
          <w:szCs w:val="24"/>
        </w:rPr>
        <w:t xml:space="preserve">aussi la pauvreté temporaire </w:t>
      </w:r>
      <w:r w:rsidR="00F00441">
        <w:rPr>
          <w:rFonts w:ascii="Times New Roman" w:hAnsi="Times New Roman"/>
          <w:b/>
          <w:sz w:val="24"/>
          <w:szCs w:val="24"/>
        </w:rPr>
        <w:t xml:space="preserve">est plus importante </w:t>
      </w:r>
      <w:r w:rsidRPr="00B76D0A">
        <w:rPr>
          <w:rFonts w:ascii="Times New Roman" w:hAnsi="Times New Roman"/>
          <w:b/>
          <w:sz w:val="24"/>
          <w:szCs w:val="24"/>
        </w:rPr>
        <w:t>en milieu rural qu’en milieu urbain</w:t>
      </w:r>
      <w:r w:rsidR="003740B0" w:rsidRPr="007B43D0">
        <w:rPr>
          <w:rFonts w:ascii="Times New Roman" w:hAnsi="Times New Roman"/>
          <w:sz w:val="24"/>
          <w:szCs w:val="24"/>
        </w:rPr>
        <w:t xml:space="preserve">. </w:t>
      </w:r>
      <w:r w:rsidR="00672DAF">
        <w:rPr>
          <w:rFonts w:ascii="Times New Roman" w:hAnsi="Times New Roman"/>
          <w:sz w:val="24"/>
          <w:szCs w:val="24"/>
        </w:rPr>
        <w:t>En effet, l</w:t>
      </w:r>
      <w:r w:rsidR="003740B0" w:rsidRPr="007B43D0">
        <w:rPr>
          <w:rFonts w:ascii="Times New Roman" w:hAnsi="Times New Roman"/>
          <w:sz w:val="24"/>
          <w:szCs w:val="24"/>
        </w:rPr>
        <w:t xml:space="preserve">a pauvreté temporaire </w:t>
      </w:r>
      <w:r w:rsidR="00A860D7">
        <w:rPr>
          <w:rFonts w:ascii="Times New Roman" w:hAnsi="Times New Roman"/>
          <w:sz w:val="24"/>
          <w:szCs w:val="24"/>
        </w:rPr>
        <w:t>touche</w:t>
      </w:r>
      <w:r w:rsidR="001528C2">
        <w:rPr>
          <w:rFonts w:ascii="Times New Roman" w:hAnsi="Times New Roman"/>
          <w:sz w:val="24"/>
          <w:szCs w:val="24"/>
        </w:rPr>
        <w:t xml:space="preserve"> </w:t>
      </w:r>
      <w:r w:rsidR="003740B0" w:rsidRPr="007B43D0">
        <w:rPr>
          <w:rFonts w:ascii="Times New Roman" w:hAnsi="Times New Roman"/>
          <w:sz w:val="24"/>
          <w:szCs w:val="24"/>
        </w:rPr>
        <w:t>42,8%</w:t>
      </w:r>
      <w:r w:rsidR="008F01E0">
        <w:rPr>
          <w:rFonts w:ascii="Times New Roman" w:hAnsi="Times New Roman"/>
          <w:sz w:val="24"/>
          <w:szCs w:val="24"/>
        </w:rPr>
        <w:t xml:space="preserve"> (23,67% pour les entrées contre 19,17% pour les sorties)</w:t>
      </w:r>
      <w:r w:rsidR="003740B0" w:rsidRPr="007B43D0">
        <w:rPr>
          <w:rFonts w:ascii="Times New Roman" w:hAnsi="Times New Roman"/>
          <w:sz w:val="24"/>
          <w:szCs w:val="24"/>
        </w:rPr>
        <w:t xml:space="preserve"> des individus en milieu rural </w:t>
      </w:r>
      <w:r w:rsidR="008F01E0">
        <w:rPr>
          <w:rFonts w:ascii="Times New Roman" w:hAnsi="Times New Roman"/>
          <w:sz w:val="24"/>
          <w:szCs w:val="24"/>
        </w:rPr>
        <w:t>contre</w:t>
      </w:r>
      <w:r w:rsidR="003740B0" w:rsidRPr="007B43D0">
        <w:rPr>
          <w:rFonts w:ascii="Times New Roman" w:hAnsi="Times New Roman"/>
          <w:sz w:val="24"/>
          <w:szCs w:val="24"/>
        </w:rPr>
        <w:t xml:space="preserve"> 37,6% </w:t>
      </w:r>
      <w:r w:rsidR="008F01E0">
        <w:rPr>
          <w:rFonts w:ascii="Times New Roman" w:hAnsi="Times New Roman"/>
          <w:sz w:val="24"/>
          <w:szCs w:val="24"/>
        </w:rPr>
        <w:t xml:space="preserve"> (19,26% pour les entrées contre 18,37% pour les sorties) </w:t>
      </w:r>
      <w:r w:rsidR="003740B0" w:rsidRPr="007B43D0">
        <w:rPr>
          <w:rFonts w:ascii="Times New Roman" w:hAnsi="Times New Roman"/>
          <w:sz w:val="24"/>
          <w:szCs w:val="24"/>
        </w:rPr>
        <w:t xml:space="preserve">en milieu urbain. 15,0% des individus sont demeurés toujours pauvres en milieu urbain </w:t>
      </w:r>
      <w:r w:rsidR="000E1373">
        <w:rPr>
          <w:rFonts w:ascii="Times New Roman" w:hAnsi="Times New Roman"/>
          <w:sz w:val="24"/>
          <w:szCs w:val="24"/>
        </w:rPr>
        <w:t xml:space="preserve">contre </w:t>
      </w:r>
      <w:r w:rsidR="003740B0" w:rsidRPr="007B43D0">
        <w:rPr>
          <w:rFonts w:ascii="Times New Roman" w:hAnsi="Times New Roman"/>
          <w:sz w:val="24"/>
          <w:szCs w:val="24"/>
        </w:rPr>
        <w:t>15,6% en milieu rural. L’analyse révèle donc que</w:t>
      </w:r>
      <w:r w:rsidR="000E1373">
        <w:rPr>
          <w:rFonts w:ascii="Times New Roman" w:hAnsi="Times New Roman"/>
          <w:sz w:val="24"/>
          <w:szCs w:val="24"/>
        </w:rPr>
        <w:t xml:space="preserve"> la pauvreté permanente touche autant le milieu urbain que le milieu rural. </w:t>
      </w:r>
    </w:p>
    <w:p w:rsidR="000E1373" w:rsidRPr="00B04268" w:rsidRDefault="000E1373" w:rsidP="003740B0">
      <w:pPr>
        <w:spacing w:line="276" w:lineRule="auto"/>
        <w:rPr>
          <w:rFonts w:ascii="Times New Roman" w:hAnsi="Times New Roman"/>
          <w:sz w:val="16"/>
          <w:szCs w:val="16"/>
        </w:rPr>
      </w:pPr>
    </w:p>
    <w:p w:rsidR="00E01173" w:rsidRDefault="00B76D0A" w:rsidP="003740B0">
      <w:pPr>
        <w:spacing w:line="276" w:lineRule="auto"/>
        <w:rPr>
          <w:rFonts w:ascii="Times New Roman" w:eastAsia="Arial Unicode MS" w:hAnsi="Times New Roman"/>
          <w:sz w:val="24"/>
          <w:szCs w:val="24"/>
        </w:rPr>
      </w:pPr>
      <w:r w:rsidRPr="00B76D0A">
        <w:rPr>
          <w:rFonts w:ascii="Times New Roman" w:hAnsi="Times New Roman"/>
          <w:b/>
          <w:sz w:val="24"/>
          <w:szCs w:val="24"/>
        </w:rPr>
        <w:t>L’analyse selon les départements montre que la pauvreté dans les départements de l’Alibori (50,4%), des Collines (45,3%), de l’Atacora (43,8%), de l’Atlantique (42,7%), de la Donga (42,5%), du Couffo (41,6%) et du Zou (40,7%) s’apparente principalement à une pauvreté temporaire</w:t>
      </w:r>
      <w:r w:rsidR="00785813">
        <w:rPr>
          <w:rFonts w:ascii="Times New Roman" w:hAnsi="Times New Roman"/>
          <w:b/>
          <w:sz w:val="24"/>
          <w:szCs w:val="24"/>
        </w:rPr>
        <w:t xml:space="preserve">. </w:t>
      </w:r>
      <w:r w:rsidR="003740B0" w:rsidRPr="007B43D0">
        <w:rPr>
          <w:rFonts w:ascii="Times New Roman" w:hAnsi="Times New Roman"/>
          <w:sz w:val="24"/>
          <w:szCs w:val="24"/>
        </w:rPr>
        <w:t xml:space="preserve">Dans les départements du Littoral (33,2%) et du Plateau (35,3%), le risque de pauvreté temporaire est moins important. Quant à la pauvreté persistante, elle se matérialise plus dans les départements du Couffo (21,5%) et du Mono (21,5) où environ une personne sur cinq est dans la pauvreté persistante. </w:t>
      </w:r>
      <w:r w:rsidR="00785813">
        <w:rPr>
          <w:rFonts w:ascii="Times New Roman" w:hAnsi="Times New Roman"/>
          <w:sz w:val="24"/>
          <w:szCs w:val="24"/>
        </w:rPr>
        <w:t xml:space="preserve">Les facteurs exogènes tels que les inondations et </w:t>
      </w:r>
      <w:r w:rsidR="00785813" w:rsidRPr="0080751B">
        <w:rPr>
          <w:rFonts w:ascii="Times New Roman" w:eastAsia="Arial Unicode MS" w:hAnsi="Times New Roman"/>
          <w:sz w:val="24"/>
          <w:szCs w:val="24"/>
        </w:rPr>
        <w:t xml:space="preserve">la crise survenue sur la gestion </w:t>
      </w:r>
      <w:r w:rsidR="00785813" w:rsidRPr="0080751B">
        <w:rPr>
          <w:rFonts w:ascii="Times New Roman" w:hAnsi="Times New Roman"/>
          <w:sz w:val="24"/>
          <w:szCs w:val="24"/>
        </w:rPr>
        <w:t>des structures illégales de placement (</w:t>
      </w:r>
      <w:r w:rsidR="00785813" w:rsidRPr="0080751B">
        <w:rPr>
          <w:rFonts w:ascii="Times New Roman" w:eastAsia="Arial Unicode MS" w:hAnsi="Times New Roman"/>
          <w:sz w:val="24"/>
          <w:szCs w:val="24"/>
        </w:rPr>
        <w:t>ICC et consort) en 2010</w:t>
      </w:r>
      <w:r w:rsidR="00517225">
        <w:rPr>
          <w:rFonts w:ascii="Times New Roman" w:eastAsia="Arial Unicode MS" w:hAnsi="Times New Roman"/>
          <w:sz w:val="24"/>
          <w:szCs w:val="24"/>
        </w:rPr>
        <w:t xml:space="preserve"> </w:t>
      </w:r>
      <w:r w:rsidR="002856B9">
        <w:rPr>
          <w:rFonts w:ascii="Times New Roman" w:eastAsia="Arial Unicode MS" w:hAnsi="Times New Roman"/>
          <w:sz w:val="24"/>
          <w:szCs w:val="24"/>
        </w:rPr>
        <w:t>semblent contribuer</w:t>
      </w:r>
      <w:r w:rsidR="00517225">
        <w:rPr>
          <w:rFonts w:ascii="Times New Roman" w:eastAsia="Arial Unicode MS" w:hAnsi="Times New Roman"/>
          <w:sz w:val="24"/>
          <w:szCs w:val="24"/>
        </w:rPr>
        <w:t xml:space="preserve"> </w:t>
      </w:r>
      <w:r w:rsidR="002856B9">
        <w:rPr>
          <w:rFonts w:ascii="Times New Roman" w:eastAsia="Arial Unicode MS" w:hAnsi="Times New Roman"/>
          <w:sz w:val="24"/>
          <w:szCs w:val="24"/>
        </w:rPr>
        <w:t xml:space="preserve">à </w:t>
      </w:r>
      <w:r w:rsidR="00B32AB2">
        <w:rPr>
          <w:rFonts w:ascii="Times New Roman" w:eastAsia="Arial Unicode MS" w:hAnsi="Times New Roman"/>
          <w:sz w:val="24"/>
          <w:szCs w:val="24"/>
        </w:rPr>
        <w:t xml:space="preserve">cette </w:t>
      </w:r>
      <w:r w:rsidR="00785813">
        <w:rPr>
          <w:rFonts w:ascii="Times New Roman" w:eastAsia="Arial Unicode MS" w:hAnsi="Times New Roman"/>
          <w:sz w:val="24"/>
          <w:szCs w:val="24"/>
        </w:rPr>
        <w:t>forte prévalence de la pauvreté temporaire.</w:t>
      </w:r>
    </w:p>
    <w:p w:rsidR="001F0BEC" w:rsidRPr="00B04268" w:rsidRDefault="001F0BEC" w:rsidP="001F0BEC">
      <w:pPr>
        <w:spacing w:line="276" w:lineRule="auto"/>
        <w:rPr>
          <w:rFonts w:ascii="Times New Roman" w:hAnsi="Times New Roman"/>
          <w:b/>
          <w:sz w:val="16"/>
          <w:szCs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1F0BEC" w:rsidRPr="00757E9E" w:rsidTr="003E6F2A">
        <w:trPr>
          <w:trHeight w:val="347"/>
        </w:trPr>
        <w:tc>
          <w:tcPr>
            <w:tcW w:w="9288" w:type="dxa"/>
            <w:shd w:val="clear" w:color="auto" w:fill="92CDDC" w:themeFill="accent5" w:themeFillTint="99"/>
          </w:tcPr>
          <w:p w:rsidR="001F0BEC" w:rsidRPr="00757E9E" w:rsidRDefault="001F0BEC" w:rsidP="00D60CFD">
            <w:pPr>
              <w:pStyle w:val="Lgende"/>
              <w:framePr w:wrap="around"/>
            </w:pPr>
            <w:bookmarkStart w:id="48" w:name="_Toc373430610"/>
            <w:r w:rsidRPr="00757E9E">
              <w:t>Graphique 1.</w:t>
            </w:r>
            <w:r w:rsidR="004F064D">
              <w:fldChar w:fldCharType="begin"/>
            </w:r>
            <w:r w:rsidR="004F064D">
              <w:instrText xml:space="preserve"> SEQ Graphique_2. \* ARABIC </w:instrText>
            </w:r>
            <w:r w:rsidR="004F064D">
              <w:fldChar w:fldCharType="separate"/>
            </w:r>
            <w:r w:rsidR="00AB1967">
              <w:rPr>
                <w:noProof/>
              </w:rPr>
              <w:t>8</w:t>
            </w:r>
            <w:r w:rsidR="004F064D">
              <w:rPr>
                <w:noProof/>
              </w:rPr>
              <w:fldChar w:fldCharType="end"/>
            </w:r>
            <w:r w:rsidR="00832112" w:rsidRPr="00832112">
              <w:t>: Incidence de la pauvreté persistante selon les départements</w:t>
            </w:r>
            <w:bookmarkEnd w:id="48"/>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1F0BEC" w:rsidTr="003E6F2A">
        <w:tc>
          <w:tcPr>
            <w:tcW w:w="9288" w:type="dxa"/>
            <w:shd w:val="clear" w:color="auto" w:fill="DAEEF3" w:themeFill="accent5" w:themeFillTint="33"/>
          </w:tcPr>
          <w:p w:rsidR="001F0BEC" w:rsidRDefault="001F0BEC" w:rsidP="003E6F2A">
            <w:pPr>
              <w:spacing w:before="120" w:after="120" w:line="240" w:lineRule="auto"/>
              <w:ind w:left="-57"/>
              <w:jc w:val="center"/>
            </w:pPr>
            <w:r w:rsidRPr="00BA3D42">
              <w:rPr>
                <w:noProof/>
                <w:lang w:eastAsia="fr-FR"/>
              </w:rPr>
              <w:drawing>
                <wp:inline distT="0" distB="0" distL="0" distR="0" wp14:anchorId="23C00749" wp14:editId="18E439A3">
                  <wp:extent cx="5710418" cy="2465407"/>
                  <wp:effectExtent l="19050" t="0" r="23632" b="0"/>
                  <wp:docPr id="38"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1F0BEC" w:rsidRPr="00E16B3C" w:rsidTr="003E6F2A">
        <w:tc>
          <w:tcPr>
            <w:tcW w:w="9288" w:type="dxa"/>
            <w:shd w:val="clear" w:color="auto" w:fill="DAEEF3" w:themeFill="accent5" w:themeFillTint="33"/>
          </w:tcPr>
          <w:p w:rsidR="001F0BEC" w:rsidRPr="00E16B3C" w:rsidRDefault="001F0BEC" w:rsidP="003E6F2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2009)</w:t>
            </w:r>
          </w:p>
        </w:tc>
      </w:tr>
    </w:tbl>
    <w:p w:rsidR="001F0BEC" w:rsidRPr="00BA3D42" w:rsidRDefault="001F0BEC" w:rsidP="001F0BEC"/>
    <w:p w:rsidR="00273A58" w:rsidRDefault="00273A58" w:rsidP="00273A58">
      <w:pPr>
        <w:spacing w:line="276" w:lineRule="auto"/>
        <w:rPr>
          <w:rFonts w:ascii="Times New Roman" w:hAnsi="Times New Roman"/>
          <w:sz w:val="24"/>
          <w:szCs w:val="24"/>
        </w:rPr>
      </w:pPr>
      <w:r w:rsidRPr="00B76D0A">
        <w:rPr>
          <w:rFonts w:ascii="Times New Roman" w:hAnsi="Times New Roman"/>
          <w:b/>
          <w:sz w:val="24"/>
          <w:szCs w:val="24"/>
        </w:rPr>
        <w:t>Les pauvretés temporaire et permanente caractérisent davantage les ménages dirigés par des hommes que dans ceux dirigés par des femmes</w:t>
      </w:r>
      <w:r w:rsidRPr="007B43D0">
        <w:rPr>
          <w:rFonts w:ascii="Times New Roman" w:hAnsi="Times New Roman"/>
          <w:sz w:val="24"/>
          <w:szCs w:val="24"/>
        </w:rPr>
        <w:t>. En effet, 42,1% des individus vivant dans les ménages dirigés par des hommes sont en situation de pauvreté temporaire contre 36,1% pour ceux vivant dans les ménages dirigés par des femmes.</w:t>
      </w:r>
      <w:r>
        <w:rPr>
          <w:rFonts w:ascii="Times New Roman" w:hAnsi="Times New Roman"/>
          <w:sz w:val="24"/>
          <w:szCs w:val="24"/>
        </w:rPr>
        <w:t xml:space="preserve"> En ce qui concerne la pauvreté persistante, la proportion est de </w:t>
      </w:r>
      <w:r>
        <w:rPr>
          <w:rFonts w:ascii="Times New Roman" w:hAnsi="Times New Roman"/>
          <w:sz w:val="24"/>
          <w:szCs w:val="24"/>
        </w:rPr>
        <w:tab/>
        <w:t>15,63% pour les ménages dirigés par des hommes contre 14,32% pour ceux dirigés par des femmes.</w:t>
      </w:r>
    </w:p>
    <w:p w:rsidR="00161CFF" w:rsidRDefault="00161CFF" w:rsidP="00273A58">
      <w:pPr>
        <w:spacing w:line="276" w:lineRule="auto"/>
        <w:rPr>
          <w:rFonts w:ascii="Times New Roman" w:hAnsi="Times New Roman"/>
          <w:b/>
          <w:sz w:val="24"/>
          <w:szCs w:val="24"/>
        </w:rPr>
      </w:pPr>
    </w:p>
    <w:p w:rsidR="00161CFF" w:rsidRDefault="00161CFF" w:rsidP="00273A58">
      <w:pPr>
        <w:spacing w:line="276" w:lineRule="auto"/>
        <w:rPr>
          <w:rFonts w:ascii="Times New Roman" w:hAnsi="Times New Roman"/>
          <w:b/>
          <w:sz w:val="24"/>
          <w:szCs w:val="24"/>
        </w:rPr>
      </w:pPr>
    </w:p>
    <w:p w:rsidR="00E16911" w:rsidRDefault="00E16911" w:rsidP="00273A58">
      <w:pPr>
        <w:spacing w:line="276" w:lineRule="auto"/>
        <w:rPr>
          <w:rFonts w:ascii="Times New Roman" w:hAnsi="Times New Roman"/>
          <w:b/>
          <w:sz w:val="24"/>
          <w:szCs w:val="24"/>
        </w:rPr>
      </w:pPr>
    </w:p>
    <w:p w:rsidR="00E16911" w:rsidRDefault="00E16911" w:rsidP="00273A58">
      <w:pPr>
        <w:spacing w:line="276" w:lineRule="auto"/>
        <w:rPr>
          <w:rFonts w:ascii="Times New Roman" w:hAnsi="Times New Roman"/>
          <w:b/>
          <w:sz w:val="24"/>
          <w:szCs w:val="24"/>
        </w:rPr>
        <w:sectPr w:rsidR="00E16911" w:rsidSect="00AE15F2">
          <w:headerReference w:type="default" r:id="rId32"/>
          <w:footerReference w:type="default" r:id="rId33"/>
          <w:pgSz w:w="11906" w:h="16838"/>
          <w:pgMar w:top="1073" w:right="1417" w:bottom="1417" w:left="1417" w:header="284" w:footer="708" w:gutter="0"/>
          <w:cols w:space="708"/>
          <w:docGrid w:linePitch="360"/>
        </w:sectPr>
      </w:pPr>
    </w:p>
    <w:p w:rsidR="00E16911" w:rsidRPr="003644A5" w:rsidRDefault="00E16911" w:rsidP="003644A5">
      <w:pPr>
        <w:spacing w:line="240" w:lineRule="auto"/>
        <w:jc w:val="left"/>
        <w:rPr>
          <w:rFonts w:ascii="Times New Roman" w:hAnsi="Times New Roman"/>
          <w:b/>
          <w:sz w:val="12"/>
          <w:szCs w:val="12"/>
        </w:rPr>
      </w:pPr>
    </w:p>
    <w:tbl>
      <w:tblPr>
        <w:tblStyle w:val="Grilledutableau"/>
        <w:tblpPr w:leftFromText="141" w:rightFromText="141" w:vertAnchor="text" w:horzAnchor="margin" w:tblpXSpec="center" w:tblpY="228"/>
        <w:tblW w:w="15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3827"/>
        <w:gridCol w:w="3827"/>
        <w:gridCol w:w="3826"/>
      </w:tblGrid>
      <w:tr w:rsidR="008D7E1B" w:rsidRPr="00D60CFD" w:rsidTr="00AD715F">
        <w:trPr>
          <w:trHeight w:val="351"/>
        </w:trPr>
        <w:tc>
          <w:tcPr>
            <w:tcW w:w="15274" w:type="dxa"/>
            <w:gridSpan w:val="4"/>
            <w:shd w:val="clear" w:color="auto" w:fill="92CDDC" w:themeFill="accent5" w:themeFillTint="99"/>
          </w:tcPr>
          <w:p w:rsidR="008D7E1B" w:rsidRPr="00D60CFD" w:rsidRDefault="008D7E1B" w:rsidP="00AD715F">
            <w:pPr>
              <w:pStyle w:val="Lgende"/>
              <w:framePr w:hSpace="0" w:wrap="auto" w:vAnchor="margin" w:hAnchor="text" w:xAlign="left" w:yAlign="inline"/>
            </w:pPr>
            <w:bookmarkStart w:id="49" w:name="_Toc382043300"/>
            <w:r w:rsidRPr="00D60CFD">
              <w:t>Figure 1.</w:t>
            </w:r>
            <w:r w:rsidR="00182C97">
              <w:fldChar w:fldCharType="begin"/>
            </w:r>
            <w:r>
              <w:instrText xml:space="preserve"> SEQ Figure_2. \* ARABIC </w:instrText>
            </w:r>
            <w:r w:rsidR="00182C97">
              <w:fldChar w:fldCharType="separate"/>
            </w:r>
            <w:r w:rsidR="00AB1967">
              <w:rPr>
                <w:noProof/>
              </w:rPr>
              <w:t>1</w:t>
            </w:r>
            <w:r w:rsidR="00182C97">
              <w:fldChar w:fldCharType="end"/>
            </w:r>
            <w:r w:rsidRPr="00D60CFD">
              <w:t> : Carte des incidences de transition dans la pauvreté</w:t>
            </w:r>
            <w:bookmarkEnd w:id="49"/>
          </w:p>
        </w:tc>
      </w:tr>
      <w:tr w:rsidR="008D7E1B" w:rsidRPr="00D60CFD" w:rsidTr="00AD715F">
        <w:trPr>
          <w:trHeight w:val="351"/>
        </w:trPr>
        <w:tc>
          <w:tcPr>
            <w:tcW w:w="3794" w:type="dxa"/>
            <w:shd w:val="clear" w:color="auto" w:fill="B6DDE8" w:themeFill="accent5" w:themeFillTint="66"/>
          </w:tcPr>
          <w:p w:rsidR="008D7E1B" w:rsidRPr="00D60CFD" w:rsidRDefault="008D7E1B" w:rsidP="00AD715F">
            <w:pPr>
              <w:pStyle w:val="Lgende"/>
              <w:framePr w:hSpace="0" w:wrap="auto" w:vAnchor="margin" w:hAnchor="text" w:xAlign="left" w:yAlign="inline"/>
              <w:jc w:val="center"/>
            </w:pPr>
            <w:r w:rsidRPr="00D60CFD">
              <w:t>Jamais pauvre</w:t>
            </w:r>
          </w:p>
        </w:tc>
        <w:tc>
          <w:tcPr>
            <w:tcW w:w="3827" w:type="dxa"/>
            <w:shd w:val="clear" w:color="auto" w:fill="B6DDE8" w:themeFill="accent5" w:themeFillTint="66"/>
          </w:tcPr>
          <w:p w:rsidR="008D7E1B" w:rsidRPr="00D60CFD" w:rsidRDefault="008D7E1B" w:rsidP="00AD715F">
            <w:pPr>
              <w:spacing w:line="240" w:lineRule="auto"/>
              <w:jc w:val="center"/>
              <w:rPr>
                <w:rFonts w:ascii="Times New Roman" w:hAnsi="Times New Roman"/>
                <w:sz w:val="24"/>
                <w:szCs w:val="24"/>
              </w:rPr>
            </w:pPr>
            <w:r w:rsidRPr="00D60CFD">
              <w:rPr>
                <w:rFonts w:ascii="Times New Roman" w:hAnsi="Times New Roman"/>
                <w:sz w:val="24"/>
                <w:szCs w:val="24"/>
              </w:rPr>
              <w:t>Entrée dans la pauvreté</w:t>
            </w:r>
          </w:p>
        </w:tc>
        <w:tc>
          <w:tcPr>
            <w:tcW w:w="3827" w:type="dxa"/>
            <w:shd w:val="clear" w:color="auto" w:fill="B6DDE8" w:themeFill="accent5" w:themeFillTint="66"/>
          </w:tcPr>
          <w:p w:rsidR="008D7E1B" w:rsidRPr="00D60CFD" w:rsidRDefault="008D7E1B" w:rsidP="00AD715F">
            <w:pPr>
              <w:spacing w:line="240" w:lineRule="auto"/>
              <w:jc w:val="center"/>
              <w:rPr>
                <w:rFonts w:ascii="Times New Roman" w:hAnsi="Times New Roman"/>
                <w:sz w:val="24"/>
                <w:szCs w:val="24"/>
              </w:rPr>
            </w:pPr>
            <w:r w:rsidRPr="00D60CFD">
              <w:rPr>
                <w:rFonts w:ascii="Times New Roman" w:hAnsi="Times New Roman"/>
                <w:sz w:val="24"/>
                <w:szCs w:val="24"/>
              </w:rPr>
              <w:t>Sortie de la pauvreté</w:t>
            </w:r>
          </w:p>
        </w:tc>
        <w:tc>
          <w:tcPr>
            <w:tcW w:w="3826" w:type="dxa"/>
            <w:shd w:val="clear" w:color="auto" w:fill="B6DDE8" w:themeFill="accent5" w:themeFillTint="66"/>
          </w:tcPr>
          <w:p w:rsidR="008D7E1B" w:rsidRPr="00D60CFD" w:rsidRDefault="008D7E1B" w:rsidP="00AD715F">
            <w:pPr>
              <w:spacing w:line="240" w:lineRule="auto"/>
              <w:jc w:val="center"/>
              <w:rPr>
                <w:rFonts w:ascii="Times New Roman" w:hAnsi="Times New Roman"/>
                <w:sz w:val="24"/>
                <w:szCs w:val="24"/>
              </w:rPr>
            </w:pPr>
            <w:r w:rsidRPr="00D60CFD">
              <w:rPr>
                <w:rFonts w:ascii="Times New Roman" w:hAnsi="Times New Roman"/>
                <w:sz w:val="24"/>
                <w:szCs w:val="24"/>
              </w:rPr>
              <w:t>Toujours pauvre</w:t>
            </w:r>
          </w:p>
        </w:tc>
      </w:tr>
      <w:tr w:rsidR="008D7E1B" w:rsidRPr="00757E9E" w:rsidTr="00AD715F">
        <w:trPr>
          <w:trHeight w:val="351"/>
        </w:trPr>
        <w:tc>
          <w:tcPr>
            <w:tcW w:w="3794" w:type="dxa"/>
            <w:shd w:val="clear" w:color="auto" w:fill="B6DDE8" w:themeFill="accent5" w:themeFillTint="66"/>
          </w:tcPr>
          <w:p w:rsidR="008D7E1B" w:rsidRPr="008E034A" w:rsidRDefault="008D7E1B" w:rsidP="00AD715F">
            <w:r w:rsidRPr="005C34B1">
              <w:rPr>
                <w:noProof/>
                <w:lang w:eastAsia="fr-FR"/>
              </w:rPr>
              <w:drawing>
                <wp:inline distT="0" distB="0" distL="0" distR="0" wp14:anchorId="0683EBF3" wp14:editId="0DFF7291">
                  <wp:extent cx="2331565" cy="4448432"/>
                  <wp:effectExtent l="1905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l="27170" r="27548"/>
                          <a:stretch>
                            <a:fillRect/>
                          </a:stretch>
                        </pic:blipFill>
                        <pic:spPr bwMode="auto">
                          <a:xfrm>
                            <a:off x="0" y="0"/>
                            <a:ext cx="2335268" cy="4455497"/>
                          </a:xfrm>
                          <a:prstGeom prst="rect">
                            <a:avLst/>
                          </a:prstGeom>
                          <a:solidFill>
                            <a:schemeClr val="bg1"/>
                          </a:solidFill>
                          <a:ln w="9525">
                            <a:noFill/>
                            <a:miter lim="800000"/>
                            <a:headEnd/>
                            <a:tailEnd/>
                          </a:ln>
                        </pic:spPr>
                      </pic:pic>
                    </a:graphicData>
                  </a:graphic>
                </wp:inline>
              </w:drawing>
            </w:r>
          </w:p>
        </w:tc>
        <w:tc>
          <w:tcPr>
            <w:tcW w:w="3827" w:type="dxa"/>
            <w:shd w:val="clear" w:color="auto" w:fill="B6DDE8" w:themeFill="accent5" w:themeFillTint="66"/>
          </w:tcPr>
          <w:p w:rsidR="008D7E1B" w:rsidRPr="008E034A" w:rsidRDefault="008D7E1B" w:rsidP="00AD715F">
            <w:r w:rsidRPr="000427DB">
              <w:rPr>
                <w:noProof/>
                <w:lang w:eastAsia="fr-FR"/>
              </w:rPr>
              <w:drawing>
                <wp:inline distT="0" distB="0" distL="0" distR="0" wp14:anchorId="1BDADB60" wp14:editId="361EBC48">
                  <wp:extent cx="2318709" cy="4440620"/>
                  <wp:effectExtent l="19050" t="0" r="5391" b="0"/>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srcRect l="27170" r="27548"/>
                          <a:stretch>
                            <a:fillRect/>
                          </a:stretch>
                        </pic:blipFill>
                        <pic:spPr bwMode="auto">
                          <a:xfrm>
                            <a:off x="0" y="0"/>
                            <a:ext cx="2320234" cy="4443541"/>
                          </a:xfrm>
                          <a:prstGeom prst="rect">
                            <a:avLst/>
                          </a:prstGeom>
                          <a:solidFill>
                            <a:schemeClr val="bg1"/>
                          </a:solidFill>
                          <a:ln w="9525">
                            <a:noFill/>
                            <a:miter lim="800000"/>
                            <a:headEnd/>
                            <a:tailEnd/>
                          </a:ln>
                        </pic:spPr>
                      </pic:pic>
                    </a:graphicData>
                  </a:graphic>
                </wp:inline>
              </w:drawing>
            </w:r>
          </w:p>
        </w:tc>
        <w:tc>
          <w:tcPr>
            <w:tcW w:w="3827" w:type="dxa"/>
            <w:shd w:val="clear" w:color="auto" w:fill="B6DDE8" w:themeFill="accent5" w:themeFillTint="66"/>
          </w:tcPr>
          <w:p w:rsidR="008D7E1B" w:rsidRPr="008E034A" w:rsidRDefault="008D7E1B" w:rsidP="00AD715F">
            <w:r w:rsidRPr="005C34B1">
              <w:rPr>
                <w:noProof/>
                <w:lang w:eastAsia="fr-FR"/>
              </w:rPr>
              <w:drawing>
                <wp:inline distT="0" distB="0" distL="0" distR="0" wp14:anchorId="5429D7CB" wp14:editId="64486514">
                  <wp:extent cx="2303385" cy="4448432"/>
                  <wp:effectExtent l="19050" t="0" r="1665" b="0"/>
                  <wp:docPr id="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l="27170" r="27548"/>
                          <a:stretch>
                            <a:fillRect/>
                          </a:stretch>
                        </pic:blipFill>
                        <pic:spPr bwMode="auto">
                          <a:xfrm>
                            <a:off x="0" y="0"/>
                            <a:ext cx="2312880" cy="4466769"/>
                          </a:xfrm>
                          <a:prstGeom prst="rect">
                            <a:avLst/>
                          </a:prstGeom>
                          <a:solidFill>
                            <a:schemeClr val="bg1"/>
                          </a:solidFill>
                          <a:ln w="9525">
                            <a:noFill/>
                            <a:miter lim="800000"/>
                            <a:headEnd/>
                            <a:tailEnd/>
                          </a:ln>
                        </pic:spPr>
                      </pic:pic>
                    </a:graphicData>
                  </a:graphic>
                </wp:inline>
              </w:drawing>
            </w:r>
          </w:p>
        </w:tc>
        <w:tc>
          <w:tcPr>
            <w:tcW w:w="3826" w:type="dxa"/>
            <w:shd w:val="clear" w:color="auto" w:fill="B6DDE8" w:themeFill="accent5" w:themeFillTint="66"/>
          </w:tcPr>
          <w:p w:rsidR="008D7E1B" w:rsidRPr="008E034A" w:rsidRDefault="008D7E1B" w:rsidP="00AD715F">
            <w:pPr>
              <w:ind w:left="-57"/>
            </w:pPr>
            <w:r w:rsidRPr="00A300DA">
              <w:rPr>
                <w:noProof/>
                <w:lang w:eastAsia="fr-FR"/>
              </w:rPr>
              <w:drawing>
                <wp:inline distT="0" distB="0" distL="0" distR="0" wp14:anchorId="485AA467" wp14:editId="5861F216">
                  <wp:extent cx="2266950" cy="4436348"/>
                  <wp:effectExtent l="19050" t="0" r="0" b="0"/>
                  <wp:docPr id="3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srcRect l="27170" r="27548"/>
                          <a:stretch>
                            <a:fillRect/>
                          </a:stretch>
                        </pic:blipFill>
                        <pic:spPr bwMode="auto">
                          <a:xfrm>
                            <a:off x="0" y="0"/>
                            <a:ext cx="2268917" cy="4440198"/>
                          </a:xfrm>
                          <a:prstGeom prst="rect">
                            <a:avLst/>
                          </a:prstGeom>
                          <a:solidFill>
                            <a:schemeClr val="bg1"/>
                          </a:solidFill>
                          <a:ln w="9525">
                            <a:noFill/>
                            <a:miter lim="800000"/>
                            <a:headEnd/>
                            <a:tailEnd/>
                          </a:ln>
                        </pic:spPr>
                      </pic:pic>
                    </a:graphicData>
                  </a:graphic>
                </wp:inline>
              </w:drawing>
            </w:r>
          </w:p>
        </w:tc>
      </w:tr>
      <w:tr w:rsidR="008D7E1B" w:rsidRPr="00757E9E" w:rsidTr="00AD715F">
        <w:trPr>
          <w:trHeight w:val="351"/>
        </w:trPr>
        <w:tc>
          <w:tcPr>
            <w:tcW w:w="15274" w:type="dxa"/>
            <w:gridSpan w:val="4"/>
            <w:shd w:val="clear" w:color="auto" w:fill="B6DDE8" w:themeFill="accent5" w:themeFillTint="66"/>
          </w:tcPr>
          <w:p w:rsidR="008D7E1B" w:rsidRPr="008E034A" w:rsidRDefault="008D7E1B" w:rsidP="00AD715F">
            <w:pPr>
              <w:pStyle w:val="Lgende"/>
              <w:framePr w:hSpace="0" w:wrap="auto" w:vAnchor="margin" w:hAnchor="text" w:xAlign="left" w:yAlign="inline"/>
            </w:pPr>
            <w:r w:rsidRPr="00E16B3C">
              <w:t>Source :</w:t>
            </w:r>
            <w:r>
              <w:t xml:space="preserve"> INSAE, EMICoV (2006, </w:t>
            </w:r>
            <w:r w:rsidR="0049107A">
              <w:t>2009)</w:t>
            </w:r>
          </w:p>
        </w:tc>
      </w:tr>
    </w:tbl>
    <w:p w:rsidR="000427DB" w:rsidRDefault="000427DB" w:rsidP="00273A58">
      <w:pPr>
        <w:spacing w:line="276" w:lineRule="auto"/>
        <w:rPr>
          <w:rFonts w:ascii="Times New Roman" w:hAnsi="Times New Roman"/>
          <w:b/>
          <w:sz w:val="24"/>
          <w:szCs w:val="24"/>
        </w:rPr>
      </w:pPr>
    </w:p>
    <w:p w:rsidR="00E16911" w:rsidRDefault="00E16911" w:rsidP="00273A58">
      <w:pPr>
        <w:spacing w:line="276" w:lineRule="auto"/>
        <w:rPr>
          <w:rFonts w:ascii="Times New Roman" w:hAnsi="Times New Roman"/>
          <w:b/>
          <w:sz w:val="24"/>
          <w:szCs w:val="24"/>
        </w:rPr>
        <w:sectPr w:rsidR="00E16911" w:rsidSect="00E16911">
          <w:headerReference w:type="default" r:id="rId38"/>
          <w:pgSz w:w="16838" w:h="11906" w:orient="landscape"/>
          <w:pgMar w:top="1417" w:right="1073" w:bottom="1417" w:left="1417" w:header="284" w:footer="708" w:gutter="0"/>
          <w:cols w:space="708"/>
          <w:docGrid w:linePitch="360"/>
        </w:sectPr>
      </w:pPr>
    </w:p>
    <w:p w:rsidR="00273A58" w:rsidRDefault="00273A58" w:rsidP="00273A58">
      <w:pPr>
        <w:spacing w:line="276" w:lineRule="auto"/>
        <w:rPr>
          <w:rFonts w:ascii="Times New Roman" w:hAnsi="Times New Roman"/>
          <w:sz w:val="24"/>
          <w:szCs w:val="24"/>
          <w:highlight w:val="yellow"/>
        </w:rPr>
      </w:pPr>
      <w:r w:rsidRPr="00B76D0A">
        <w:rPr>
          <w:rFonts w:ascii="Times New Roman" w:hAnsi="Times New Roman"/>
          <w:b/>
          <w:sz w:val="24"/>
          <w:szCs w:val="24"/>
        </w:rPr>
        <w:t>Plus le niveau d’instruction du chef de ménage est faible et plus la pauvreté temporaire est importante</w:t>
      </w:r>
      <w:r w:rsidRPr="007B43D0">
        <w:rPr>
          <w:rFonts w:ascii="Times New Roman" w:hAnsi="Times New Roman"/>
          <w:sz w:val="24"/>
          <w:szCs w:val="24"/>
        </w:rPr>
        <w:t>. Seulement 13,1% des individus vivant dans les ménages où le chef a le niveau supérieur sont en situation de pauvreté temporaire contre 43,1% pour ceux qui vivent dans les ménages où le chef de ménage n’a aucun niveau d’instruction. Les individus dont le chef de ménage a le niveau d’instruction supérieur sont peu soumis au risque de pauvreté persistante</w:t>
      </w:r>
      <w:r>
        <w:rPr>
          <w:rFonts w:ascii="Times New Roman" w:hAnsi="Times New Roman"/>
          <w:sz w:val="24"/>
          <w:szCs w:val="24"/>
        </w:rPr>
        <w:t xml:space="preserve">. L’accès à l’éducation de base reste donc un facteur crucial pour la réduction de la pauvreté tant au niveau individuel qu’au niveau général (Banque mondiale, 2003). </w:t>
      </w:r>
    </w:p>
    <w:p w:rsidR="001F0BEC" w:rsidRDefault="001F0BEC" w:rsidP="001F0BEC"/>
    <w:p w:rsidR="00D715F3" w:rsidRDefault="00AF02FB" w:rsidP="003740B0">
      <w:pPr>
        <w:spacing w:line="276" w:lineRule="auto"/>
        <w:rPr>
          <w:rFonts w:ascii="Times New Roman" w:hAnsi="Times New Roman"/>
          <w:sz w:val="24"/>
          <w:szCs w:val="24"/>
        </w:rPr>
      </w:pPr>
      <w:r w:rsidRPr="00AF02FB">
        <w:rPr>
          <w:rFonts w:ascii="Times New Roman" w:hAnsi="Times New Roman"/>
          <w:b/>
          <w:sz w:val="24"/>
          <w:szCs w:val="24"/>
        </w:rPr>
        <w:t xml:space="preserve">Selon </w:t>
      </w:r>
      <w:r w:rsidR="00B76D0A" w:rsidRPr="00B76D0A">
        <w:rPr>
          <w:rFonts w:ascii="Times New Roman" w:hAnsi="Times New Roman"/>
          <w:b/>
          <w:sz w:val="24"/>
          <w:szCs w:val="24"/>
        </w:rPr>
        <w:t xml:space="preserve">le statut du chef de ménage sur le marché du travail, </w:t>
      </w:r>
      <w:r w:rsidR="00DB64E0">
        <w:rPr>
          <w:rFonts w:ascii="Times New Roman" w:hAnsi="Times New Roman"/>
          <w:b/>
          <w:sz w:val="24"/>
          <w:szCs w:val="24"/>
        </w:rPr>
        <w:t>il est noté</w:t>
      </w:r>
      <w:r w:rsidR="001A55A9">
        <w:rPr>
          <w:rFonts w:ascii="Times New Roman" w:hAnsi="Times New Roman"/>
          <w:b/>
          <w:sz w:val="24"/>
          <w:szCs w:val="24"/>
        </w:rPr>
        <w:t xml:space="preserve"> </w:t>
      </w:r>
      <w:r w:rsidR="00DB64E0">
        <w:rPr>
          <w:rFonts w:ascii="Times New Roman" w:hAnsi="Times New Roman"/>
          <w:b/>
          <w:sz w:val="24"/>
          <w:szCs w:val="24"/>
        </w:rPr>
        <w:t xml:space="preserve">que </w:t>
      </w:r>
      <w:r w:rsidR="00B76D0A" w:rsidRPr="00B76D0A">
        <w:rPr>
          <w:rFonts w:ascii="Times New Roman" w:hAnsi="Times New Roman"/>
          <w:b/>
          <w:sz w:val="24"/>
          <w:szCs w:val="24"/>
        </w:rPr>
        <w:t>les individus dont les chefs de ménages sont des chômeurs sont plus affectés par la pauvreté persistante</w:t>
      </w:r>
      <w:r w:rsidR="003740B0" w:rsidRPr="00C007B1">
        <w:rPr>
          <w:rFonts w:ascii="Times New Roman" w:hAnsi="Times New Roman"/>
          <w:sz w:val="24"/>
          <w:szCs w:val="24"/>
        </w:rPr>
        <w:t>.</w:t>
      </w:r>
      <w:r w:rsidR="003740B0" w:rsidRPr="007B43D0">
        <w:rPr>
          <w:rFonts w:ascii="Times New Roman" w:hAnsi="Times New Roman"/>
          <w:sz w:val="24"/>
          <w:szCs w:val="24"/>
        </w:rPr>
        <w:t xml:space="preserve"> En effet, 16,9% des individus vivant dans les ménages où le chef est au chômage sont soumis au risque de la pauvreté persistante. </w:t>
      </w:r>
    </w:p>
    <w:p w:rsidR="00D715F3" w:rsidRPr="00085EB0" w:rsidRDefault="00D715F3" w:rsidP="003740B0">
      <w:pPr>
        <w:spacing w:line="276" w:lineRule="auto"/>
        <w:rPr>
          <w:rFonts w:ascii="Times New Roman" w:hAnsi="Times New Roman"/>
          <w:sz w:val="12"/>
          <w:szCs w:val="12"/>
        </w:rPr>
      </w:pPr>
    </w:p>
    <w:tbl>
      <w:tblPr>
        <w:tblW w:w="9355" w:type="dxa"/>
        <w:tblBorders>
          <w:top w:val="double" w:sz="4" w:space="0" w:color="auto"/>
          <w:bottom w:val="double" w:sz="4" w:space="0" w:color="auto"/>
        </w:tblBorders>
        <w:tblCellMar>
          <w:left w:w="70" w:type="dxa"/>
          <w:right w:w="70" w:type="dxa"/>
        </w:tblCellMar>
        <w:tblLook w:val="04A0" w:firstRow="1" w:lastRow="0" w:firstColumn="1" w:lastColumn="0" w:noHBand="0" w:noVBand="1"/>
      </w:tblPr>
      <w:tblGrid>
        <w:gridCol w:w="3224"/>
        <w:gridCol w:w="1242"/>
        <w:gridCol w:w="1276"/>
        <w:gridCol w:w="851"/>
        <w:gridCol w:w="1134"/>
        <w:gridCol w:w="1628"/>
      </w:tblGrid>
      <w:tr w:rsidR="001F0BEC" w:rsidRPr="00AC5D5F" w:rsidTr="005845CB">
        <w:trPr>
          <w:trHeight w:val="357"/>
        </w:trPr>
        <w:tc>
          <w:tcPr>
            <w:tcW w:w="9355" w:type="dxa"/>
            <w:gridSpan w:val="6"/>
            <w:tcBorders>
              <w:top w:val="nil"/>
              <w:bottom w:val="double" w:sz="4" w:space="0" w:color="auto"/>
            </w:tcBorders>
            <w:shd w:val="clear" w:color="auto" w:fill="92CDDC" w:themeFill="accent5" w:themeFillTint="99"/>
            <w:hideMark/>
          </w:tcPr>
          <w:p w:rsidR="001F0BEC" w:rsidRPr="00AC5D5F" w:rsidRDefault="00AC5D5F" w:rsidP="005845CB">
            <w:pPr>
              <w:spacing w:line="240" w:lineRule="auto"/>
              <w:rPr>
                <w:rFonts w:ascii="Times New Roman" w:hAnsi="Times New Roman"/>
                <w:sz w:val="24"/>
                <w:szCs w:val="24"/>
              </w:rPr>
            </w:pPr>
            <w:bookmarkStart w:id="50" w:name="_Toc344673181"/>
            <w:bookmarkStart w:id="51" w:name="_Toc369712335"/>
            <w:bookmarkStart w:id="52" w:name="_Toc369712422"/>
            <w:bookmarkStart w:id="53" w:name="_Toc369719860"/>
            <w:r w:rsidRPr="00AC5D5F">
              <w:rPr>
                <w:rFonts w:ascii="Times New Roman" w:hAnsi="Times New Roman"/>
                <w:sz w:val="24"/>
                <w:szCs w:val="24"/>
              </w:rPr>
              <w:t xml:space="preserve">Tableau 1. </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Tableau_1.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7</w:t>
            </w:r>
            <w:r w:rsidR="00182C97" w:rsidRPr="00AC5D5F">
              <w:rPr>
                <w:rFonts w:ascii="Times New Roman" w:hAnsi="Times New Roman"/>
                <w:sz w:val="24"/>
                <w:szCs w:val="24"/>
              </w:rPr>
              <w:fldChar w:fldCharType="end"/>
            </w:r>
            <w:r w:rsidR="001F0BEC" w:rsidRPr="00AC5D5F">
              <w:rPr>
                <w:rFonts w:ascii="Times New Roman" w:eastAsia="Arial Unicode MS" w:hAnsi="Times New Roman"/>
                <w:sz w:val="24"/>
                <w:szCs w:val="24"/>
              </w:rPr>
              <w:t>:</w:t>
            </w:r>
            <w:r w:rsidR="001F0BEC" w:rsidRPr="00AC5D5F">
              <w:rPr>
                <w:rFonts w:ascii="Times New Roman" w:hAnsi="Times New Roman"/>
                <w:sz w:val="24"/>
                <w:szCs w:val="24"/>
              </w:rPr>
              <w:t xml:space="preserve"> Mouvement des ménages dans le statut de pauvreté entre 2006 et 2009</w:t>
            </w:r>
            <w:bookmarkEnd w:id="50"/>
            <w:bookmarkEnd w:id="51"/>
            <w:bookmarkEnd w:id="52"/>
            <w:bookmarkEnd w:id="53"/>
          </w:p>
        </w:tc>
      </w:tr>
      <w:tr w:rsidR="001F0BEC" w:rsidRPr="00D47C59" w:rsidTr="00973485">
        <w:trPr>
          <w:trHeight w:val="205"/>
        </w:trPr>
        <w:tc>
          <w:tcPr>
            <w:tcW w:w="3224" w:type="dxa"/>
            <w:vMerge w:val="restart"/>
            <w:tcBorders>
              <w:top w:val="double" w:sz="4" w:space="0" w:color="auto"/>
              <w:bottom w:val="nil"/>
            </w:tcBorders>
            <w:shd w:val="clear" w:color="auto" w:fill="DAEEF3" w:themeFill="accent5" w:themeFillTint="33"/>
            <w:vAlign w:val="bottom"/>
          </w:tcPr>
          <w:p w:rsidR="001F0BEC" w:rsidRPr="00D47C59" w:rsidRDefault="001F0BEC" w:rsidP="003E6F2A">
            <w:pPr>
              <w:spacing w:line="240" w:lineRule="auto"/>
              <w:jc w:val="left"/>
              <w:rPr>
                <w:rFonts w:ascii="Times New Roman" w:eastAsia="Times New Roman" w:hAnsi="Times New Roman"/>
                <w:lang w:eastAsia="fr-FR"/>
              </w:rPr>
            </w:pPr>
            <w:r w:rsidRPr="00B76D0A">
              <w:rPr>
                <w:rFonts w:ascii="Times New Roman" w:eastAsia="Times New Roman" w:hAnsi="Times New Roman"/>
                <w:lang w:eastAsia="fr-FR"/>
              </w:rPr>
              <w:t xml:space="preserve">Caractéristique du Chef </w:t>
            </w:r>
          </w:p>
          <w:p w:rsidR="001F0BEC" w:rsidRPr="00D47C59" w:rsidRDefault="001F0BEC" w:rsidP="003E6F2A">
            <w:pPr>
              <w:spacing w:line="240" w:lineRule="auto"/>
              <w:jc w:val="left"/>
              <w:rPr>
                <w:rFonts w:ascii="Times New Roman" w:eastAsia="Times New Roman" w:hAnsi="Times New Roman"/>
                <w:lang w:eastAsia="fr-FR"/>
              </w:rPr>
            </w:pPr>
            <w:r w:rsidRPr="00B76D0A">
              <w:rPr>
                <w:rFonts w:ascii="Times New Roman" w:eastAsia="Times New Roman" w:hAnsi="Times New Roman"/>
                <w:lang w:eastAsia="fr-FR"/>
              </w:rPr>
              <w:t>de ménage</w:t>
            </w:r>
            <w:r w:rsidR="005845CB">
              <w:rPr>
                <w:rFonts w:ascii="Times New Roman" w:eastAsia="Times New Roman" w:hAnsi="Times New Roman"/>
                <w:lang w:eastAsia="fr-FR"/>
              </w:rPr>
              <w:t xml:space="preserve"> (CM)</w:t>
            </w:r>
            <w:r w:rsidRPr="00B76D0A">
              <w:rPr>
                <w:rFonts w:ascii="Times New Roman" w:eastAsia="Times New Roman" w:hAnsi="Times New Roman"/>
                <w:lang w:eastAsia="fr-FR"/>
              </w:rPr>
              <w:t xml:space="preserve"> en 2006</w:t>
            </w:r>
          </w:p>
        </w:tc>
        <w:tc>
          <w:tcPr>
            <w:tcW w:w="4503" w:type="dxa"/>
            <w:gridSpan w:val="4"/>
            <w:tcBorders>
              <w:top w:val="double" w:sz="4" w:space="0" w:color="auto"/>
              <w:bottom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color w:val="000000"/>
                <w:lang w:eastAsia="fr-FR"/>
              </w:rPr>
            </w:pPr>
            <w:r w:rsidRPr="00B76D0A">
              <w:rPr>
                <w:rFonts w:ascii="Times New Roman" w:eastAsia="Times New Roman" w:hAnsi="Times New Roman"/>
                <w:color w:val="000000"/>
                <w:lang w:eastAsia="fr-FR"/>
              </w:rPr>
              <w:t xml:space="preserve"> Transition dans la pauvreté entre 2006 et 2009</w:t>
            </w:r>
          </w:p>
        </w:tc>
        <w:tc>
          <w:tcPr>
            <w:tcW w:w="1628" w:type="dxa"/>
            <w:vMerge w:val="restart"/>
            <w:tcBorders>
              <w:top w:val="double" w:sz="4" w:space="0" w:color="auto"/>
            </w:tcBorders>
            <w:shd w:val="clear" w:color="auto" w:fill="DAEEF3" w:themeFill="accent5" w:themeFillTint="33"/>
            <w:noWrap/>
            <w:vAlign w:val="center"/>
            <w:hideMark/>
          </w:tcPr>
          <w:p w:rsidR="001F0BEC" w:rsidRPr="00D47C59" w:rsidRDefault="001F0BEC" w:rsidP="003E6F2A">
            <w:pPr>
              <w:spacing w:line="240" w:lineRule="auto"/>
              <w:jc w:val="left"/>
              <w:rPr>
                <w:rFonts w:ascii="Times New Roman" w:eastAsia="Times New Roman" w:hAnsi="Times New Roman"/>
                <w:lang w:eastAsia="fr-FR"/>
              </w:rPr>
            </w:pPr>
            <w:r w:rsidRPr="00B76D0A">
              <w:rPr>
                <w:rFonts w:ascii="Times New Roman" w:eastAsia="Times New Roman" w:hAnsi="Times New Roman"/>
                <w:lang w:eastAsia="fr-FR"/>
              </w:rPr>
              <w:t> </w:t>
            </w:r>
          </w:p>
          <w:p w:rsidR="001F0BEC" w:rsidRPr="00D47C59" w:rsidRDefault="001F0BEC" w:rsidP="003E6F2A">
            <w:pPr>
              <w:spacing w:line="240" w:lineRule="auto"/>
              <w:jc w:val="left"/>
              <w:rPr>
                <w:rFonts w:ascii="Times New Roman" w:eastAsia="Times New Roman" w:hAnsi="Times New Roman"/>
                <w:lang w:eastAsia="fr-FR"/>
              </w:rPr>
            </w:pPr>
            <w:r w:rsidRPr="00B76D0A">
              <w:rPr>
                <w:rFonts w:ascii="Times New Roman" w:hAnsi="Times New Roman"/>
              </w:rPr>
              <w:t>Population totale du Panel</w:t>
            </w:r>
          </w:p>
        </w:tc>
      </w:tr>
      <w:tr w:rsidR="001F0BEC" w:rsidRPr="00D47C59" w:rsidTr="00973485">
        <w:trPr>
          <w:trHeight w:val="284"/>
        </w:trPr>
        <w:tc>
          <w:tcPr>
            <w:tcW w:w="3224" w:type="dxa"/>
            <w:vMerge/>
            <w:tcBorders>
              <w:top w:val="nil"/>
              <w:bottom w:val="single" w:sz="4" w:space="0" w:color="auto"/>
            </w:tcBorders>
            <w:shd w:val="clear" w:color="auto" w:fill="DAEEF3" w:themeFill="accent5" w:themeFillTint="33"/>
            <w:vAlign w:val="center"/>
          </w:tcPr>
          <w:p w:rsidR="001F0BEC" w:rsidRPr="00D47C59" w:rsidRDefault="001F0BEC" w:rsidP="003E6F2A">
            <w:pPr>
              <w:spacing w:line="240" w:lineRule="auto"/>
              <w:jc w:val="left"/>
              <w:rPr>
                <w:rFonts w:ascii="Times New Roman" w:eastAsia="Times New Roman" w:hAnsi="Times New Roman"/>
                <w:lang w:eastAsia="fr-FR"/>
              </w:rPr>
            </w:pPr>
          </w:p>
        </w:tc>
        <w:tc>
          <w:tcPr>
            <w:tcW w:w="1242" w:type="dxa"/>
            <w:tcBorders>
              <w:top w:val="single" w:sz="4" w:space="0" w:color="auto"/>
              <w:bottom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color w:val="000000"/>
                <w:lang w:eastAsia="fr-FR"/>
              </w:rPr>
            </w:pPr>
            <w:r w:rsidRPr="00B76D0A">
              <w:rPr>
                <w:rFonts w:ascii="Times New Roman" w:eastAsia="Times New Roman" w:hAnsi="Times New Roman"/>
                <w:color w:val="000000"/>
                <w:lang w:eastAsia="fr-FR"/>
              </w:rPr>
              <w:t>Entrée dans la pauvreté</w:t>
            </w:r>
          </w:p>
        </w:tc>
        <w:tc>
          <w:tcPr>
            <w:tcW w:w="1276" w:type="dxa"/>
            <w:tcBorders>
              <w:top w:val="single" w:sz="4" w:space="0" w:color="auto"/>
              <w:bottom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color w:val="000000"/>
                <w:lang w:eastAsia="fr-FR"/>
              </w:rPr>
            </w:pPr>
            <w:r w:rsidRPr="00B76D0A">
              <w:rPr>
                <w:rFonts w:ascii="Times New Roman" w:eastAsia="Times New Roman" w:hAnsi="Times New Roman"/>
                <w:color w:val="000000"/>
                <w:lang w:eastAsia="fr-FR"/>
              </w:rPr>
              <w:t>Sortie de la pauvreté</w:t>
            </w:r>
          </w:p>
        </w:tc>
        <w:tc>
          <w:tcPr>
            <w:tcW w:w="851" w:type="dxa"/>
            <w:tcBorders>
              <w:top w:val="single" w:sz="4" w:space="0" w:color="auto"/>
              <w:bottom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color w:val="000000"/>
                <w:lang w:eastAsia="fr-FR"/>
              </w:rPr>
            </w:pPr>
            <w:r w:rsidRPr="00B76D0A">
              <w:rPr>
                <w:rFonts w:ascii="Times New Roman" w:eastAsia="Times New Roman" w:hAnsi="Times New Roman"/>
                <w:color w:val="000000"/>
                <w:lang w:eastAsia="fr-FR"/>
              </w:rPr>
              <w:t>Jamais pauvre</w:t>
            </w:r>
          </w:p>
        </w:tc>
        <w:tc>
          <w:tcPr>
            <w:tcW w:w="1134" w:type="dxa"/>
            <w:tcBorders>
              <w:top w:val="single" w:sz="4" w:space="0" w:color="auto"/>
              <w:bottom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color w:val="000000"/>
                <w:lang w:eastAsia="fr-FR"/>
              </w:rPr>
            </w:pPr>
            <w:r w:rsidRPr="00B76D0A">
              <w:rPr>
                <w:rFonts w:ascii="Times New Roman" w:eastAsia="Times New Roman" w:hAnsi="Times New Roman"/>
                <w:color w:val="000000"/>
                <w:lang w:eastAsia="fr-FR"/>
              </w:rPr>
              <w:t>Toujours pauvre</w:t>
            </w:r>
          </w:p>
        </w:tc>
        <w:tc>
          <w:tcPr>
            <w:tcW w:w="1628" w:type="dxa"/>
            <w:vMerge/>
            <w:tcBorders>
              <w:bottom w:val="single" w:sz="4" w:space="0" w:color="auto"/>
            </w:tcBorders>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p>
        </w:tc>
      </w:tr>
      <w:tr w:rsidR="001F0BEC" w:rsidRPr="00D47C59" w:rsidTr="00973485">
        <w:trPr>
          <w:trHeight w:val="284"/>
        </w:trPr>
        <w:tc>
          <w:tcPr>
            <w:tcW w:w="3224" w:type="dxa"/>
            <w:tcBorders>
              <w:top w:val="single" w:sz="4" w:space="0" w:color="auto"/>
            </w:tcBorders>
            <w:shd w:val="clear" w:color="auto" w:fill="DAEEF3" w:themeFill="accent5" w:themeFillTint="33"/>
            <w:noWrap/>
            <w:vAlign w:val="center"/>
            <w:hideMark/>
          </w:tcPr>
          <w:p w:rsidR="001F0BEC" w:rsidRPr="00D47C59" w:rsidRDefault="001F0BEC" w:rsidP="003E6F2A">
            <w:pPr>
              <w:spacing w:line="240" w:lineRule="auto"/>
              <w:jc w:val="left"/>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Milieu de résidence</w:t>
            </w:r>
          </w:p>
        </w:tc>
        <w:tc>
          <w:tcPr>
            <w:tcW w:w="1242" w:type="dxa"/>
            <w:tcBorders>
              <w:top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w:t>
            </w:r>
          </w:p>
        </w:tc>
        <w:tc>
          <w:tcPr>
            <w:tcW w:w="1276" w:type="dxa"/>
            <w:tcBorders>
              <w:top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w:t>
            </w:r>
          </w:p>
        </w:tc>
        <w:tc>
          <w:tcPr>
            <w:tcW w:w="851" w:type="dxa"/>
            <w:tcBorders>
              <w:top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w:t>
            </w:r>
          </w:p>
        </w:tc>
        <w:tc>
          <w:tcPr>
            <w:tcW w:w="1134" w:type="dxa"/>
            <w:tcBorders>
              <w:top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w:t>
            </w:r>
          </w:p>
        </w:tc>
        <w:tc>
          <w:tcPr>
            <w:tcW w:w="1628" w:type="dxa"/>
            <w:tcBorders>
              <w:top w:val="single" w:sz="4" w:space="0" w:color="auto"/>
            </w:tcBorders>
            <w:shd w:val="clear" w:color="auto" w:fill="DAEEF3" w:themeFill="accent5" w:themeFillTint="33"/>
            <w:vAlign w:val="bottom"/>
            <w:hideMark/>
          </w:tcPr>
          <w:p w:rsidR="001F0BEC" w:rsidRPr="00D47C59" w:rsidRDefault="001F0BEC" w:rsidP="003E6F2A">
            <w:pPr>
              <w:spacing w:line="240" w:lineRule="auto"/>
              <w:jc w:val="center"/>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Urbain</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19,26</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18,37</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47,34</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15,03</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1257280</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Rural</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23,67</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19,17</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41,52</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15,63</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2830638</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Départements</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Alibori</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25,65</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24,71</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36,32</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13,32</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390883</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Atacora</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25,40</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18,38</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44,72</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11,50</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326596</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Atlantique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23,57</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19,15</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40,84</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16,44</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482826</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Borgou</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15,66</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21,45</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47,89</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15,00</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433901</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Collines</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30,05</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15,26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37,77</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16,93</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333105</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Couffo</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24,59</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16,98</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36,89</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21,54</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351953</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Donga</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20,40</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22,06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46,42</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11,12</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178866</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Littoral</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14,16</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19,03</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54,43</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12,37</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222244</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Mono</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25,96</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13,10</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39,48</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21,46</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263169</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Ouémé</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15,76</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22,50</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50,77</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10,97</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372920</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Plateau</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15,57</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19,76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49,56</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15,11</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211607</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Zou</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25,51</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15,16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42,30</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17,02</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519847</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5845CB">
            <w:pPr>
              <w:spacing w:line="240" w:lineRule="auto"/>
              <w:jc w:val="left"/>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xml:space="preserve"> Sexe du </w:t>
            </w:r>
            <w:r w:rsidR="005845CB">
              <w:rPr>
                <w:rFonts w:ascii="Times New Roman" w:eastAsia="Times New Roman" w:hAnsi="Times New Roman"/>
                <w:b/>
                <w:color w:val="000000"/>
                <w:lang w:eastAsia="fr-FR"/>
              </w:rPr>
              <w:t>CM</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Homme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23,03</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19,06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42,28</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15,63</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3506740</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Femme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18,03</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18,11</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49,54</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14,32</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581179</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5845CB">
            <w:pPr>
              <w:spacing w:line="240" w:lineRule="auto"/>
              <w:jc w:val="left"/>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xml:space="preserve"> Niveau d'instruction du </w:t>
            </w:r>
            <w:r w:rsidR="005845CB">
              <w:rPr>
                <w:rFonts w:ascii="Times New Roman" w:eastAsia="Times New Roman" w:hAnsi="Times New Roman"/>
                <w:b/>
                <w:color w:val="000000"/>
                <w:lang w:eastAsia="fr-FR"/>
              </w:rPr>
              <w:t>CM</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Sans instruction</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22,80</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20,33</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39,18</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17,68</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2548337</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Primaire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23,38</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18,25</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44,64</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13,73</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968400</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Secondaire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20,13</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14,67</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56,15</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9,05</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500400</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Supérieur</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5,61</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7,50</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83,21</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3,67</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70782</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5845CB">
            <w:pPr>
              <w:spacing w:line="240" w:lineRule="auto"/>
              <w:jc w:val="left"/>
              <w:rPr>
                <w:rFonts w:ascii="Times New Roman" w:eastAsia="Times New Roman" w:hAnsi="Times New Roman"/>
                <w:b/>
                <w:color w:val="000000"/>
                <w:lang w:eastAsia="fr-FR"/>
              </w:rPr>
            </w:pPr>
            <w:r w:rsidRPr="00B76D0A">
              <w:rPr>
                <w:rFonts w:ascii="Times New Roman" w:eastAsia="Times New Roman" w:hAnsi="Times New Roman"/>
                <w:b/>
                <w:color w:val="000000"/>
                <w:lang w:eastAsia="fr-FR"/>
              </w:rPr>
              <w:t xml:space="preserve">Pôle de développement </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Agriculture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25,35</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18,54</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37,93</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18,18</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2365203</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Coton-Textile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20,36</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23,52</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39,13</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16,99</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206592</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Commerce-logistique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25,38</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16,73</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49,81</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8,08</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52542</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Agroalimentaire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38,99</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12,11</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44,73</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4,17</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15411</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BTP - matériaux de construction</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18,93</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19,86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53,12</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8,09</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85899</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Culture et tourisme</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13,13</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0,00</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69,10</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17,77</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2624</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 xml:space="preserve">Autres activités industrielles et artisanales </w:t>
            </w:r>
            <w:r w:rsidRPr="002F055A">
              <w:rPr>
                <w:rFonts w:ascii="Times New Roman" w:eastAsia="Times New Roman" w:hAnsi="Times New Roman"/>
                <w:color w:val="000000"/>
                <w:lang w:eastAsia="fr-FR"/>
              </w:rPr>
              <w:t>(a)</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15,95</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18,55</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58,35</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7,15</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32370</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Autres services</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21,15</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10,54</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61,10</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7,22</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101311</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Chômeurs</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10,09</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25,16</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47,87</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16,89</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27775</w:t>
            </w:r>
          </w:p>
        </w:tc>
      </w:tr>
      <w:tr w:rsidR="001F0BEC" w:rsidRPr="00D47C59" w:rsidTr="00973485">
        <w:trPr>
          <w:trHeight w:val="284"/>
        </w:trPr>
        <w:tc>
          <w:tcPr>
            <w:tcW w:w="3224" w:type="dxa"/>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Inactif</w:t>
            </w:r>
          </w:p>
        </w:tc>
        <w:tc>
          <w:tcPr>
            <w:tcW w:w="1242"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18,62</w:t>
            </w:r>
          </w:p>
        </w:tc>
        <w:tc>
          <w:tcPr>
            <w:tcW w:w="1276"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20,09</w:t>
            </w:r>
          </w:p>
        </w:tc>
        <w:tc>
          <w:tcPr>
            <w:tcW w:w="851"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48,71</w:t>
            </w:r>
          </w:p>
        </w:tc>
        <w:tc>
          <w:tcPr>
            <w:tcW w:w="1134" w:type="dxa"/>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12,58</w:t>
            </w:r>
          </w:p>
        </w:tc>
        <w:tc>
          <w:tcPr>
            <w:tcW w:w="1628" w:type="dxa"/>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424274</w:t>
            </w:r>
          </w:p>
        </w:tc>
      </w:tr>
      <w:tr w:rsidR="001F0BEC" w:rsidRPr="00D47C59" w:rsidTr="00973485">
        <w:trPr>
          <w:trHeight w:val="284"/>
        </w:trPr>
        <w:tc>
          <w:tcPr>
            <w:tcW w:w="3224" w:type="dxa"/>
            <w:tcBorders>
              <w:bottom w:val="single" w:sz="4" w:space="0" w:color="auto"/>
            </w:tcBorders>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Non déclaré</w:t>
            </w:r>
          </w:p>
        </w:tc>
        <w:tc>
          <w:tcPr>
            <w:tcW w:w="1242" w:type="dxa"/>
            <w:tcBorders>
              <w:bottom w:val="sing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16,31</w:t>
            </w:r>
          </w:p>
        </w:tc>
        <w:tc>
          <w:tcPr>
            <w:tcW w:w="1276" w:type="dxa"/>
            <w:tcBorders>
              <w:bottom w:val="sing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19,37</w:t>
            </w:r>
          </w:p>
        </w:tc>
        <w:tc>
          <w:tcPr>
            <w:tcW w:w="851" w:type="dxa"/>
            <w:tcBorders>
              <w:bottom w:val="sing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53,17</w:t>
            </w:r>
          </w:p>
        </w:tc>
        <w:tc>
          <w:tcPr>
            <w:tcW w:w="1134" w:type="dxa"/>
            <w:tcBorders>
              <w:bottom w:val="sing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color w:val="000000"/>
              </w:rPr>
            </w:pPr>
            <w:r w:rsidRPr="00B76D0A">
              <w:rPr>
                <w:rFonts w:ascii="Times New Roman" w:hAnsi="Times New Roman"/>
                <w:color w:val="000000"/>
              </w:rPr>
              <w:t>11,15</w:t>
            </w:r>
          </w:p>
        </w:tc>
        <w:tc>
          <w:tcPr>
            <w:tcW w:w="1628" w:type="dxa"/>
            <w:tcBorders>
              <w:bottom w:val="single" w:sz="4" w:space="0" w:color="auto"/>
            </w:tcBorders>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color w:val="000000"/>
              </w:rPr>
            </w:pPr>
            <w:r w:rsidRPr="00B76D0A">
              <w:rPr>
                <w:rFonts w:ascii="Times New Roman" w:hAnsi="Times New Roman"/>
                <w:color w:val="000000"/>
              </w:rPr>
              <w:t>773918</w:t>
            </w:r>
          </w:p>
        </w:tc>
      </w:tr>
      <w:tr w:rsidR="001F0BEC" w:rsidRPr="00D47C59" w:rsidTr="00973485">
        <w:trPr>
          <w:trHeight w:val="284"/>
        </w:trPr>
        <w:tc>
          <w:tcPr>
            <w:tcW w:w="3224" w:type="dxa"/>
            <w:tcBorders>
              <w:top w:val="single" w:sz="4" w:space="0" w:color="auto"/>
              <w:bottom w:val="double" w:sz="4" w:space="0" w:color="auto"/>
            </w:tcBorders>
            <w:shd w:val="clear" w:color="auto" w:fill="DAEEF3" w:themeFill="accent5" w:themeFillTint="33"/>
            <w:vAlign w:val="center"/>
            <w:hideMark/>
          </w:tcPr>
          <w:p w:rsidR="001F0BEC" w:rsidRPr="00D47C59" w:rsidRDefault="001F0BEC" w:rsidP="003E6F2A">
            <w:pPr>
              <w:spacing w:line="240" w:lineRule="auto"/>
              <w:jc w:val="left"/>
              <w:rPr>
                <w:rFonts w:ascii="Times New Roman" w:eastAsia="Times New Roman" w:hAnsi="Times New Roman"/>
                <w:b/>
                <w:lang w:eastAsia="fr-FR"/>
              </w:rPr>
            </w:pPr>
            <w:r w:rsidRPr="00B76D0A">
              <w:rPr>
                <w:rFonts w:ascii="Times New Roman" w:eastAsia="Times New Roman" w:hAnsi="Times New Roman"/>
                <w:b/>
                <w:lang w:eastAsia="fr-FR"/>
              </w:rPr>
              <w:t>Benin</w:t>
            </w:r>
          </w:p>
        </w:tc>
        <w:tc>
          <w:tcPr>
            <w:tcW w:w="1242" w:type="dxa"/>
            <w:tcBorders>
              <w:top w:val="single" w:sz="4" w:space="0" w:color="auto"/>
              <w:bottom w:val="doub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b/>
                <w:color w:val="000000"/>
              </w:rPr>
            </w:pPr>
            <w:r w:rsidRPr="00B76D0A">
              <w:rPr>
                <w:rFonts w:ascii="Times New Roman" w:hAnsi="Times New Roman"/>
                <w:b/>
                <w:color w:val="000000"/>
              </w:rPr>
              <w:t>22,32</w:t>
            </w:r>
          </w:p>
        </w:tc>
        <w:tc>
          <w:tcPr>
            <w:tcW w:w="1276" w:type="dxa"/>
            <w:tcBorders>
              <w:top w:val="single" w:sz="4" w:space="0" w:color="auto"/>
              <w:bottom w:val="doub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b/>
                <w:color w:val="000000"/>
              </w:rPr>
            </w:pPr>
            <w:r w:rsidRPr="00B76D0A">
              <w:rPr>
                <w:rFonts w:ascii="Times New Roman" w:hAnsi="Times New Roman"/>
                <w:b/>
                <w:color w:val="000000"/>
              </w:rPr>
              <w:t>18,92</w:t>
            </w:r>
          </w:p>
        </w:tc>
        <w:tc>
          <w:tcPr>
            <w:tcW w:w="851" w:type="dxa"/>
            <w:tcBorders>
              <w:top w:val="single" w:sz="4" w:space="0" w:color="auto"/>
              <w:bottom w:val="doub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b/>
                <w:color w:val="000000"/>
              </w:rPr>
            </w:pPr>
            <w:r w:rsidRPr="00B76D0A">
              <w:rPr>
                <w:rFonts w:ascii="Times New Roman" w:hAnsi="Times New Roman"/>
                <w:b/>
                <w:color w:val="000000"/>
              </w:rPr>
              <w:t>43,31</w:t>
            </w:r>
          </w:p>
        </w:tc>
        <w:tc>
          <w:tcPr>
            <w:tcW w:w="1134" w:type="dxa"/>
            <w:tcBorders>
              <w:top w:val="single" w:sz="4" w:space="0" w:color="auto"/>
              <w:bottom w:val="double" w:sz="4" w:space="0" w:color="auto"/>
            </w:tcBorders>
            <w:shd w:val="clear" w:color="auto" w:fill="DAEEF3" w:themeFill="accent5" w:themeFillTint="33"/>
            <w:noWrap/>
            <w:vAlign w:val="center"/>
            <w:hideMark/>
          </w:tcPr>
          <w:p w:rsidR="001F0BEC" w:rsidRDefault="001F0BEC" w:rsidP="003E6F2A">
            <w:pPr>
              <w:spacing w:line="240" w:lineRule="auto"/>
              <w:jc w:val="center"/>
              <w:rPr>
                <w:rFonts w:ascii="Times New Roman" w:hAnsi="Times New Roman"/>
                <w:b/>
                <w:color w:val="000000"/>
              </w:rPr>
            </w:pPr>
            <w:r w:rsidRPr="00B76D0A">
              <w:rPr>
                <w:rFonts w:ascii="Times New Roman" w:hAnsi="Times New Roman"/>
                <w:b/>
                <w:color w:val="000000"/>
              </w:rPr>
              <w:t>15,45</w:t>
            </w:r>
          </w:p>
        </w:tc>
        <w:tc>
          <w:tcPr>
            <w:tcW w:w="1628" w:type="dxa"/>
            <w:tcBorders>
              <w:top w:val="single" w:sz="4" w:space="0" w:color="auto"/>
              <w:bottom w:val="double" w:sz="4" w:space="0" w:color="auto"/>
            </w:tcBorders>
            <w:shd w:val="clear" w:color="auto" w:fill="DAEEF3" w:themeFill="accent5" w:themeFillTint="33"/>
            <w:noWrap/>
            <w:vAlign w:val="center"/>
            <w:hideMark/>
          </w:tcPr>
          <w:p w:rsidR="001F0BEC" w:rsidRDefault="001F0BEC" w:rsidP="003E6F2A">
            <w:pPr>
              <w:spacing w:line="240" w:lineRule="auto"/>
              <w:jc w:val="right"/>
              <w:rPr>
                <w:rFonts w:ascii="Times New Roman" w:hAnsi="Times New Roman"/>
                <w:b/>
                <w:color w:val="000000"/>
              </w:rPr>
            </w:pPr>
            <w:r w:rsidRPr="00B76D0A">
              <w:rPr>
                <w:rFonts w:ascii="Times New Roman" w:hAnsi="Times New Roman"/>
                <w:b/>
                <w:color w:val="000000"/>
              </w:rPr>
              <w:t>4087918</w:t>
            </w:r>
          </w:p>
        </w:tc>
      </w:tr>
      <w:tr w:rsidR="001F0BEC" w:rsidRPr="00D47C59" w:rsidTr="00973485">
        <w:trPr>
          <w:trHeight w:val="284"/>
        </w:trPr>
        <w:tc>
          <w:tcPr>
            <w:tcW w:w="9355" w:type="dxa"/>
            <w:gridSpan w:val="6"/>
            <w:tcBorders>
              <w:top w:val="double" w:sz="4" w:space="0" w:color="auto"/>
              <w:bottom w:val="nil"/>
            </w:tcBorders>
            <w:shd w:val="clear" w:color="auto" w:fill="DAEEF3" w:themeFill="accent5" w:themeFillTint="33"/>
            <w:vAlign w:val="center"/>
            <w:hideMark/>
          </w:tcPr>
          <w:p w:rsidR="001F0BEC" w:rsidRPr="00D47C59" w:rsidRDefault="001F0BEC" w:rsidP="003E6F2A">
            <w:pPr>
              <w:pBdr>
                <w:bottom w:val="single" w:sz="4" w:space="1" w:color="000000"/>
              </w:pBdr>
              <w:spacing w:line="240" w:lineRule="auto"/>
              <w:rPr>
                <w:rFonts w:ascii="Times New Roman" w:hAnsi="Times New Roman"/>
              </w:rPr>
            </w:pPr>
            <w:r w:rsidRPr="00B76D0A">
              <w:rPr>
                <w:rFonts w:ascii="Times New Roman" w:hAnsi="Times New Roman"/>
              </w:rPr>
              <w:t>Source : INSAE, EMICoV (2006, 20</w:t>
            </w:r>
            <w:r>
              <w:rPr>
                <w:rFonts w:ascii="Times New Roman" w:hAnsi="Times New Roman"/>
              </w:rPr>
              <w:t>10</w:t>
            </w:r>
            <w:r w:rsidRPr="00B76D0A">
              <w:rPr>
                <w:rFonts w:ascii="Times New Roman" w:hAnsi="Times New Roman"/>
              </w:rPr>
              <w:t>)</w:t>
            </w:r>
          </w:p>
          <w:p w:rsidR="001F0BEC" w:rsidRPr="00E26BAA" w:rsidRDefault="001F0BEC" w:rsidP="00930D19">
            <w:pPr>
              <w:pStyle w:val="Paragraphedeliste"/>
              <w:numPr>
                <w:ilvl w:val="0"/>
                <w:numId w:val="5"/>
              </w:numPr>
              <w:spacing w:line="240" w:lineRule="auto"/>
              <w:rPr>
                <w:rFonts w:ascii="Times New Roman" w:hAnsi="Times New Roman"/>
                <w:sz w:val="18"/>
                <w:szCs w:val="18"/>
              </w:rPr>
            </w:pPr>
            <w:r w:rsidRPr="008C6272">
              <w:rPr>
                <w:rFonts w:ascii="Times New Roman" w:hAnsi="Times New Roman"/>
                <w:sz w:val="18"/>
                <w:szCs w:val="18"/>
              </w:rPr>
              <w:t>: Cette branche prend en compte les activités liées aux mines et hydrocarbure</w:t>
            </w:r>
            <w:r>
              <w:rPr>
                <w:rFonts w:ascii="Times New Roman" w:hAnsi="Times New Roman"/>
                <w:sz w:val="18"/>
                <w:szCs w:val="18"/>
              </w:rPr>
              <w:t>s, à l’électricité, gaz et eau)</w:t>
            </w:r>
          </w:p>
        </w:tc>
      </w:tr>
    </w:tbl>
    <w:p w:rsidR="001F0BEC" w:rsidRPr="00E26BAA" w:rsidRDefault="001F0BEC" w:rsidP="001F0BEC">
      <w:pPr>
        <w:spacing w:line="240" w:lineRule="auto"/>
        <w:rPr>
          <w:rFonts w:ascii="Times New Roman" w:hAnsi="Times New Roman"/>
        </w:rPr>
      </w:pPr>
    </w:p>
    <w:p w:rsidR="00973485" w:rsidRDefault="00973485" w:rsidP="00973485">
      <w:pPr>
        <w:spacing w:line="276" w:lineRule="auto"/>
        <w:rPr>
          <w:rFonts w:ascii="Times New Roman" w:hAnsi="Times New Roman"/>
          <w:sz w:val="24"/>
          <w:szCs w:val="24"/>
        </w:rPr>
      </w:pPr>
      <w:r>
        <w:rPr>
          <w:rFonts w:ascii="Times New Roman" w:hAnsi="Times New Roman"/>
          <w:sz w:val="24"/>
          <w:szCs w:val="24"/>
        </w:rPr>
        <w:t>Par</w:t>
      </w:r>
      <w:r w:rsidRPr="007B43D0">
        <w:rPr>
          <w:rFonts w:ascii="Times New Roman" w:hAnsi="Times New Roman"/>
          <w:sz w:val="24"/>
          <w:szCs w:val="24"/>
        </w:rPr>
        <w:t xml:space="preserve"> ailleurs</w:t>
      </w:r>
      <w:r>
        <w:rPr>
          <w:rFonts w:ascii="Times New Roman" w:hAnsi="Times New Roman"/>
          <w:sz w:val="24"/>
          <w:szCs w:val="24"/>
        </w:rPr>
        <w:t>,</w:t>
      </w:r>
      <w:r w:rsidRPr="007B43D0">
        <w:rPr>
          <w:rFonts w:ascii="Times New Roman" w:hAnsi="Times New Roman"/>
          <w:sz w:val="24"/>
          <w:szCs w:val="24"/>
        </w:rPr>
        <w:t xml:space="preserve"> la pauvreté temporaire touche plus les individus dont le chef de ménage est inactif (38,7%) que ceux dont le chef de ménage est au chômage (35,3%). </w:t>
      </w:r>
      <w:r>
        <w:rPr>
          <w:rFonts w:ascii="Times New Roman" w:hAnsi="Times New Roman"/>
          <w:sz w:val="24"/>
          <w:szCs w:val="24"/>
        </w:rPr>
        <w:t xml:space="preserve">Il en est de même pour </w:t>
      </w:r>
      <w:r w:rsidRPr="007B43D0">
        <w:rPr>
          <w:rFonts w:ascii="Times New Roman" w:hAnsi="Times New Roman"/>
          <w:sz w:val="24"/>
          <w:szCs w:val="24"/>
        </w:rPr>
        <w:t xml:space="preserve">les individus vivant dans les ménages avec un chef de ménage employé dans la branche Agriculture (43,9%), Coton-textile (43,9%) et Commerce-logistique (42,1%) </w:t>
      </w:r>
      <w:r>
        <w:rPr>
          <w:rFonts w:ascii="Times New Roman" w:hAnsi="Times New Roman"/>
          <w:sz w:val="24"/>
          <w:szCs w:val="24"/>
        </w:rPr>
        <w:t xml:space="preserve">qui sont davantage </w:t>
      </w:r>
      <w:r w:rsidRPr="007B43D0">
        <w:rPr>
          <w:rFonts w:ascii="Times New Roman" w:hAnsi="Times New Roman"/>
          <w:sz w:val="24"/>
          <w:szCs w:val="24"/>
        </w:rPr>
        <w:t xml:space="preserve"> touchés par la pauvreté transitoire. </w:t>
      </w:r>
    </w:p>
    <w:p w:rsidR="00973485" w:rsidRDefault="00973485" w:rsidP="005845CB">
      <w:pPr>
        <w:spacing w:line="240" w:lineRule="auto"/>
        <w:rPr>
          <w:rFonts w:ascii="Times New Roman" w:hAnsi="Times New Roman"/>
          <w:sz w:val="24"/>
          <w:szCs w:val="24"/>
        </w:rPr>
      </w:pPr>
    </w:p>
    <w:p w:rsidR="00973485" w:rsidRDefault="00973485" w:rsidP="00973485">
      <w:pPr>
        <w:spacing w:line="276" w:lineRule="auto"/>
        <w:rPr>
          <w:rFonts w:ascii="Times New Roman" w:hAnsi="Times New Roman"/>
          <w:sz w:val="24"/>
          <w:szCs w:val="24"/>
        </w:rPr>
      </w:pPr>
      <w:r w:rsidRPr="007B43D0">
        <w:rPr>
          <w:rFonts w:ascii="Times New Roman" w:hAnsi="Times New Roman"/>
          <w:sz w:val="24"/>
          <w:szCs w:val="24"/>
        </w:rPr>
        <w:t>La répartition des individus en situation de pauvreté persistante pour les deux premières catégories s’élève respectivement à 18,2% et 17,0%.</w:t>
      </w:r>
      <w:r>
        <w:rPr>
          <w:rFonts w:ascii="Times New Roman" w:hAnsi="Times New Roman"/>
          <w:sz w:val="24"/>
          <w:szCs w:val="24"/>
        </w:rPr>
        <w:t xml:space="preserve"> Par contre</w:t>
      </w:r>
      <w:r w:rsidRPr="007B43D0">
        <w:rPr>
          <w:rFonts w:ascii="Times New Roman" w:hAnsi="Times New Roman"/>
          <w:sz w:val="24"/>
          <w:szCs w:val="24"/>
        </w:rPr>
        <w:t xml:space="preserve">, la catégorie des individus ayant un chef de ménage qui travaille dans l’Agroalimentaire, le BTP, la Culture-tourisme et les autres activités industrielles et artisanales sont modérément touchés par la pauvreté transitoire. La pauvreté persistante ne touche que moins de 10% des individus de ces catégories à l’exception de la catégorie Culture et tourisme (17,8%). </w:t>
      </w:r>
    </w:p>
    <w:p w:rsidR="00973485" w:rsidRDefault="00973485" w:rsidP="00973485">
      <w:pPr>
        <w:spacing w:line="240" w:lineRule="auto"/>
        <w:rPr>
          <w:rFonts w:ascii="Times New Roman" w:hAnsi="Times New Roman"/>
          <w:b/>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1F0BEC" w:rsidRPr="001F0BEC" w:rsidTr="003E6F2A">
        <w:trPr>
          <w:trHeight w:val="347"/>
        </w:trPr>
        <w:tc>
          <w:tcPr>
            <w:tcW w:w="9288" w:type="dxa"/>
            <w:shd w:val="clear" w:color="auto" w:fill="92CDDC" w:themeFill="accent5" w:themeFillTint="99"/>
          </w:tcPr>
          <w:p w:rsidR="001F0BEC" w:rsidRPr="001F0BEC" w:rsidRDefault="001F0BEC" w:rsidP="0065531C">
            <w:pPr>
              <w:spacing w:line="240" w:lineRule="auto"/>
              <w:rPr>
                <w:rFonts w:ascii="Times New Roman" w:hAnsi="Times New Roman"/>
                <w:sz w:val="24"/>
                <w:szCs w:val="24"/>
              </w:rPr>
            </w:pPr>
            <w:bookmarkStart w:id="54" w:name="_Toc373430611"/>
            <w:r w:rsidRPr="001F0BEC">
              <w:rPr>
                <w:rFonts w:ascii="Times New Roman" w:hAnsi="Times New Roman"/>
                <w:sz w:val="24"/>
                <w:szCs w:val="24"/>
              </w:rPr>
              <w:t>Graphique 1.</w:t>
            </w:r>
            <w:r w:rsidR="00182C97" w:rsidRPr="001F0BEC">
              <w:rPr>
                <w:rFonts w:ascii="Times New Roman" w:hAnsi="Times New Roman"/>
                <w:sz w:val="24"/>
                <w:szCs w:val="24"/>
              </w:rPr>
              <w:fldChar w:fldCharType="begin"/>
            </w:r>
            <w:r w:rsidRPr="001F0BEC">
              <w:rPr>
                <w:rFonts w:ascii="Times New Roman" w:hAnsi="Times New Roman"/>
                <w:sz w:val="24"/>
                <w:szCs w:val="24"/>
              </w:rPr>
              <w:instrText xml:space="preserve"> SEQ Graphique_2. \* ARABIC </w:instrText>
            </w:r>
            <w:r w:rsidR="00182C97" w:rsidRPr="001F0BEC">
              <w:rPr>
                <w:rFonts w:ascii="Times New Roman" w:hAnsi="Times New Roman"/>
                <w:sz w:val="24"/>
                <w:szCs w:val="24"/>
              </w:rPr>
              <w:fldChar w:fldCharType="separate"/>
            </w:r>
            <w:r w:rsidR="00AB1967">
              <w:rPr>
                <w:rFonts w:ascii="Times New Roman" w:hAnsi="Times New Roman"/>
                <w:noProof/>
                <w:sz w:val="24"/>
                <w:szCs w:val="24"/>
              </w:rPr>
              <w:t>9</w:t>
            </w:r>
            <w:r w:rsidR="00182C97" w:rsidRPr="001F0BEC">
              <w:rPr>
                <w:rFonts w:ascii="Times New Roman" w:hAnsi="Times New Roman"/>
                <w:sz w:val="24"/>
                <w:szCs w:val="24"/>
              </w:rPr>
              <w:fldChar w:fldCharType="end"/>
            </w:r>
            <w:r w:rsidRPr="001F0BEC">
              <w:rPr>
                <w:rFonts w:ascii="Times New Roman" w:hAnsi="Times New Roman"/>
                <w:sz w:val="24"/>
                <w:szCs w:val="24"/>
              </w:rPr>
              <w:t xml:space="preserve">: Incidence des entrées et de la </w:t>
            </w:r>
            <w:r w:rsidR="0065531C" w:rsidRPr="001F0BEC">
              <w:rPr>
                <w:rFonts w:ascii="Times New Roman" w:hAnsi="Times New Roman"/>
                <w:sz w:val="24"/>
                <w:szCs w:val="24"/>
              </w:rPr>
              <w:t>persistan</w:t>
            </w:r>
            <w:r w:rsidR="0065531C">
              <w:rPr>
                <w:rFonts w:ascii="Times New Roman" w:hAnsi="Times New Roman"/>
                <w:sz w:val="24"/>
                <w:szCs w:val="24"/>
              </w:rPr>
              <w:t>c</w:t>
            </w:r>
            <w:r w:rsidR="0065531C" w:rsidRPr="001F0BEC">
              <w:rPr>
                <w:rFonts w:ascii="Times New Roman" w:hAnsi="Times New Roman"/>
                <w:sz w:val="24"/>
                <w:szCs w:val="24"/>
              </w:rPr>
              <w:t xml:space="preserve">e </w:t>
            </w:r>
            <w:r w:rsidRPr="001F0BEC">
              <w:rPr>
                <w:rFonts w:ascii="Times New Roman" w:hAnsi="Times New Roman"/>
                <w:sz w:val="24"/>
                <w:szCs w:val="24"/>
              </w:rPr>
              <w:t>de la pauvreté selon la qualité de l’emploi du chef de ménage et le milieu de résidence</w:t>
            </w:r>
            <w:bookmarkEnd w:id="54"/>
          </w:p>
        </w:tc>
      </w:tr>
      <w:tr w:rsidR="001F0BEC" w:rsidTr="003E6F2A">
        <w:tc>
          <w:tcPr>
            <w:tcW w:w="9288" w:type="dxa"/>
            <w:shd w:val="clear" w:color="auto" w:fill="DAEEF3" w:themeFill="accent5" w:themeFillTint="33"/>
          </w:tcPr>
          <w:p w:rsidR="001F0BEC" w:rsidRDefault="001F0BEC" w:rsidP="003E6F2A">
            <w:pPr>
              <w:spacing w:before="120" w:after="120" w:line="240" w:lineRule="auto"/>
              <w:ind w:left="-57"/>
              <w:jc w:val="center"/>
            </w:pPr>
            <w:r w:rsidRPr="006D1BFC">
              <w:rPr>
                <w:noProof/>
                <w:lang w:eastAsia="fr-FR"/>
              </w:rPr>
              <w:drawing>
                <wp:inline distT="0" distB="0" distL="0" distR="0" wp14:anchorId="40911AB2" wp14:editId="19B9FD4D">
                  <wp:extent cx="5748020" cy="3495675"/>
                  <wp:effectExtent l="19050" t="0" r="24130" b="0"/>
                  <wp:docPr id="51" name="Graphique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1F0BEC" w:rsidRPr="00E16B3C" w:rsidTr="003E6F2A">
        <w:tc>
          <w:tcPr>
            <w:tcW w:w="9288" w:type="dxa"/>
            <w:shd w:val="clear" w:color="auto" w:fill="DAEEF3" w:themeFill="accent5" w:themeFillTint="33"/>
          </w:tcPr>
          <w:p w:rsidR="001F0BEC" w:rsidRPr="00E16B3C" w:rsidRDefault="001F0BEC" w:rsidP="003E6F2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w:t>
            </w:r>
            <w:r w:rsidR="00961895">
              <w:rPr>
                <w:rFonts w:ascii="Times New Roman" w:hAnsi="Times New Roman"/>
              </w:rPr>
              <w:t>2009)</w:t>
            </w:r>
          </w:p>
        </w:tc>
      </w:tr>
    </w:tbl>
    <w:p w:rsidR="001F0BEC" w:rsidRDefault="001F0BEC" w:rsidP="005845CB">
      <w:pPr>
        <w:spacing w:line="240" w:lineRule="auto"/>
      </w:pPr>
    </w:p>
    <w:p w:rsidR="005845CB" w:rsidRDefault="005845CB" w:rsidP="005845CB">
      <w:pPr>
        <w:spacing w:line="276" w:lineRule="auto"/>
        <w:rPr>
          <w:rFonts w:ascii="Times New Roman" w:hAnsi="Times New Roman"/>
          <w:sz w:val="24"/>
          <w:szCs w:val="24"/>
        </w:rPr>
      </w:pPr>
      <w:r w:rsidRPr="005867C2">
        <w:rPr>
          <w:rFonts w:ascii="Times New Roman" w:hAnsi="Times New Roman"/>
          <w:sz w:val="24"/>
          <w:szCs w:val="24"/>
        </w:rPr>
        <w:t xml:space="preserve">De ces résultats, il ressort que </w:t>
      </w:r>
      <w:r w:rsidRPr="00B76D0A">
        <w:rPr>
          <w:rFonts w:ascii="Times New Roman" w:hAnsi="Times New Roman"/>
          <w:sz w:val="24"/>
          <w:szCs w:val="24"/>
        </w:rPr>
        <w:t>le fait donc d’occuper un emploi même s’il ne protège pas contre la pauvreté transitoire, permet parfois d’atténuer le risque de la pauvreté persistante</w:t>
      </w:r>
      <w:r w:rsidRPr="005867C2">
        <w:rPr>
          <w:rFonts w:ascii="Times New Roman" w:hAnsi="Times New Roman"/>
          <w:sz w:val="24"/>
          <w:szCs w:val="24"/>
        </w:rPr>
        <w:t>.</w:t>
      </w:r>
      <w:r w:rsidR="001A55A9">
        <w:rPr>
          <w:rFonts w:ascii="Times New Roman" w:hAnsi="Times New Roman"/>
          <w:sz w:val="24"/>
          <w:szCs w:val="24"/>
        </w:rPr>
        <w:t xml:space="preserve"> </w:t>
      </w:r>
      <w:r w:rsidRPr="00B76D0A">
        <w:rPr>
          <w:rFonts w:ascii="Times New Roman" w:hAnsi="Times New Roman"/>
          <w:sz w:val="24"/>
          <w:szCs w:val="24"/>
        </w:rPr>
        <w:t xml:space="preserve">Ils soulèvent globalement </w:t>
      </w:r>
      <w:r>
        <w:rPr>
          <w:rFonts w:ascii="Times New Roman" w:hAnsi="Times New Roman"/>
          <w:sz w:val="24"/>
          <w:szCs w:val="24"/>
        </w:rPr>
        <w:t>comme le montre l</w:t>
      </w:r>
      <w:r w:rsidR="00676CBE">
        <w:rPr>
          <w:rFonts w:ascii="Times New Roman" w:hAnsi="Times New Roman"/>
          <w:sz w:val="24"/>
          <w:szCs w:val="24"/>
        </w:rPr>
        <w:t xml:space="preserve">e graphique </w:t>
      </w:r>
      <w:r>
        <w:rPr>
          <w:rFonts w:ascii="Times New Roman" w:hAnsi="Times New Roman"/>
          <w:sz w:val="24"/>
          <w:szCs w:val="24"/>
        </w:rPr>
        <w:t>1.</w:t>
      </w:r>
      <w:r w:rsidR="00676CBE">
        <w:rPr>
          <w:rFonts w:ascii="Times New Roman" w:hAnsi="Times New Roman"/>
          <w:sz w:val="24"/>
          <w:szCs w:val="24"/>
        </w:rPr>
        <w:t>9</w:t>
      </w:r>
      <w:r>
        <w:rPr>
          <w:rFonts w:ascii="Times New Roman" w:hAnsi="Times New Roman"/>
          <w:sz w:val="24"/>
          <w:szCs w:val="24"/>
        </w:rPr>
        <w:t xml:space="preserve"> que le gain de l’emploi n’apparait pas ici  comme un facteur déterminant pour échapper à la pauvreté. Ils mettent ainsi l’accent sur </w:t>
      </w:r>
      <w:r w:rsidRPr="00B76D0A">
        <w:rPr>
          <w:rFonts w:ascii="Times New Roman" w:hAnsi="Times New Roman"/>
          <w:sz w:val="24"/>
          <w:szCs w:val="24"/>
        </w:rPr>
        <w:t xml:space="preserve">la question de la qualité </w:t>
      </w:r>
      <w:r>
        <w:rPr>
          <w:rFonts w:ascii="Times New Roman" w:hAnsi="Times New Roman"/>
          <w:sz w:val="24"/>
          <w:szCs w:val="24"/>
        </w:rPr>
        <w:t xml:space="preserve">et de la productivité </w:t>
      </w:r>
      <w:r w:rsidRPr="00B76D0A">
        <w:rPr>
          <w:rFonts w:ascii="Times New Roman" w:hAnsi="Times New Roman"/>
          <w:sz w:val="24"/>
          <w:szCs w:val="24"/>
        </w:rPr>
        <w:t xml:space="preserve">de l’emploi sur laquelle les politiques de l’emploi devraient être axées étant donné que, le taux de salarisation est faible et que plus de la moitié de la population active occupée au Bénin est caractérisé par le sous-emploi. </w:t>
      </w:r>
      <w:r w:rsidRPr="0092511F">
        <w:rPr>
          <w:rFonts w:ascii="Times New Roman" w:hAnsi="Times New Roman"/>
          <w:sz w:val="24"/>
          <w:szCs w:val="24"/>
        </w:rPr>
        <w:t>En effet, le taux de salarisation</w:t>
      </w:r>
      <w:r w:rsidRPr="0092511F">
        <w:rPr>
          <w:rStyle w:val="Appelnotedebasdep"/>
          <w:rFonts w:ascii="Times New Roman" w:hAnsi="Times New Roman"/>
          <w:sz w:val="24"/>
          <w:szCs w:val="24"/>
        </w:rPr>
        <w:footnoteReference w:id="35"/>
      </w:r>
      <w:r w:rsidRPr="0092511F">
        <w:rPr>
          <w:rFonts w:ascii="Times New Roman" w:hAnsi="Times New Roman"/>
          <w:sz w:val="24"/>
          <w:szCs w:val="24"/>
        </w:rPr>
        <w:t xml:space="preserve"> des chefs de ménages est estimé à 10,6% en 2011 et globalement, 54% de la population sont sous-employés. Ces résultats dénotent de la précarité de l’emploi au Bénin.</w:t>
      </w:r>
    </w:p>
    <w:p w:rsidR="005845CB" w:rsidRDefault="005845CB" w:rsidP="005845CB">
      <w:pPr>
        <w:spacing w:line="240" w:lineRule="auto"/>
        <w:rPr>
          <w:rFonts w:ascii="Times New Roman" w:hAnsi="Times New Roman"/>
          <w:b/>
          <w:sz w:val="24"/>
          <w:szCs w:val="24"/>
        </w:rPr>
      </w:pPr>
    </w:p>
    <w:p w:rsidR="005845CB" w:rsidRDefault="005845CB" w:rsidP="005845CB">
      <w:pPr>
        <w:spacing w:line="276" w:lineRule="auto"/>
        <w:rPr>
          <w:rFonts w:ascii="Times New Roman" w:hAnsi="Times New Roman"/>
          <w:sz w:val="24"/>
          <w:szCs w:val="24"/>
        </w:rPr>
      </w:pPr>
      <w:r>
        <w:rPr>
          <w:rFonts w:ascii="Times New Roman" w:hAnsi="Times New Roman"/>
          <w:b/>
          <w:sz w:val="24"/>
          <w:szCs w:val="24"/>
        </w:rPr>
        <w:t xml:space="preserve">La quasi-totalité des ménages entrant dans la pauvreté et de ceux toujours pauvres ont à leur tête des personnes qui travaillent dans l’informel et une part relativement importante de ces derniers sont en situation de sous-emploi. </w:t>
      </w:r>
      <w:r w:rsidRPr="00001877">
        <w:rPr>
          <w:rFonts w:ascii="Times New Roman" w:hAnsi="Times New Roman"/>
          <w:sz w:val="24"/>
          <w:szCs w:val="24"/>
        </w:rPr>
        <w:t>Bien que le travail dans le secteur non formel caractérise presque toute la population</w:t>
      </w:r>
      <w:r w:rsidRPr="00001877">
        <w:rPr>
          <w:rStyle w:val="Appelnotedebasdep"/>
          <w:rFonts w:ascii="Times New Roman" w:hAnsi="Times New Roman"/>
          <w:sz w:val="24"/>
          <w:szCs w:val="24"/>
        </w:rPr>
        <w:footnoteReference w:id="36"/>
      </w:r>
      <w:r w:rsidRPr="00001877">
        <w:rPr>
          <w:rFonts w:ascii="Times New Roman" w:hAnsi="Times New Roman"/>
          <w:sz w:val="24"/>
          <w:szCs w:val="24"/>
        </w:rPr>
        <w:t>,</w:t>
      </w:r>
      <w:r w:rsidR="00483849">
        <w:rPr>
          <w:rFonts w:ascii="Times New Roman" w:hAnsi="Times New Roman"/>
          <w:sz w:val="24"/>
          <w:szCs w:val="24"/>
        </w:rPr>
        <w:t xml:space="preserve"> </w:t>
      </w:r>
      <w:r w:rsidRPr="009F6B4E">
        <w:rPr>
          <w:rFonts w:ascii="Times New Roman" w:hAnsi="Times New Roman"/>
          <w:sz w:val="24"/>
          <w:szCs w:val="24"/>
        </w:rPr>
        <w:t>les ménages entrés dans la pauvreté ont à leur tête des personnes en situation de sous-emploi invisible (42,7%) et visible (27,2%).</w:t>
      </w:r>
      <w:r>
        <w:rPr>
          <w:rFonts w:ascii="Times New Roman" w:hAnsi="Times New Roman"/>
          <w:sz w:val="24"/>
          <w:szCs w:val="24"/>
        </w:rPr>
        <w:t xml:space="preserve"> Cette situation est légèrement plus marquée en milieu rural et par rapport aux ménages pauvres persistants. Pour cette catégorie de ménages, </w:t>
      </w:r>
      <w:r w:rsidRPr="00A858B7">
        <w:rPr>
          <w:rFonts w:ascii="Times New Roman" w:hAnsi="Times New Roman"/>
          <w:sz w:val="24"/>
          <w:szCs w:val="24"/>
        </w:rPr>
        <w:t>40,9% sont en situation de sous-emploi invisible et 23% en situation de sous-emploi visible.</w:t>
      </w:r>
    </w:p>
    <w:p w:rsidR="000F3E26" w:rsidRDefault="000F3E26" w:rsidP="005845CB">
      <w:pPr>
        <w:spacing w:line="240" w:lineRule="auto"/>
        <w:rPr>
          <w:rFonts w:ascii="Times New Roman" w:hAnsi="Times New Roman"/>
          <w:sz w:val="24"/>
          <w:szCs w:val="24"/>
        </w:rPr>
      </w:pPr>
    </w:p>
    <w:p w:rsidR="002E7181" w:rsidRDefault="003740B0" w:rsidP="002E7181">
      <w:pPr>
        <w:spacing w:line="276" w:lineRule="auto"/>
        <w:rPr>
          <w:rFonts w:ascii="Times New Roman" w:hAnsi="Times New Roman"/>
          <w:sz w:val="24"/>
          <w:szCs w:val="24"/>
        </w:rPr>
      </w:pPr>
      <w:r w:rsidRPr="00D77250">
        <w:rPr>
          <w:rFonts w:ascii="Times New Roman" w:hAnsi="Times New Roman"/>
          <w:sz w:val="24"/>
          <w:szCs w:val="24"/>
        </w:rPr>
        <w:t>Ces premiers résultats montrent que la pauvreté est essentiellement un phénomène temporaire au Bénin. Le risque de pauvreté persistante ne concerne que certaines catégories d’individus</w:t>
      </w:r>
      <w:r w:rsidR="0002454E" w:rsidRPr="00D77250">
        <w:rPr>
          <w:rFonts w:ascii="Times New Roman" w:hAnsi="Times New Roman"/>
          <w:sz w:val="24"/>
          <w:szCs w:val="24"/>
        </w:rPr>
        <w:t xml:space="preserve"> qui méritent d’être privilégiées dans les stratégies de réduction de la pauvreté au Bénin</w:t>
      </w:r>
      <w:r w:rsidR="002C63C9">
        <w:rPr>
          <w:rFonts w:ascii="Times New Roman" w:hAnsi="Times New Roman"/>
          <w:sz w:val="24"/>
          <w:szCs w:val="24"/>
        </w:rPr>
        <w:t xml:space="preserve"> en raison </w:t>
      </w:r>
      <w:r w:rsidR="002C63C9" w:rsidRPr="0015639D">
        <w:rPr>
          <w:rFonts w:ascii="Times New Roman" w:hAnsi="Times New Roman"/>
          <w:sz w:val="24"/>
          <w:szCs w:val="24"/>
        </w:rPr>
        <w:t>de la rigidité de leur niveau</w:t>
      </w:r>
      <w:r w:rsidR="002C63C9">
        <w:rPr>
          <w:rFonts w:ascii="Times New Roman" w:hAnsi="Times New Roman"/>
          <w:sz w:val="24"/>
          <w:szCs w:val="24"/>
        </w:rPr>
        <w:t xml:space="preserve"> de vi</w:t>
      </w:r>
      <w:r w:rsidR="001064B7" w:rsidRPr="001064B7">
        <w:rPr>
          <w:rFonts w:ascii="Times New Roman" w:hAnsi="Times New Roman"/>
          <w:sz w:val="24"/>
          <w:szCs w:val="24"/>
        </w:rPr>
        <w:t>e (cf. graphique 1.</w:t>
      </w:r>
      <w:r w:rsidR="00676CBE">
        <w:rPr>
          <w:rFonts w:ascii="Times New Roman" w:hAnsi="Times New Roman"/>
          <w:sz w:val="24"/>
          <w:szCs w:val="24"/>
        </w:rPr>
        <w:t>10</w:t>
      </w:r>
      <w:r w:rsidR="001064B7" w:rsidRPr="001064B7">
        <w:rPr>
          <w:rFonts w:ascii="Times New Roman" w:hAnsi="Times New Roman"/>
          <w:sz w:val="24"/>
          <w:szCs w:val="24"/>
        </w:rPr>
        <w:t> : sortie de la pauvreté).</w:t>
      </w:r>
      <w:r w:rsidR="002C63C9">
        <w:rPr>
          <w:rFonts w:ascii="Times New Roman" w:hAnsi="Times New Roman"/>
          <w:sz w:val="24"/>
          <w:szCs w:val="24"/>
        </w:rPr>
        <w:t xml:space="preserve"> En effet, comme on peut s’y attendre, comparativement aux </w:t>
      </w:r>
      <w:r w:rsidR="00D242F8" w:rsidRPr="002C63C9">
        <w:rPr>
          <w:rFonts w:ascii="Times New Roman" w:hAnsi="Times New Roman"/>
          <w:sz w:val="24"/>
          <w:szCs w:val="24"/>
        </w:rPr>
        <w:t>ménages sorti</w:t>
      </w:r>
      <w:r w:rsidR="002C63C9" w:rsidRPr="002C63C9">
        <w:rPr>
          <w:rFonts w:ascii="Times New Roman" w:hAnsi="Times New Roman"/>
          <w:sz w:val="24"/>
          <w:szCs w:val="24"/>
        </w:rPr>
        <w:t>s</w:t>
      </w:r>
      <w:r w:rsidR="00D242F8" w:rsidRPr="002C63C9">
        <w:rPr>
          <w:rFonts w:ascii="Times New Roman" w:hAnsi="Times New Roman"/>
          <w:sz w:val="24"/>
          <w:szCs w:val="24"/>
        </w:rPr>
        <w:t xml:space="preserve"> de la pauvreté ou jamais pauvres</w:t>
      </w:r>
      <w:r w:rsidR="002C63C9" w:rsidRPr="002C63C9">
        <w:rPr>
          <w:rFonts w:ascii="Times New Roman" w:hAnsi="Times New Roman"/>
          <w:sz w:val="24"/>
          <w:szCs w:val="24"/>
        </w:rPr>
        <w:t xml:space="preserve">, la distribution des dépenses de consommation par tête </w:t>
      </w:r>
      <w:r w:rsidR="00D242F8" w:rsidRPr="002C63C9">
        <w:rPr>
          <w:rFonts w:ascii="Times New Roman" w:hAnsi="Times New Roman"/>
          <w:sz w:val="24"/>
          <w:szCs w:val="24"/>
        </w:rPr>
        <w:t>est plus étalée à gauche</w:t>
      </w:r>
      <w:r w:rsidR="002C63C9" w:rsidRPr="002C63C9">
        <w:rPr>
          <w:rFonts w:ascii="Times New Roman" w:hAnsi="Times New Roman"/>
          <w:sz w:val="24"/>
          <w:szCs w:val="24"/>
        </w:rPr>
        <w:t xml:space="preserve">. </w:t>
      </w:r>
    </w:p>
    <w:p w:rsidR="002E7181" w:rsidRDefault="002E7181"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3C7596" w:rsidRDefault="003C7596" w:rsidP="002E7181">
      <w:pPr>
        <w:spacing w:line="276" w:lineRule="auto"/>
        <w:rPr>
          <w:rFonts w:ascii="Times New Roman" w:hAnsi="Times New Roman"/>
          <w:sz w:val="24"/>
          <w:szCs w:val="24"/>
        </w:rPr>
      </w:pPr>
    </w:p>
    <w:p w:rsidR="003C7596" w:rsidRDefault="003C7596" w:rsidP="002E7181">
      <w:pPr>
        <w:spacing w:line="276" w:lineRule="auto"/>
        <w:rPr>
          <w:rFonts w:ascii="Times New Roman" w:hAnsi="Times New Roman"/>
          <w:sz w:val="24"/>
          <w:szCs w:val="24"/>
        </w:rPr>
      </w:pPr>
    </w:p>
    <w:p w:rsidR="003C7596" w:rsidRDefault="003C7596" w:rsidP="002E7181">
      <w:pPr>
        <w:spacing w:line="276" w:lineRule="auto"/>
        <w:rPr>
          <w:rFonts w:ascii="Times New Roman" w:hAnsi="Times New Roman"/>
          <w:sz w:val="24"/>
          <w:szCs w:val="24"/>
        </w:rPr>
      </w:pPr>
    </w:p>
    <w:p w:rsidR="003C7596" w:rsidRDefault="003C7596"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p w:rsidR="00E7006F" w:rsidRDefault="00E7006F" w:rsidP="002E7181">
      <w:pPr>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C71767" w:rsidTr="00C71767">
        <w:tc>
          <w:tcPr>
            <w:tcW w:w="9039" w:type="dxa"/>
            <w:shd w:val="clear" w:color="auto" w:fill="92CDDC" w:themeFill="accent5" w:themeFillTint="99"/>
          </w:tcPr>
          <w:p w:rsidR="00C71767" w:rsidRPr="00C71767" w:rsidRDefault="00C71767" w:rsidP="00C71767">
            <w:pPr>
              <w:spacing w:before="120" w:after="120" w:line="240" w:lineRule="auto"/>
              <w:ind w:left="-57"/>
              <w:jc w:val="left"/>
              <w:rPr>
                <w:rFonts w:ascii="Times New Roman" w:hAnsi="Times New Roman"/>
                <w:noProof/>
                <w:sz w:val="24"/>
                <w:szCs w:val="24"/>
                <w:lang w:eastAsia="fr-FR"/>
              </w:rPr>
            </w:pPr>
            <w:bookmarkStart w:id="55" w:name="_Toc373430612"/>
            <w:r w:rsidRPr="00C71767">
              <w:rPr>
                <w:rFonts w:ascii="Times New Roman" w:hAnsi="Times New Roman"/>
                <w:sz w:val="24"/>
                <w:szCs w:val="24"/>
              </w:rPr>
              <w:t>Graphique 1.</w:t>
            </w:r>
            <w:r w:rsidR="00182C97" w:rsidRPr="00C71767">
              <w:rPr>
                <w:rFonts w:ascii="Times New Roman" w:hAnsi="Times New Roman"/>
                <w:sz w:val="24"/>
                <w:szCs w:val="24"/>
              </w:rPr>
              <w:fldChar w:fldCharType="begin"/>
            </w:r>
            <w:r w:rsidRPr="00C71767">
              <w:rPr>
                <w:rFonts w:ascii="Times New Roman" w:hAnsi="Times New Roman"/>
                <w:sz w:val="24"/>
                <w:szCs w:val="24"/>
              </w:rPr>
              <w:instrText xml:space="preserve"> SEQ Graphique_2. \* ARABIC </w:instrText>
            </w:r>
            <w:r w:rsidR="00182C97" w:rsidRPr="00C71767">
              <w:rPr>
                <w:rFonts w:ascii="Times New Roman" w:hAnsi="Times New Roman"/>
                <w:sz w:val="24"/>
                <w:szCs w:val="24"/>
              </w:rPr>
              <w:fldChar w:fldCharType="separate"/>
            </w:r>
            <w:r w:rsidR="00AB1967">
              <w:rPr>
                <w:rFonts w:ascii="Times New Roman" w:hAnsi="Times New Roman"/>
                <w:noProof/>
                <w:sz w:val="24"/>
                <w:szCs w:val="24"/>
              </w:rPr>
              <w:t>10</w:t>
            </w:r>
            <w:r w:rsidR="00182C97" w:rsidRPr="00C71767">
              <w:rPr>
                <w:rFonts w:ascii="Times New Roman" w:hAnsi="Times New Roman"/>
                <w:sz w:val="24"/>
                <w:szCs w:val="24"/>
              </w:rPr>
              <w:fldChar w:fldCharType="end"/>
            </w:r>
            <w:r w:rsidRPr="00C71767">
              <w:rPr>
                <w:rFonts w:ascii="Times New Roman" w:hAnsi="Times New Roman"/>
                <w:sz w:val="24"/>
                <w:szCs w:val="24"/>
              </w:rPr>
              <w:t>: Courbes de densité des dépenses par tête 2006 et 2009 normalisées par les seuils de pauvreté respectifs</w:t>
            </w:r>
            <w:bookmarkEnd w:id="55"/>
          </w:p>
        </w:tc>
      </w:tr>
      <w:tr w:rsidR="001F0BEC" w:rsidTr="00273A58">
        <w:tc>
          <w:tcPr>
            <w:tcW w:w="9039" w:type="dxa"/>
            <w:shd w:val="clear" w:color="auto" w:fill="DAEEF3" w:themeFill="accent5" w:themeFillTint="33"/>
          </w:tcPr>
          <w:p w:rsidR="001F0BEC" w:rsidRDefault="001F0BEC" w:rsidP="003E6F2A">
            <w:pPr>
              <w:spacing w:before="120" w:after="120" w:line="240" w:lineRule="auto"/>
              <w:ind w:left="-57"/>
              <w:jc w:val="center"/>
            </w:pPr>
            <w:r w:rsidRPr="006D1BFC">
              <w:rPr>
                <w:noProof/>
                <w:lang w:eastAsia="fr-FR"/>
              </w:rPr>
              <w:drawing>
                <wp:inline distT="0" distB="0" distL="0" distR="0" wp14:anchorId="0F373643" wp14:editId="54296029">
                  <wp:extent cx="5340412" cy="3724835"/>
                  <wp:effectExtent l="19050" t="0" r="0" b="0"/>
                  <wp:docPr id="54" name="Image 16"/>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0" cstate="print"/>
                          <a:srcRect l="590" t="1183" r="2948" b="7097"/>
                          <a:stretch>
                            <a:fillRect/>
                          </a:stretch>
                        </pic:blipFill>
                        <pic:spPr bwMode="auto">
                          <a:xfrm>
                            <a:off x="0" y="0"/>
                            <a:ext cx="5352478" cy="3733251"/>
                          </a:xfrm>
                          <a:prstGeom prst="rect">
                            <a:avLst/>
                          </a:prstGeom>
                          <a:noFill/>
                          <a:ln w="9525">
                            <a:noFill/>
                            <a:miter lim="800000"/>
                            <a:headEnd/>
                            <a:tailEnd/>
                          </a:ln>
                          <a:effectLst/>
                        </pic:spPr>
                      </pic:pic>
                    </a:graphicData>
                  </a:graphic>
                </wp:inline>
              </w:drawing>
            </w:r>
          </w:p>
        </w:tc>
      </w:tr>
      <w:tr w:rsidR="001F0BEC" w:rsidRPr="00E16B3C" w:rsidTr="00273A58">
        <w:tc>
          <w:tcPr>
            <w:tcW w:w="9039" w:type="dxa"/>
            <w:shd w:val="clear" w:color="auto" w:fill="DAEEF3" w:themeFill="accent5" w:themeFillTint="33"/>
          </w:tcPr>
          <w:p w:rsidR="001F0BEC" w:rsidRPr="00E16B3C" w:rsidRDefault="001F0BEC" w:rsidP="003E6F2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w:t>
            </w:r>
            <w:r w:rsidR="00961895">
              <w:rPr>
                <w:rFonts w:ascii="Times New Roman" w:hAnsi="Times New Roman"/>
              </w:rPr>
              <w:t>2009)</w:t>
            </w:r>
          </w:p>
        </w:tc>
      </w:tr>
    </w:tbl>
    <w:p w:rsidR="001F0BEC" w:rsidRPr="006D1BFC" w:rsidRDefault="001F0BEC" w:rsidP="00CC312E">
      <w:pPr>
        <w:spacing w:line="240" w:lineRule="auto"/>
      </w:pPr>
    </w:p>
    <w:p w:rsidR="00A471E0" w:rsidRPr="00CC312E" w:rsidRDefault="00117A96" w:rsidP="00954048">
      <w:pPr>
        <w:pStyle w:val="Titre2"/>
        <w:rPr>
          <w:rFonts w:ascii="Times New Roman" w:hAnsi="Times New Roman" w:cs="Times New Roman"/>
          <w:i w:val="0"/>
          <w:color w:val="31849B" w:themeColor="accent5" w:themeShade="BF"/>
        </w:rPr>
      </w:pPr>
      <w:bookmarkStart w:id="56" w:name="_Toc382322918"/>
      <w:r w:rsidRPr="00CC312E">
        <w:rPr>
          <w:rFonts w:ascii="Times New Roman" w:hAnsi="Times New Roman" w:cs="Times New Roman"/>
          <w:i w:val="0"/>
          <w:color w:val="31849B" w:themeColor="accent5" w:themeShade="BF"/>
        </w:rPr>
        <w:t>1</w:t>
      </w:r>
      <w:r w:rsidR="00A471E0" w:rsidRPr="00CC312E">
        <w:rPr>
          <w:rFonts w:ascii="Times New Roman" w:hAnsi="Times New Roman" w:cs="Times New Roman"/>
          <w:i w:val="0"/>
          <w:color w:val="31849B" w:themeColor="accent5" w:themeShade="BF"/>
        </w:rPr>
        <w:t xml:space="preserve">.4  </w:t>
      </w:r>
      <w:r w:rsidR="006006EB" w:rsidRPr="00CC312E">
        <w:rPr>
          <w:rFonts w:ascii="Times New Roman" w:hAnsi="Times New Roman" w:cs="Times New Roman"/>
          <w:i w:val="0"/>
          <w:color w:val="31849B" w:themeColor="accent5" w:themeShade="BF"/>
        </w:rPr>
        <w:t xml:space="preserve">Les déterminants de </w:t>
      </w:r>
      <w:r w:rsidR="003740B0" w:rsidRPr="00CC312E">
        <w:rPr>
          <w:rFonts w:ascii="Times New Roman" w:hAnsi="Times New Roman" w:cs="Times New Roman"/>
          <w:i w:val="0"/>
          <w:color w:val="31849B" w:themeColor="accent5" w:themeShade="BF"/>
        </w:rPr>
        <w:t>la mobilité des ménages dans la pauvreté</w:t>
      </w:r>
      <w:bookmarkEnd w:id="56"/>
    </w:p>
    <w:p w:rsidR="00D51348" w:rsidRDefault="00920E5C" w:rsidP="00920E5C">
      <w:pPr>
        <w:spacing w:line="276" w:lineRule="auto"/>
        <w:rPr>
          <w:rFonts w:ascii="Times New Roman" w:hAnsi="Times New Roman"/>
          <w:sz w:val="24"/>
          <w:szCs w:val="24"/>
        </w:rPr>
      </w:pPr>
      <w:r w:rsidRPr="007B43D0">
        <w:rPr>
          <w:rFonts w:ascii="Times New Roman" w:hAnsi="Times New Roman"/>
          <w:sz w:val="24"/>
          <w:szCs w:val="24"/>
        </w:rPr>
        <w:t>Dans la littérature, très peu d’études ont traité de la dynamique individuelle en termes de transition dans les états de pauvreté entre périodes, dans les Pays en Développement en particulier en Afrique (Baulch et Haddinot, 2000).Toutefois, les travaux de Jalan et Ravallion (1998, 2000) portant sur la Chine et ceux de Gaiha (1988), Gaiha et Deolaliker (1993) et Chaudhri et Ravallion (1994) portant sur l’Inde, sont d’une utilité importante en termes de contribution dans la littérature</w:t>
      </w:r>
      <w:r w:rsidR="007267A1">
        <w:rPr>
          <w:rFonts w:ascii="Times New Roman" w:hAnsi="Times New Roman"/>
          <w:sz w:val="24"/>
          <w:szCs w:val="24"/>
        </w:rPr>
        <w:t xml:space="preserve"> empirique</w:t>
      </w:r>
      <w:r w:rsidRPr="007B43D0">
        <w:rPr>
          <w:rFonts w:ascii="Times New Roman" w:hAnsi="Times New Roman"/>
          <w:sz w:val="24"/>
          <w:szCs w:val="24"/>
        </w:rPr>
        <w:t>.</w:t>
      </w:r>
      <w:r w:rsidR="007E3FB4">
        <w:rPr>
          <w:rFonts w:ascii="Times New Roman" w:hAnsi="Times New Roman"/>
          <w:sz w:val="24"/>
          <w:szCs w:val="24"/>
        </w:rPr>
        <w:t xml:space="preserve"> Au Bénin, deux études ont abordé cette problématique. La première </w:t>
      </w:r>
      <w:r w:rsidR="00CB123F">
        <w:rPr>
          <w:rFonts w:ascii="Times New Roman" w:hAnsi="Times New Roman"/>
          <w:sz w:val="24"/>
          <w:szCs w:val="24"/>
        </w:rPr>
        <w:t xml:space="preserve">est </w:t>
      </w:r>
      <w:r w:rsidR="007E3FB4">
        <w:rPr>
          <w:rFonts w:ascii="Times New Roman" w:hAnsi="Times New Roman"/>
          <w:sz w:val="24"/>
          <w:szCs w:val="24"/>
        </w:rPr>
        <w:t xml:space="preserve">orientée uniquement sur le milieu </w:t>
      </w:r>
      <w:r w:rsidR="007E3FB4" w:rsidRPr="005C17C6">
        <w:rPr>
          <w:rFonts w:ascii="Times New Roman" w:hAnsi="Times New Roman"/>
          <w:sz w:val="24"/>
          <w:szCs w:val="24"/>
        </w:rPr>
        <w:t xml:space="preserve">urbain (Mededji, D. </w:t>
      </w:r>
      <w:r w:rsidR="004C4918" w:rsidRPr="005C17C6">
        <w:rPr>
          <w:rFonts w:ascii="Times New Roman" w:hAnsi="Times New Roman"/>
          <w:sz w:val="24"/>
          <w:szCs w:val="24"/>
        </w:rPr>
        <w:t>2008)</w:t>
      </w:r>
      <w:r w:rsidR="00822416">
        <w:rPr>
          <w:rFonts w:ascii="Times New Roman" w:hAnsi="Times New Roman"/>
          <w:sz w:val="24"/>
          <w:szCs w:val="24"/>
        </w:rPr>
        <w:t xml:space="preserve"> entre 1996 et 1999 </w:t>
      </w:r>
      <w:r w:rsidR="004C4918">
        <w:rPr>
          <w:rFonts w:ascii="Times New Roman" w:hAnsi="Times New Roman"/>
          <w:sz w:val="24"/>
          <w:szCs w:val="24"/>
        </w:rPr>
        <w:t>et la</w:t>
      </w:r>
      <w:r w:rsidR="007E3FB4">
        <w:rPr>
          <w:rFonts w:ascii="Times New Roman" w:hAnsi="Times New Roman"/>
          <w:sz w:val="24"/>
          <w:szCs w:val="24"/>
        </w:rPr>
        <w:t xml:space="preserve"> seconde </w:t>
      </w:r>
      <w:r w:rsidR="00D51348">
        <w:rPr>
          <w:rFonts w:ascii="Times New Roman" w:hAnsi="Times New Roman"/>
          <w:sz w:val="24"/>
          <w:szCs w:val="24"/>
        </w:rPr>
        <w:t xml:space="preserve">a porté sur un panel </w:t>
      </w:r>
      <w:r w:rsidR="00CB123F">
        <w:rPr>
          <w:rFonts w:ascii="Times New Roman" w:hAnsi="Times New Roman"/>
          <w:sz w:val="24"/>
          <w:szCs w:val="24"/>
        </w:rPr>
        <w:t xml:space="preserve">d’une année à l’échelle nationale </w:t>
      </w:r>
      <w:r w:rsidR="004C4918">
        <w:rPr>
          <w:rFonts w:ascii="Times New Roman" w:hAnsi="Times New Roman"/>
          <w:sz w:val="24"/>
          <w:szCs w:val="24"/>
        </w:rPr>
        <w:t>(Hodonou et al.2010)</w:t>
      </w:r>
      <w:r w:rsidR="00901726">
        <w:rPr>
          <w:rFonts w:ascii="Times New Roman" w:hAnsi="Times New Roman"/>
          <w:sz w:val="24"/>
          <w:szCs w:val="24"/>
        </w:rPr>
        <w:t>.</w:t>
      </w:r>
    </w:p>
    <w:p w:rsidR="00D51348" w:rsidRPr="00AA7FDE" w:rsidRDefault="00D51348" w:rsidP="00920E5C">
      <w:pPr>
        <w:spacing w:line="276" w:lineRule="auto"/>
        <w:rPr>
          <w:rFonts w:ascii="Times New Roman" w:hAnsi="Times New Roman"/>
          <w:sz w:val="20"/>
          <w:szCs w:val="20"/>
        </w:rPr>
      </w:pPr>
    </w:p>
    <w:p w:rsidR="00515E84" w:rsidRDefault="00195393">
      <w:pPr>
        <w:spacing w:line="276" w:lineRule="auto"/>
        <w:rPr>
          <w:rFonts w:ascii="Times New Roman" w:hAnsi="Times New Roman"/>
          <w:sz w:val="24"/>
          <w:szCs w:val="24"/>
          <w:highlight w:val="yellow"/>
        </w:rPr>
      </w:pPr>
      <w:r w:rsidRPr="006A0E89">
        <w:rPr>
          <w:rFonts w:ascii="Times New Roman" w:hAnsi="Times New Roman"/>
          <w:sz w:val="24"/>
          <w:szCs w:val="24"/>
        </w:rPr>
        <w:t xml:space="preserve">Comme suggéré dans la littérature empirique, les variables susceptibles d’expliquer la mobilité dans la pauvreté sont de deux ordres. </w:t>
      </w:r>
      <w:r w:rsidR="008603C9">
        <w:rPr>
          <w:rFonts w:ascii="Times New Roman" w:hAnsi="Times New Roman"/>
          <w:sz w:val="24"/>
          <w:szCs w:val="24"/>
        </w:rPr>
        <w:t>P</w:t>
      </w:r>
      <w:r w:rsidRPr="006A0E89">
        <w:rPr>
          <w:rFonts w:ascii="Times New Roman" w:hAnsi="Times New Roman"/>
          <w:sz w:val="24"/>
          <w:szCs w:val="24"/>
        </w:rPr>
        <w:t xml:space="preserve">remièrement, </w:t>
      </w:r>
      <w:r w:rsidR="008603C9">
        <w:rPr>
          <w:rFonts w:ascii="Times New Roman" w:hAnsi="Times New Roman"/>
          <w:sz w:val="24"/>
          <w:szCs w:val="24"/>
        </w:rPr>
        <w:t xml:space="preserve">il s’agit des </w:t>
      </w:r>
      <w:r w:rsidRPr="006A0E89">
        <w:rPr>
          <w:rFonts w:ascii="Times New Roman" w:hAnsi="Times New Roman"/>
          <w:sz w:val="24"/>
          <w:szCs w:val="24"/>
        </w:rPr>
        <w:t xml:space="preserve">variables relatives aux dotations initiales </w:t>
      </w:r>
      <w:r w:rsidR="009B3D7B" w:rsidRPr="006A0E89">
        <w:rPr>
          <w:rFonts w:ascii="Times New Roman" w:hAnsi="Times New Roman"/>
          <w:sz w:val="24"/>
          <w:szCs w:val="24"/>
        </w:rPr>
        <w:t xml:space="preserve"> des individus/ménages. </w:t>
      </w:r>
      <w:r w:rsidR="00B76D0A" w:rsidRPr="00B76D0A">
        <w:rPr>
          <w:rFonts w:ascii="Times New Roman" w:hAnsi="Times New Roman"/>
          <w:sz w:val="24"/>
          <w:szCs w:val="24"/>
        </w:rPr>
        <w:t xml:space="preserve">Elles portent sur les actifs humains, tels que les capacités élémentaires de travailler, les qualifications et une bonne santé; les actifs physiques, tels que l’accès aux infrastructures, les actifs financiers, tels que l’épargne et l’accès au crédit; les actifs sociaux, tels que les réseaux de contacts et d’obligations réciproques auxquels on peut faire appel en cas de besoin, et l’influence politique sur les ressources et enfin les actifs naturels, tels que la terre. Selon Grooteart (1995), les réponses des ménages aux changements de l’environnement économique sont essentiellement fonction du niveau de leur dotation avant ces changements. </w:t>
      </w:r>
    </w:p>
    <w:p w:rsidR="00515E84" w:rsidRPr="00AA7FDE" w:rsidRDefault="00515E84">
      <w:pPr>
        <w:spacing w:line="276" w:lineRule="auto"/>
        <w:rPr>
          <w:rFonts w:ascii="Times New Roman" w:hAnsi="Times New Roman"/>
          <w:sz w:val="20"/>
          <w:szCs w:val="20"/>
          <w:highlight w:val="yellow"/>
        </w:rPr>
      </w:pPr>
    </w:p>
    <w:p w:rsidR="00515E84" w:rsidRDefault="00B76D0A">
      <w:pPr>
        <w:spacing w:line="276" w:lineRule="auto"/>
        <w:rPr>
          <w:rFonts w:ascii="Times New Roman" w:hAnsi="Times New Roman"/>
          <w:sz w:val="24"/>
          <w:szCs w:val="24"/>
        </w:rPr>
      </w:pPr>
      <w:r w:rsidRPr="00B76D0A">
        <w:rPr>
          <w:rFonts w:ascii="Times New Roman" w:hAnsi="Times New Roman"/>
          <w:sz w:val="24"/>
          <w:szCs w:val="24"/>
        </w:rPr>
        <w:t xml:space="preserve">Deuxièmement, il s’agit des variables de chocs. </w:t>
      </w:r>
      <w:r w:rsidR="00604A71">
        <w:rPr>
          <w:rFonts w:ascii="Times New Roman" w:hAnsi="Times New Roman"/>
          <w:sz w:val="24"/>
          <w:szCs w:val="24"/>
        </w:rPr>
        <w:t xml:space="preserve">A cet effet, </w:t>
      </w:r>
      <w:r w:rsidRPr="00B76D0A">
        <w:rPr>
          <w:rFonts w:ascii="Times New Roman" w:hAnsi="Times New Roman"/>
          <w:sz w:val="24"/>
          <w:szCs w:val="24"/>
        </w:rPr>
        <w:t>Woolard</w:t>
      </w:r>
      <w:r w:rsidR="001528C2">
        <w:rPr>
          <w:rFonts w:ascii="Times New Roman" w:hAnsi="Times New Roman"/>
          <w:sz w:val="24"/>
          <w:szCs w:val="24"/>
        </w:rPr>
        <w:t xml:space="preserve"> </w:t>
      </w:r>
      <w:r w:rsidRPr="00B76D0A">
        <w:rPr>
          <w:rFonts w:ascii="Times New Roman" w:hAnsi="Times New Roman"/>
          <w:i/>
          <w:sz w:val="24"/>
          <w:szCs w:val="24"/>
        </w:rPr>
        <w:t>et al.</w:t>
      </w:r>
      <w:r w:rsidRPr="00B76D0A">
        <w:rPr>
          <w:rFonts w:ascii="Times New Roman" w:hAnsi="Times New Roman"/>
          <w:sz w:val="24"/>
          <w:szCs w:val="24"/>
        </w:rPr>
        <w:t xml:space="preserve"> (2004) ont mis en exergue </w:t>
      </w:r>
      <w:r w:rsidR="00FD1C29">
        <w:rPr>
          <w:rFonts w:ascii="Times New Roman" w:hAnsi="Times New Roman"/>
          <w:sz w:val="24"/>
          <w:szCs w:val="24"/>
        </w:rPr>
        <w:t xml:space="preserve">les variables </w:t>
      </w:r>
      <w:r w:rsidRPr="00B76D0A">
        <w:rPr>
          <w:rFonts w:ascii="Times New Roman" w:hAnsi="Times New Roman"/>
          <w:sz w:val="24"/>
          <w:szCs w:val="24"/>
        </w:rPr>
        <w:t>démographique et économique</w:t>
      </w:r>
      <w:r w:rsidR="00FD1C29">
        <w:rPr>
          <w:rFonts w:ascii="Times New Roman" w:hAnsi="Times New Roman"/>
          <w:sz w:val="24"/>
          <w:szCs w:val="24"/>
        </w:rPr>
        <w:t xml:space="preserve"> comme celles </w:t>
      </w:r>
      <w:r w:rsidR="00FD1C29" w:rsidRPr="00604A71">
        <w:rPr>
          <w:rFonts w:ascii="Times New Roman" w:hAnsi="Times New Roman"/>
          <w:sz w:val="24"/>
          <w:szCs w:val="24"/>
        </w:rPr>
        <w:t xml:space="preserve">qui provoquent des changements notoires au niveau du revenu </w:t>
      </w:r>
      <w:r w:rsidR="00FF3976">
        <w:rPr>
          <w:rFonts w:ascii="Times New Roman" w:hAnsi="Times New Roman"/>
          <w:sz w:val="24"/>
          <w:szCs w:val="24"/>
        </w:rPr>
        <w:t xml:space="preserve">et par conséquent sur le niveau </w:t>
      </w:r>
      <w:r w:rsidR="00FF3976" w:rsidRPr="00604A71">
        <w:rPr>
          <w:rFonts w:ascii="Times New Roman" w:hAnsi="Times New Roman"/>
          <w:sz w:val="24"/>
          <w:szCs w:val="24"/>
        </w:rPr>
        <w:t>du ménage</w:t>
      </w:r>
      <w:r w:rsidR="00FD1C29" w:rsidRPr="00604A71">
        <w:rPr>
          <w:rFonts w:ascii="Times New Roman" w:hAnsi="Times New Roman"/>
          <w:sz w:val="24"/>
          <w:szCs w:val="24"/>
        </w:rPr>
        <w:t xml:space="preserve">. </w:t>
      </w:r>
      <w:r w:rsidRPr="00B76D0A">
        <w:rPr>
          <w:rFonts w:ascii="Times New Roman" w:hAnsi="Times New Roman"/>
          <w:sz w:val="24"/>
          <w:szCs w:val="24"/>
        </w:rPr>
        <w:t>Du point de vue économique, il s’agit essentiellement : (i) de la perte d’emploi du chef du ménage et/ou d’autres membres du ménage ; (ii) de la réduction des transferts sociaux et monétaires en provenance des migrants du ménage ; (iii) de la réduction des revenus non salariaux du chef du ménage et/ou d’autres membre du ménage. Du point de vue démographique, les événements qui favorisent la mobilité du bien-être sont la variation de la taille du ménage (due à un décès, à des naissances ou à des migrations) et la composition démographique du ménage (part des enfants, par</w:t>
      </w:r>
      <w:r w:rsidR="00932CC2">
        <w:rPr>
          <w:rFonts w:ascii="Times New Roman" w:hAnsi="Times New Roman"/>
          <w:sz w:val="24"/>
          <w:szCs w:val="24"/>
        </w:rPr>
        <w:t>t</w:t>
      </w:r>
      <w:r w:rsidRPr="00B76D0A">
        <w:rPr>
          <w:rFonts w:ascii="Times New Roman" w:hAnsi="Times New Roman"/>
          <w:sz w:val="24"/>
          <w:szCs w:val="24"/>
        </w:rPr>
        <w:t xml:space="preserve"> des actifs hommes de moins de 65 ans, part </w:t>
      </w:r>
      <w:r w:rsidR="00262032" w:rsidRPr="00604A71">
        <w:rPr>
          <w:rFonts w:ascii="Times New Roman" w:hAnsi="Times New Roman"/>
          <w:sz w:val="24"/>
          <w:szCs w:val="24"/>
        </w:rPr>
        <w:t xml:space="preserve">de </w:t>
      </w:r>
      <w:r w:rsidRPr="00B76D0A">
        <w:rPr>
          <w:rFonts w:ascii="Times New Roman" w:hAnsi="Times New Roman"/>
          <w:sz w:val="24"/>
          <w:szCs w:val="24"/>
        </w:rPr>
        <w:t xml:space="preserve"> femmes </w:t>
      </w:r>
      <w:r w:rsidR="002F3927">
        <w:rPr>
          <w:rFonts w:ascii="Times New Roman" w:hAnsi="Times New Roman"/>
          <w:sz w:val="24"/>
          <w:szCs w:val="24"/>
        </w:rPr>
        <w:t xml:space="preserve">actives </w:t>
      </w:r>
      <w:r w:rsidRPr="00B76D0A">
        <w:rPr>
          <w:rFonts w:ascii="Times New Roman" w:hAnsi="Times New Roman"/>
          <w:sz w:val="24"/>
          <w:szCs w:val="24"/>
        </w:rPr>
        <w:t xml:space="preserve">de moins de 60 ans, etc.). </w:t>
      </w:r>
      <w:r w:rsidR="003B4EEA">
        <w:rPr>
          <w:rFonts w:ascii="Times New Roman" w:hAnsi="Times New Roman"/>
          <w:sz w:val="24"/>
          <w:szCs w:val="24"/>
        </w:rPr>
        <w:t>A ces deux catégories de chocs, s’ajoutent aussi des chocs sanitaires et biophysiques</w:t>
      </w:r>
      <w:r w:rsidR="001643D0">
        <w:rPr>
          <w:rFonts w:ascii="Times New Roman" w:hAnsi="Times New Roman"/>
          <w:sz w:val="24"/>
          <w:szCs w:val="24"/>
        </w:rPr>
        <w:t xml:space="preserve"> dont une forte probabilité de survenance peut favoriser la mobilité des ménages dans la pauvreté transitoire ou permanente. </w:t>
      </w:r>
    </w:p>
    <w:p w:rsidR="00515E84" w:rsidRPr="00AA7FDE" w:rsidRDefault="00515E84">
      <w:pPr>
        <w:spacing w:line="276" w:lineRule="auto"/>
        <w:rPr>
          <w:sz w:val="20"/>
          <w:szCs w:val="20"/>
          <w:highlight w:val="yellow"/>
        </w:rPr>
      </w:pPr>
    </w:p>
    <w:p w:rsidR="003740B0" w:rsidRDefault="00B76D0A" w:rsidP="00E31D4F">
      <w:pPr>
        <w:spacing w:line="276" w:lineRule="auto"/>
        <w:rPr>
          <w:rFonts w:ascii="Times New Roman" w:hAnsi="Times New Roman"/>
          <w:sz w:val="24"/>
          <w:szCs w:val="24"/>
        </w:rPr>
      </w:pPr>
      <w:r w:rsidRPr="00B76D0A">
        <w:rPr>
          <w:rFonts w:ascii="Times New Roman" w:hAnsi="Times New Roman"/>
          <w:sz w:val="24"/>
          <w:szCs w:val="24"/>
        </w:rPr>
        <w:t>Cette analyse s’appuie sur un modèle économétrique multinomial</w:t>
      </w:r>
      <w:r w:rsidR="00E31D4F" w:rsidRPr="00E31D4F">
        <w:rPr>
          <w:rFonts w:ascii="Times New Roman" w:hAnsi="Times New Roman"/>
          <w:sz w:val="24"/>
          <w:szCs w:val="24"/>
        </w:rPr>
        <w:t xml:space="preserve"> et </w:t>
      </w:r>
      <w:r w:rsidR="003740B0" w:rsidRPr="00E31D4F">
        <w:rPr>
          <w:rFonts w:ascii="Times New Roman" w:hAnsi="Times New Roman"/>
          <w:sz w:val="24"/>
          <w:szCs w:val="24"/>
        </w:rPr>
        <w:t>les données de panel relatives à deux périodes (2006 et 2009).</w:t>
      </w:r>
      <w:r w:rsidR="001528C2">
        <w:rPr>
          <w:rFonts w:ascii="Times New Roman" w:hAnsi="Times New Roman"/>
          <w:sz w:val="24"/>
          <w:szCs w:val="24"/>
        </w:rPr>
        <w:t xml:space="preserve"> </w:t>
      </w:r>
      <w:r w:rsidR="00E837B4">
        <w:rPr>
          <w:rFonts w:ascii="Times New Roman" w:hAnsi="Times New Roman"/>
          <w:sz w:val="24"/>
          <w:szCs w:val="24"/>
        </w:rPr>
        <w:t>Il</w:t>
      </w:r>
      <w:r w:rsidR="001528C2">
        <w:rPr>
          <w:rFonts w:ascii="Times New Roman" w:hAnsi="Times New Roman"/>
          <w:sz w:val="24"/>
          <w:szCs w:val="24"/>
        </w:rPr>
        <w:t xml:space="preserve"> </w:t>
      </w:r>
      <w:r w:rsidRPr="00B76D0A">
        <w:rPr>
          <w:rFonts w:ascii="Times New Roman" w:hAnsi="Times New Roman"/>
          <w:sz w:val="24"/>
          <w:szCs w:val="24"/>
        </w:rPr>
        <w:t>met en jeu le risque de pauvreté et plusieurs variables indépendantes</w:t>
      </w:r>
      <w:r w:rsidR="00B36D36">
        <w:rPr>
          <w:rFonts w:ascii="Times New Roman" w:hAnsi="Times New Roman"/>
          <w:sz w:val="24"/>
          <w:szCs w:val="24"/>
        </w:rPr>
        <w:t xml:space="preserve">. En prélude à cette analyse, il est procédé à une caractérisation des ménages selon </w:t>
      </w:r>
      <w:r w:rsidR="00BA390F">
        <w:rPr>
          <w:rFonts w:ascii="Times New Roman" w:hAnsi="Times New Roman"/>
          <w:sz w:val="24"/>
          <w:szCs w:val="24"/>
        </w:rPr>
        <w:t xml:space="preserve">la </w:t>
      </w:r>
      <w:r w:rsidR="00B36D36">
        <w:rPr>
          <w:rFonts w:ascii="Times New Roman" w:hAnsi="Times New Roman"/>
          <w:sz w:val="24"/>
          <w:szCs w:val="24"/>
        </w:rPr>
        <w:t xml:space="preserve">forme de mobilité. </w:t>
      </w:r>
    </w:p>
    <w:p w:rsidR="005845CB" w:rsidRPr="007B43D0" w:rsidRDefault="005845CB" w:rsidP="00E31D4F">
      <w:pPr>
        <w:spacing w:line="276"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3E6F2A" w:rsidTr="003E6F2A">
        <w:trPr>
          <w:trHeight w:val="397"/>
        </w:trPr>
        <w:tc>
          <w:tcPr>
            <w:tcW w:w="9212"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3E6F2A" w:rsidRPr="00D14B25" w:rsidRDefault="003E6F2A" w:rsidP="000B7460">
            <w:pPr>
              <w:spacing w:line="276" w:lineRule="auto"/>
              <w:rPr>
                <w:rFonts w:ascii="Times New Roman" w:hAnsi="Times New Roman"/>
                <w:sz w:val="24"/>
              </w:rPr>
            </w:pPr>
            <w:r w:rsidRPr="00F6082B">
              <w:rPr>
                <w:rFonts w:ascii="Times New Roman" w:hAnsi="Times New Roman"/>
                <w:b/>
                <w:sz w:val="24"/>
              </w:rPr>
              <w:t xml:space="preserve">Encadré </w:t>
            </w:r>
            <w:r>
              <w:rPr>
                <w:rFonts w:ascii="Times New Roman" w:hAnsi="Times New Roman"/>
                <w:b/>
                <w:sz w:val="24"/>
              </w:rPr>
              <w:t>1.</w:t>
            </w:r>
            <w:r w:rsidR="000B7460">
              <w:rPr>
                <w:rFonts w:ascii="Times New Roman" w:hAnsi="Times New Roman"/>
                <w:b/>
                <w:sz w:val="24"/>
              </w:rPr>
              <w:t>3</w:t>
            </w:r>
            <w:r w:rsidR="000B7460">
              <w:rPr>
                <w:rFonts w:ascii="Times New Roman" w:hAnsi="Times New Roman"/>
                <w:sz w:val="24"/>
              </w:rPr>
              <w:t> </w:t>
            </w:r>
            <w:r>
              <w:rPr>
                <w:rFonts w:ascii="Times New Roman" w:hAnsi="Times New Roman"/>
                <w:sz w:val="24"/>
              </w:rPr>
              <w:t xml:space="preserve">: Modèle Multinomial </w:t>
            </w:r>
          </w:p>
        </w:tc>
      </w:tr>
      <w:tr w:rsidR="003E6F2A" w:rsidTr="003E6F2A">
        <w:tc>
          <w:tcPr>
            <w:tcW w:w="9212" w:type="dxa"/>
            <w:tcBorders>
              <w:top w:val="single" w:sz="4" w:space="0" w:color="31849B" w:themeColor="accent5" w:themeShade="BF"/>
            </w:tcBorders>
            <w:shd w:val="clear" w:color="auto" w:fill="DBE5F1" w:themeFill="accent1" w:themeFillTint="33"/>
          </w:tcPr>
          <w:p w:rsidR="003E6F2A" w:rsidRPr="00D14B25" w:rsidRDefault="003E6F2A" w:rsidP="003E6F2A">
            <w:pPr>
              <w:spacing w:line="276" w:lineRule="auto"/>
              <w:rPr>
                <w:rFonts w:ascii="Times New Roman" w:hAnsi="Times New Roman"/>
                <w:sz w:val="12"/>
                <w:szCs w:val="12"/>
              </w:rPr>
            </w:pPr>
          </w:p>
          <w:p w:rsidR="003E6F2A" w:rsidRPr="00E7006F" w:rsidRDefault="003E6F2A" w:rsidP="003E6F2A">
            <w:pPr>
              <w:spacing w:line="276" w:lineRule="auto"/>
              <w:rPr>
                <w:rFonts w:ascii="Times New Roman" w:hAnsi="Times New Roman"/>
                <w:sz w:val="20"/>
                <w:szCs w:val="20"/>
              </w:rPr>
            </w:pPr>
            <w:r w:rsidRPr="00E7006F">
              <w:rPr>
                <w:rFonts w:ascii="Times New Roman" w:hAnsi="Times New Roman"/>
                <w:sz w:val="20"/>
                <w:szCs w:val="20"/>
              </w:rPr>
              <w:t>Le modèle multinomial est estimé avec pour variable déterminante la typologie de la transition du  ménage dans les états de pauvreté entre 2006 et 2009, et pour variables explicatives les caractéristiques socio-démographiques et socio-économiques du chef de ménage, les changements intervenus dans le ménage et les chocs subis par le ménage ainsi que les variables géographiques. Formellement, le modèle multinomial peut s’écrire comme suit :</w:t>
            </w:r>
          </w:p>
          <w:p w:rsidR="003E6F2A" w:rsidRPr="00E7006F" w:rsidRDefault="004F064D" w:rsidP="003E6F2A">
            <w:pPr>
              <w:spacing w:before="120" w:after="120" w:line="276" w:lineRule="auto"/>
              <w:rPr>
                <w:rFonts w:ascii="Times New Roman" w:hAnsi="Times New Roman"/>
                <w:sz w:val="20"/>
                <w:szCs w:val="20"/>
              </w:rPr>
            </w:pPr>
            <m:oMathPara>
              <m:oMath>
                <m:func>
                  <m:funcPr>
                    <m:ctrlPr>
                      <w:rPr>
                        <w:rFonts w:ascii="Cambria Math" w:hAnsi="Times New Roman"/>
                        <w:i/>
                        <w:sz w:val="20"/>
                        <w:szCs w:val="20"/>
                      </w:rPr>
                    </m:ctrlPr>
                  </m:funcPr>
                  <m:fName>
                    <m:sSub>
                      <m:sSubPr>
                        <m:ctrlPr>
                          <w:rPr>
                            <w:rFonts w:ascii="Cambria Math" w:hAnsi="Times New Roman"/>
                            <w:sz w:val="20"/>
                            <w:szCs w:val="20"/>
                          </w:rPr>
                        </m:ctrlPr>
                      </m:sSubPr>
                      <m:e>
                        <m:r>
                          <m:rPr>
                            <m:sty m:val="p"/>
                          </m:rPr>
                          <w:rPr>
                            <w:rFonts w:ascii="Cambria Math" w:hAnsi="Times New Roman"/>
                            <w:sz w:val="20"/>
                            <w:szCs w:val="20"/>
                          </w:rPr>
                          <m:t>Ω</m:t>
                        </m:r>
                      </m:e>
                      <m:sub>
                        <m:r>
                          <m:rPr>
                            <m:sty m:val="p"/>
                          </m:rPr>
                          <w:rPr>
                            <w:rFonts w:ascii="Cambria Math" w:hAnsi="Times New Roman"/>
                            <w:sz w:val="20"/>
                            <w:szCs w:val="20"/>
                          </w:rPr>
                          <m:t>m|j</m:t>
                        </m:r>
                      </m:sub>
                    </m:sSub>
                    <m:d>
                      <m:dPr>
                        <m:ctrlPr>
                          <w:rPr>
                            <w:rFonts w:ascii="Cambria Math" w:hAnsi="Times New Roman"/>
                            <w:sz w:val="20"/>
                            <w:szCs w:val="20"/>
                          </w:rPr>
                        </m:ctrlPr>
                      </m:dPr>
                      <m:e>
                        <m:r>
                          <m:rPr>
                            <m:sty m:val="p"/>
                          </m:rPr>
                          <w:rPr>
                            <w:rFonts w:ascii="Cambria Math" w:hAnsi="Times New Roman"/>
                            <w:sz w:val="20"/>
                            <w:szCs w:val="20"/>
                          </w:rPr>
                          <m:t>X</m:t>
                        </m:r>
                      </m:e>
                    </m:d>
                  </m:fName>
                  <m:e>
                    <m:r>
                      <m:rPr>
                        <m:sty m:val="p"/>
                      </m:rPr>
                      <w:rPr>
                        <w:rFonts w:ascii="Cambria Math" w:hAnsi="Times New Roman"/>
                        <w:sz w:val="20"/>
                        <w:szCs w:val="20"/>
                      </w:rPr>
                      <m:t>=</m:t>
                    </m:r>
                    <m:func>
                      <m:funcPr>
                        <m:ctrlPr>
                          <w:rPr>
                            <w:rFonts w:ascii="Cambria Math" w:hAnsi="Times New Roman"/>
                            <w:sz w:val="20"/>
                            <w:szCs w:val="20"/>
                          </w:rPr>
                        </m:ctrlPr>
                      </m:funcPr>
                      <m:fName>
                        <m:r>
                          <m:rPr>
                            <m:sty m:val="p"/>
                          </m:rPr>
                          <w:rPr>
                            <w:rFonts w:ascii="Cambria Math" w:hAnsi="Times New Roman"/>
                            <w:sz w:val="20"/>
                            <w:szCs w:val="20"/>
                          </w:rPr>
                          <m:t>ln</m:t>
                        </m:r>
                      </m:fName>
                      <m:e>
                        <m:f>
                          <m:fPr>
                            <m:ctrlPr>
                              <w:rPr>
                                <w:rFonts w:ascii="Cambria Math" w:hAnsi="Times New Roman"/>
                                <w:sz w:val="20"/>
                                <w:szCs w:val="20"/>
                              </w:rPr>
                            </m:ctrlPr>
                          </m:fPr>
                          <m:num>
                            <m:r>
                              <m:rPr>
                                <m:sty m:val="p"/>
                              </m:rPr>
                              <w:rPr>
                                <w:rFonts w:ascii="Cambria Math" w:hAnsi="Times New Roman"/>
                                <w:sz w:val="20"/>
                                <w:szCs w:val="20"/>
                              </w:rPr>
                              <m:t>Pr</m:t>
                            </m:r>
                            <m:r>
                              <m:rPr>
                                <m:sty m:val="p"/>
                              </m:rPr>
                              <w:rPr>
                                <w:rFonts w:ascii="Cambria Math" w:hAnsi="Cambria Math"/>
                                <w:sz w:val="20"/>
                                <w:szCs w:val="20"/>
                              </w:rPr>
                              <m:t>⁡</m:t>
                            </m:r>
                            <m:r>
                              <m:rPr>
                                <m:sty m:val="p"/>
                              </m:rPr>
                              <w:rPr>
                                <w:rFonts w:ascii="Cambria Math" w:hAnsi="Times New Roman"/>
                                <w:sz w:val="20"/>
                                <w:szCs w:val="20"/>
                              </w:rPr>
                              <m:t>(Transition=m|X)</m:t>
                            </m:r>
                          </m:num>
                          <m:den>
                            <m:r>
                              <m:rPr>
                                <m:sty m:val="p"/>
                              </m:rPr>
                              <w:rPr>
                                <w:rFonts w:ascii="Cambria Math" w:hAnsi="Times New Roman"/>
                                <w:sz w:val="20"/>
                                <w:szCs w:val="20"/>
                              </w:rPr>
                              <m:t>Pr</m:t>
                            </m:r>
                            <m:r>
                              <m:rPr>
                                <m:sty m:val="p"/>
                              </m:rPr>
                              <w:rPr>
                                <w:rFonts w:ascii="Cambria Math" w:hAnsi="Cambria Math"/>
                                <w:sz w:val="20"/>
                                <w:szCs w:val="20"/>
                              </w:rPr>
                              <m:t>⁡</m:t>
                            </m:r>
                            <m:r>
                              <m:rPr>
                                <m:sty m:val="p"/>
                              </m:rPr>
                              <w:rPr>
                                <w:rFonts w:ascii="Cambria Math" w:hAnsi="Times New Roman"/>
                                <w:sz w:val="20"/>
                                <w:szCs w:val="20"/>
                              </w:rPr>
                              <m:t>(Transition=j|X)</m:t>
                            </m:r>
                          </m:den>
                        </m:f>
                      </m:e>
                    </m:func>
                  </m:e>
                </m:func>
                <m:r>
                  <w:rPr>
                    <w:rFonts w:ascii="Cambria Math" w:hAnsi="Times New Roman"/>
                    <w:sz w:val="20"/>
                    <w:szCs w:val="20"/>
                  </w:rPr>
                  <m:t>=</m:t>
                </m:r>
                <m:r>
                  <m:rPr>
                    <m:sty m:val="p"/>
                  </m:rPr>
                  <w:rPr>
                    <w:rFonts w:ascii="Cambria Math" w:hAnsi="Times New Roman"/>
                    <w:sz w:val="20"/>
                    <w:szCs w:val="20"/>
                  </w:rPr>
                  <m:t>X</m:t>
                </m:r>
                <m:sSub>
                  <m:sSubPr>
                    <m:ctrlPr>
                      <w:rPr>
                        <w:rFonts w:ascii="Cambria Math" w:hAnsi="Times New Roman"/>
                        <w:i/>
                        <w:sz w:val="20"/>
                        <w:szCs w:val="20"/>
                      </w:rPr>
                    </m:ctrlPr>
                  </m:sSubPr>
                  <m:e>
                    <m:r>
                      <w:rPr>
                        <w:rFonts w:ascii="Cambria Math" w:hAnsi="Cambria Math"/>
                        <w:sz w:val="20"/>
                        <w:szCs w:val="20"/>
                      </w:rPr>
                      <m:t>β</m:t>
                    </m:r>
                  </m:e>
                  <m:sub>
                    <m:r>
                      <m:rPr>
                        <m:sty m:val="p"/>
                      </m:rPr>
                      <w:rPr>
                        <w:rFonts w:ascii="Cambria Math" w:hAnsi="Times New Roman"/>
                        <w:sz w:val="20"/>
                        <w:szCs w:val="20"/>
                      </w:rPr>
                      <m:t>m|j</m:t>
                    </m:r>
                  </m:sub>
                </m:sSub>
                <m:r>
                  <w:rPr>
                    <w:rFonts w:ascii="Cambria Math" w:hAnsi="Times New Roman"/>
                    <w:sz w:val="20"/>
                    <w:szCs w:val="20"/>
                  </w:rPr>
                  <m:t xml:space="preserve">;  </m:t>
                </m:r>
                <m:r>
                  <m:rPr>
                    <m:sty m:val="p"/>
                  </m:rPr>
                  <w:rPr>
                    <w:rFonts w:ascii="Cambria Math" w:hAnsi="Cambria Math"/>
                    <w:sz w:val="20"/>
                    <w:szCs w:val="20"/>
                  </w:rPr>
                  <m:t>pour</m:t>
                </m:r>
                <m:r>
                  <w:rPr>
                    <w:rFonts w:ascii="Cambria Math" w:hAnsi="Cambria Math"/>
                    <w:sz w:val="20"/>
                    <w:szCs w:val="20"/>
                  </w:rPr>
                  <m:t>m</m:t>
                </m:r>
                <m:r>
                  <w:rPr>
                    <w:rFonts w:ascii="Cambria Math" w:hAnsi="Times New Roman"/>
                    <w:sz w:val="20"/>
                    <w:szCs w:val="20"/>
                  </w:rPr>
                  <m:t xml:space="preserve">=0,1, 2, 3 </m:t>
                </m:r>
                <m:r>
                  <w:rPr>
                    <w:rFonts w:ascii="Cambria Math" w:hAnsi="Cambria Math"/>
                    <w:sz w:val="20"/>
                    <w:szCs w:val="20"/>
                  </w:rPr>
                  <m:t>et  j=0, 1, 2, 3; j≠m</m:t>
                </m:r>
              </m:oMath>
            </m:oMathPara>
          </w:p>
          <w:p w:rsidR="003E6F2A" w:rsidRPr="00E7006F" w:rsidRDefault="003E6F2A" w:rsidP="003E6F2A">
            <w:pPr>
              <w:spacing w:after="120" w:line="276" w:lineRule="auto"/>
              <w:rPr>
                <w:rFonts w:ascii="Times New Roman" w:hAnsi="Times New Roman"/>
                <w:sz w:val="20"/>
                <w:szCs w:val="20"/>
              </w:rPr>
            </w:pPr>
            <w:r w:rsidRPr="00E7006F">
              <w:rPr>
                <w:rFonts w:ascii="Times New Roman" w:hAnsi="Times New Roman"/>
                <w:sz w:val="20"/>
                <w:szCs w:val="20"/>
              </w:rPr>
              <w:t xml:space="preserve">où X désigne la matrice formée par les variables explicatives, j désigne la modalité de référence (qui permet de comparer les groupe d’individus), m est la modalité expliquée, </w:t>
            </w:r>
            <m:oMath>
              <m:r>
                <w:rPr>
                  <w:rFonts w:ascii="Cambria Math" w:hAnsi="Cambria Math"/>
                  <w:sz w:val="20"/>
                  <w:szCs w:val="20"/>
                </w:rPr>
                <m:t>β</m:t>
              </m:r>
            </m:oMath>
            <w:r w:rsidRPr="00E7006F">
              <w:rPr>
                <w:rFonts w:ascii="Times New Roman" w:hAnsi="Times New Roman"/>
                <w:sz w:val="20"/>
                <w:szCs w:val="20"/>
              </w:rPr>
              <w:t xml:space="preserve"> est le vecteur des paramètres estimés et Transition désigne l’état enregistré au niveau du ménage en 2009 et est décrit par :</w:t>
            </w:r>
          </w:p>
          <w:p w:rsidR="003E6F2A" w:rsidRPr="00E7006F" w:rsidRDefault="003E6F2A" w:rsidP="003E6F2A">
            <w:pPr>
              <w:spacing w:line="276" w:lineRule="auto"/>
              <w:rPr>
                <w:rFonts w:ascii="Times New Roman" w:hAnsi="Times New Roman"/>
                <w:i/>
                <w:sz w:val="20"/>
                <w:szCs w:val="20"/>
              </w:rPr>
            </w:pPr>
            <m:oMathPara>
              <m:oMath>
                <m:r>
                  <w:rPr>
                    <w:rFonts w:ascii="Cambria Math" w:hAnsi="Times New Roman"/>
                    <w:sz w:val="20"/>
                    <w:szCs w:val="20"/>
                  </w:rPr>
                  <m:t>Transition=</m:t>
                </m:r>
                <m:d>
                  <m:dPr>
                    <m:begChr m:val="{"/>
                    <m:endChr m:val=""/>
                    <m:ctrlPr>
                      <w:rPr>
                        <w:rFonts w:ascii="Cambria Math" w:hAnsi="Times New Roman"/>
                        <w:i/>
                        <w:sz w:val="20"/>
                        <w:szCs w:val="20"/>
                      </w:rPr>
                    </m:ctrlPr>
                  </m:dPr>
                  <m:e>
                    <m:eqArr>
                      <m:eqArrPr>
                        <m:ctrlPr>
                          <w:rPr>
                            <w:rFonts w:ascii="Cambria Math" w:hAnsi="Times New Roman"/>
                            <w:i/>
                            <w:sz w:val="20"/>
                            <w:szCs w:val="20"/>
                          </w:rPr>
                        </m:ctrlPr>
                      </m:eqArrPr>
                      <m:e>
                        <m:r>
                          <w:rPr>
                            <w:rFonts w:ascii="Cambria Math" w:hAnsi="Times New Roman"/>
                            <w:sz w:val="20"/>
                            <w:szCs w:val="20"/>
                          </w:rPr>
                          <m:t>0  si le m</m:t>
                        </m:r>
                        <m:r>
                          <w:rPr>
                            <w:rFonts w:ascii="Cambria Math" w:hAnsi="Times New Roman"/>
                            <w:sz w:val="20"/>
                            <w:szCs w:val="20"/>
                          </w:rPr>
                          <m:t>é</m:t>
                        </m:r>
                        <m:r>
                          <w:rPr>
                            <w:rFonts w:ascii="Cambria Math" w:hAnsi="Times New Roman"/>
                            <w:sz w:val="20"/>
                            <w:szCs w:val="20"/>
                          </w:rPr>
                          <m:t>nage et rest</m:t>
                        </m:r>
                        <m:r>
                          <w:rPr>
                            <w:rFonts w:ascii="Cambria Math" w:hAnsi="Times New Roman"/>
                            <w:sz w:val="20"/>
                            <w:szCs w:val="20"/>
                          </w:rPr>
                          <m:t>é</m:t>
                        </m:r>
                        <m:r>
                          <w:rPr>
                            <w:rFonts w:ascii="Cambria Math" w:hAnsi="Times New Roman"/>
                            <w:sz w:val="20"/>
                            <w:szCs w:val="20"/>
                          </w:rPr>
                          <m:t xml:space="preserve"> toujours non pauvre                               </m:t>
                        </m:r>
                      </m:e>
                      <m:e>
                        <m:r>
                          <w:rPr>
                            <w:rFonts w:ascii="Cambria Math" w:hAnsi="Times New Roman"/>
                            <w:sz w:val="20"/>
                            <w:szCs w:val="20"/>
                          </w:rPr>
                          <m:t>1  si le m</m:t>
                        </m:r>
                        <m:r>
                          <w:rPr>
                            <w:rFonts w:ascii="Cambria Math" w:hAnsi="Times New Roman"/>
                            <w:sz w:val="20"/>
                            <w:szCs w:val="20"/>
                          </w:rPr>
                          <m:t>é</m:t>
                        </m:r>
                        <m:r>
                          <w:rPr>
                            <w:rFonts w:ascii="Cambria Math" w:hAnsi="Times New Roman"/>
                            <w:sz w:val="20"/>
                            <w:szCs w:val="20"/>
                          </w:rPr>
                          <m:t>nage est entr</m:t>
                        </m:r>
                        <m:r>
                          <w:rPr>
                            <w:rFonts w:ascii="Cambria Math" w:hAnsi="Times New Roman"/>
                            <w:sz w:val="20"/>
                            <w:szCs w:val="20"/>
                          </w:rPr>
                          <m:t>é</m:t>
                        </m:r>
                        <m:r>
                          <w:rPr>
                            <w:rFonts w:ascii="Cambria Math" w:hAnsi="Times New Roman"/>
                            <w:sz w:val="20"/>
                            <w:szCs w:val="20"/>
                          </w:rPr>
                          <m:t xml:space="preserve"> dans la pauvret</m:t>
                        </m:r>
                        <m:r>
                          <w:rPr>
                            <w:rFonts w:ascii="Cambria Math" w:hAnsi="Times New Roman"/>
                            <w:sz w:val="20"/>
                            <w:szCs w:val="20"/>
                          </w:rPr>
                          <m:t>é</m:t>
                        </m:r>
                        <m:r>
                          <w:rPr>
                            <w:rFonts w:ascii="Cambria Math" w:hAnsi="Times New Roman"/>
                            <w:sz w:val="20"/>
                            <w:szCs w:val="20"/>
                          </w:rPr>
                          <m:t xml:space="preserve">                                    </m:t>
                        </m:r>
                      </m:e>
                      <m:e>
                        <m:r>
                          <w:rPr>
                            <w:rFonts w:ascii="Cambria Math" w:hAnsi="Times New Roman"/>
                            <w:sz w:val="20"/>
                            <w:szCs w:val="20"/>
                          </w:rPr>
                          <m:t>2  si le m</m:t>
                        </m:r>
                        <m:r>
                          <w:rPr>
                            <w:rFonts w:ascii="Cambria Math" w:hAnsi="Times New Roman"/>
                            <w:sz w:val="20"/>
                            <w:szCs w:val="20"/>
                          </w:rPr>
                          <m:t>é</m:t>
                        </m:r>
                        <m:r>
                          <w:rPr>
                            <w:rFonts w:ascii="Cambria Math" w:hAnsi="Times New Roman"/>
                            <w:sz w:val="20"/>
                            <w:szCs w:val="20"/>
                          </w:rPr>
                          <m:t>nage est sorti dans la pauvret</m:t>
                        </m:r>
                        <m:r>
                          <w:rPr>
                            <w:rFonts w:ascii="Cambria Math" w:hAnsi="Times New Roman"/>
                            <w:sz w:val="20"/>
                            <w:szCs w:val="20"/>
                          </w:rPr>
                          <m:t>é</m:t>
                        </m:r>
                        <m:r>
                          <w:rPr>
                            <w:rFonts w:ascii="Cambria Math" w:hAnsi="Times New Roman"/>
                            <w:sz w:val="20"/>
                            <w:szCs w:val="20"/>
                          </w:rPr>
                          <m:t xml:space="preserve">                                     </m:t>
                        </m:r>
                        <m:ctrlPr>
                          <w:rPr>
                            <w:rFonts w:ascii="Cambria Math" w:eastAsia="Cambria Math" w:hAnsi="Times New Roman"/>
                            <w:i/>
                            <w:sz w:val="20"/>
                            <w:szCs w:val="20"/>
                          </w:rPr>
                        </m:ctrlPr>
                      </m:e>
                      <m:e>
                        <m:r>
                          <w:rPr>
                            <w:rFonts w:ascii="Cambria Math" w:hAnsi="Times New Roman"/>
                            <w:sz w:val="20"/>
                            <w:szCs w:val="20"/>
                          </w:rPr>
                          <m:t>3  si le m</m:t>
                        </m:r>
                        <m:r>
                          <w:rPr>
                            <w:rFonts w:ascii="Cambria Math" w:hAnsi="Times New Roman"/>
                            <w:sz w:val="20"/>
                            <w:szCs w:val="20"/>
                          </w:rPr>
                          <m:t>é</m:t>
                        </m:r>
                        <m:r>
                          <w:rPr>
                            <w:rFonts w:ascii="Cambria Math" w:hAnsi="Times New Roman"/>
                            <w:sz w:val="20"/>
                            <w:szCs w:val="20"/>
                          </w:rPr>
                          <m:t>nage est rest</m:t>
                        </m:r>
                        <m:r>
                          <w:rPr>
                            <w:rFonts w:ascii="Cambria Math" w:hAnsi="Times New Roman"/>
                            <w:sz w:val="20"/>
                            <w:szCs w:val="20"/>
                          </w:rPr>
                          <m:t>é</m:t>
                        </m:r>
                        <m:r>
                          <w:rPr>
                            <w:rFonts w:ascii="Cambria Math" w:hAnsi="Times New Roman"/>
                            <w:sz w:val="20"/>
                            <w:szCs w:val="20"/>
                          </w:rPr>
                          <m:t xml:space="preserve"> s</m:t>
                        </m:r>
                        <m:r>
                          <w:rPr>
                            <w:rFonts w:ascii="Cambria Math" w:hAnsi="Times New Roman"/>
                            <w:sz w:val="20"/>
                            <w:szCs w:val="20"/>
                          </w:rPr>
                          <m:t>é</m:t>
                        </m:r>
                        <m:r>
                          <w:rPr>
                            <w:rFonts w:ascii="Cambria Math" w:hAnsi="Times New Roman"/>
                            <w:sz w:val="20"/>
                            <w:szCs w:val="20"/>
                          </w:rPr>
                          <m:t>dentaire dans la pauvret</m:t>
                        </m:r>
                        <m:r>
                          <w:rPr>
                            <w:rFonts w:ascii="Cambria Math" w:hAnsi="Times New Roman"/>
                            <w:sz w:val="20"/>
                            <w:szCs w:val="20"/>
                          </w:rPr>
                          <m:t>é</m:t>
                        </m:r>
                        <m:r>
                          <w:rPr>
                            <w:rFonts w:ascii="Cambria Math" w:hAnsi="Times New Roman"/>
                            <w:sz w:val="20"/>
                            <w:szCs w:val="20"/>
                          </w:rPr>
                          <m:t xml:space="preserve">              </m:t>
                        </m:r>
                      </m:e>
                    </m:eqArr>
                  </m:e>
                </m:d>
              </m:oMath>
            </m:oMathPara>
          </w:p>
          <w:p w:rsidR="003E6F2A" w:rsidRPr="00E7006F" w:rsidRDefault="003E6F2A" w:rsidP="003E6F2A">
            <w:pPr>
              <w:spacing w:line="276" w:lineRule="auto"/>
              <w:rPr>
                <w:rFonts w:ascii="Times New Roman" w:hAnsi="Times New Roman"/>
                <w:sz w:val="20"/>
                <w:szCs w:val="20"/>
              </w:rPr>
            </w:pPr>
          </w:p>
          <w:p w:rsidR="003E6F2A" w:rsidRPr="00E7006F" w:rsidRDefault="003E6F2A" w:rsidP="003E6F2A">
            <w:pPr>
              <w:spacing w:line="240" w:lineRule="auto"/>
              <w:rPr>
                <w:rFonts w:ascii="Times New Roman" w:hAnsi="Times New Roman"/>
                <w:sz w:val="20"/>
                <w:szCs w:val="20"/>
              </w:rPr>
            </w:pPr>
            <w:r w:rsidRPr="00E7006F">
              <w:rPr>
                <w:rFonts w:ascii="Times New Roman" w:hAnsi="Times New Roman"/>
                <w:sz w:val="20"/>
                <w:szCs w:val="20"/>
              </w:rPr>
              <w:t xml:space="preserve">Les coefficients estimés dans le cadre de cette étude sont transformés en rapports de chance définis par </w:t>
            </w:r>
            <m:oMath>
              <m:r>
                <m:rPr>
                  <m:sty m:val="p"/>
                </m:rPr>
                <w:rPr>
                  <w:rFonts w:ascii="Cambria Math" w:hAnsi="Cambria Math"/>
                  <w:sz w:val="20"/>
                  <w:szCs w:val="20"/>
                </w:rPr>
                <m:t>exp⁡</m:t>
              </m:r>
              <m:r>
                <w:rPr>
                  <w:rFonts w:ascii="Cambria Math" w:hAnsi="Cambria Math"/>
                  <w:sz w:val="20"/>
                  <w:szCs w:val="20"/>
                </w:rPr>
                <m:t>(</m:t>
              </m:r>
              <m:sSub>
                <m:sSubPr>
                  <m:ctrlPr>
                    <w:rPr>
                      <w:rFonts w:ascii="Cambria Math" w:hAnsi="Times New Roman"/>
                      <w:i/>
                      <w:sz w:val="20"/>
                      <w:szCs w:val="20"/>
                    </w:rPr>
                  </m:ctrlPr>
                </m:sSubPr>
                <m:e>
                  <m:r>
                    <w:rPr>
                      <w:rFonts w:ascii="Cambria Math" w:hAnsi="Cambria Math"/>
                      <w:sz w:val="20"/>
                      <w:szCs w:val="20"/>
                    </w:rPr>
                    <m:t>β</m:t>
                  </m:r>
                </m:e>
                <m:sub>
                  <m:r>
                    <m:rPr>
                      <m:sty m:val="p"/>
                    </m:rPr>
                    <w:rPr>
                      <w:rFonts w:ascii="Cambria Math" w:hAnsi="Times New Roman"/>
                      <w:sz w:val="20"/>
                      <w:szCs w:val="20"/>
                    </w:rPr>
                    <m:t>m|j</m:t>
                  </m:r>
                </m:sub>
              </m:sSub>
              <m:r>
                <w:rPr>
                  <w:rFonts w:ascii="Cambria Math" w:hAnsi="Times New Roman"/>
                  <w:sz w:val="20"/>
                  <w:szCs w:val="20"/>
                </w:rPr>
                <m:t>)</m:t>
              </m:r>
            </m:oMath>
            <w:r w:rsidRPr="00E7006F">
              <w:rPr>
                <w:rFonts w:ascii="Times New Roman" w:hAnsi="Times New Roman"/>
                <w:sz w:val="20"/>
                <w:szCs w:val="20"/>
              </w:rPr>
              <w:t xml:space="preserve"> et s’interprètent comme les probabilités relatives de la modalité expliquée par rapport à la modalité de référence. </w:t>
            </w:r>
          </w:p>
          <w:p w:rsidR="003E6F2A" w:rsidRPr="00E7006F" w:rsidRDefault="003E6F2A" w:rsidP="003E6F2A">
            <w:pPr>
              <w:spacing w:line="276" w:lineRule="auto"/>
              <w:rPr>
                <w:sz w:val="20"/>
                <w:szCs w:val="20"/>
              </w:rPr>
            </w:pPr>
          </w:p>
          <w:p w:rsidR="003E6F2A" w:rsidRPr="00E7006F" w:rsidRDefault="003E6F2A" w:rsidP="003E6F2A">
            <w:pPr>
              <w:pStyle w:val="Corpsdetexte2"/>
              <w:spacing w:after="0" w:line="240" w:lineRule="auto"/>
              <w:jc w:val="both"/>
              <w:rPr>
                <w:sz w:val="20"/>
                <w:szCs w:val="20"/>
              </w:rPr>
            </w:pPr>
            <w:r w:rsidRPr="00E7006F">
              <w:rPr>
                <w:sz w:val="20"/>
                <w:szCs w:val="20"/>
              </w:rPr>
              <w:t>Ainsi, afin de permettre une interprétation aisée des résultats, nous les avons présentés en termes d’impact d’une variable indépendante sur le ratio du risque relatif (relative risk ratio, RRR). Le ratio du risque relatif est défini comme la probabilité d’une catégorie rapportée à celle de la catégorie de référence. La règle de décision la plus aisée qui montre l’impact des variables sur le RRR est que les impacts inférieurs à l’unité pour une variable augmentent la probabilité relative pour le ménage d’être dans la catégorie de référence tandis que les impacts supérieurs à l’unité impliquent que la variable réduit la probabilité relative d’appartenir à la catégorie de référence.</w:t>
            </w:r>
          </w:p>
          <w:p w:rsidR="003E6F2A" w:rsidRPr="00E7006F" w:rsidRDefault="003E6F2A" w:rsidP="003E6F2A">
            <w:pPr>
              <w:pStyle w:val="Corpsdetexte2"/>
              <w:spacing w:after="0" w:line="240" w:lineRule="auto"/>
              <w:jc w:val="both"/>
              <w:rPr>
                <w:sz w:val="20"/>
                <w:szCs w:val="20"/>
              </w:rPr>
            </w:pPr>
          </w:p>
          <w:p w:rsidR="003E6F2A" w:rsidRPr="00D14B25" w:rsidRDefault="003E6F2A" w:rsidP="003E6F2A">
            <w:pPr>
              <w:pStyle w:val="Corpsdetexte2"/>
              <w:spacing w:line="240" w:lineRule="auto"/>
              <w:jc w:val="both"/>
            </w:pPr>
            <w:r w:rsidRPr="00E7006F">
              <w:rPr>
                <w:sz w:val="20"/>
                <w:szCs w:val="20"/>
              </w:rPr>
              <w:t>Par exemple, si nous supposons que la probabilité qu’un ménage échappe à la pauvreté est de 0,10 et celle de demeurer pauvre de 0,20. Pour ce ménage, la probabilité relative d’échapper à la pauvreté sera de 0,50 si la catégorie de référence est constituée des pauvres chroniques.</w:t>
            </w:r>
          </w:p>
        </w:tc>
      </w:tr>
    </w:tbl>
    <w:p w:rsidR="003E6F2A" w:rsidRDefault="003E6F2A" w:rsidP="003E6F2A">
      <w:pPr>
        <w:spacing w:line="240" w:lineRule="auto"/>
        <w:rPr>
          <w:rFonts w:ascii="Times New Roman" w:hAnsi="Times New Roman"/>
          <w:b/>
          <w:sz w:val="24"/>
          <w:szCs w:val="24"/>
        </w:rPr>
      </w:pPr>
    </w:p>
    <w:p w:rsidR="00895521" w:rsidRDefault="00895521" w:rsidP="003740B0">
      <w:pPr>
        <w:spacing w:line="240" w:lineRule="auto"/>
        <w:rPr>
          <w:rFonts w:ascii="Times New Roman" w:hAnsi="Times New Roman"/>
          <w:b/>
          <w:sz w:val="24"/>
          <w:szCs w:val="24"/>
        </w:rPr>
      </w:pPr>
    </w:p>
    <w:p w:rsidR="003740B0" w:rsidRPr="007B43D0" w:rsidRDefault="003740B0" w:rsidP="003740B0">
      <w:pPr>
        <w:spacing w:line="240" w:lineRule="auto"/>
        <w:rPr>
          <w:rFonts w:ascii="Times New Roman" w:hAnsi="Times New Roman"/>
          <w:b/>
          <w:sz w:val="24"/>
          <w:szCs w:val="24"/>
        </w:rPr>
      </w:pPr>
      <w:r w:rsidRPr="00D41154">
        <w:rPr>
          <w:rFonts w:ascii="Times New Roman" w:hAnsi="Times New Roman"/>
          <w:b/>
          <w:sz w:val="24"/>
          <w:szCs w:val="24"/>
        </w:rPr>
        <w:t>Quelle caractérisation des ménages résulte de l’analyse de la mobilité dans la pauvreté ?</w:t>
      </w:r>
    </w:p>
    <w:p w:rsidR="003740B0" w:rsidRPr="00AA7FDE" w:rsidRDefault="003740B0" w:rsidP="003740B0">
      <w:pPr>
        <w:spacing w:line="240" w:lineRule="auto"/>
        <w:rPr>
          <w:rFonts w:ascii="Times New Roman" w:hAnsi="Times New Roman"/>
          <w:sz w:val="20"/>
          <w:szCs w:val="20"/>
        </w:rPr>
      </w:pPr>
    </w:p>
    <w:p w:rsidR="004467CA" w:rsidRDefault="00C76052" w:rsidP="004F3012">
      <w:pPr>
        <w:spacing w:line="276" w:lineRule="auto"/>
        <w:rPr>
          <w:rFonts w:ascii="Times New Roman" w:hAnsi="Times New Roman"/>
          <w:sz w:val="24"/>
          <w:szCs w:val="24"/>
        </w:rPr>
      </w:pPr>
      <w:r>
        <w:rPr>
          <w:rFonts w:ascii="Times New Roman" w:hAnsi="Times New Roman"/>
          <w:sz w:val="24"/>
          <w:szCs w:val="24"/>
        </w:rPr>
        <w:t>Pour mettre davantage en évidence, les caractéristiques des ménages selon leur état de pauvreté, une analyse en composante principale a été effectuée</w:t>
      </w:r>
      <w:r>
        <w:rPr>
          <w:rStyle w:val="Appelnotedebasdep"/>
          <w:rFonts w:ascii="Times New Roman" w:hAnsi="Times New Roman"/>
          <w:sz w:val="24"/>
          <w:szCs w:val="24"/>
        </w:rPr>
        <w:footnoteReference w:id="37"/>
      </w:r>
      <w:r>
        <w:rPr>
          <w:rFonts w:ascii="Times New Roman" w:hAnsi="Times New Roman"/>
          <w:sz w:val="24"/>
          <w:szCs w:val="24"/>
        </w:rPr>
        <w:t xml:space="preserve">. </w:t>
      </w:r>
      <w:r w:rsidR="00BB3DD5">
        <w:rPr>
          <w:rFonts w:ascii="Times New Roman" w:hAnsi="Times New Roman"/>
          <w:sz w:val="24"/>
          <w:szCs w:val="24"/>
        </w:rPr>
        <w:t>L</w:t>
      </w:r>
      <w:r w:rsidR="006701A9">
        <w:rPr>
          <w:rFonts w:ascii="Times New Roman" w:hAnsi="Times New Roman"/>
          <w:sz w:val="24"/>
          <w:szCs w:val="24"/>
        </w:rPr>
        <w:t xml:space="preserve">a figure </w:t>
      </w:r>
      <w:r w:rsidR="00A42068">
        <w:rPr>
          <w:rFonts w:ascii="Times New Roman" w:hAnsi="Times New Roman"/>
          <w:sz w:val="24"/>
          <w:szCs w:val="24"/>
        </w:rPr>
        <w:t>2.</w:t>
      </w:r>
      <w:r w:rsidR="006701A9">
        <w:rPr>
          <w:rFonts w:ascii="Times New Roman" w:hAnsi="Times New Roman"/>
          <w:sz w:val="24"/>
          <w:szCs w:val="24"/>
        </w:rPr>
        <w:t>2</w:t>
      </w:r>
      <w:r w:rsidR="00C14A27">
        <w:rPr>
          <w:rStyle w:val="Appelnotedebasdep"/>
          <w:rFonts w:ascii="Times New Roman" w:hAnsi="Times New Roman"/>
          <w:sz w:val="24"/>
          <w:szCs w:val="24"/>
        </w:rPr>
        <w:footnoteReference w:id="38"/>
      </w:r>
      <w:r w:rsidR="002C37C4" w:rsidRPr="007B43D0">
        <w:rPr>
          <w:rFonts w:ascii="Times New Roman" w:hAnsi="Times New Roman"/>
          <w:sz w:val="24"/>
          <w:szCs w:val="24"/>
        </w:rPr>
        <w:t>ci-après</w:t>
      </w:r>
      <w:r w:rsidR="002C37C4">
        <w:rPr>
          <w:rFonts w:ascii="Times New Roman" w:hAnsi="Times New Roman"/>
          <w:sz w:val="24"/>
          <w:szCs w:val="24"/>
        </w:rPr>
        <w:t xml:space="preserve"> qui représente le plan factoriel, </w:t>
      </w:r>
      <w:r w:rsidR="003740B0" w:rsidRPr="007B43D0">
        <w:rPr>
          <w:rFonts w:ascii="Times New Roman" w:hAnsi="Times New Roman"/>
          <w:sz w:val="24"/>
          <w:szCs w:val="24"/>
        </w:rPr>
        <w:t xml:space="preserve">met en relief l’effet particulièrement net des caractéristiques démographiques du chef de ménage, de la taille du ménage, de niveau de vie initial du ménage, de la situation d’emploi du chef de ménage, de la banche d’activité et des chocs subis </w:t>
      </w:r>
    </w:p>
    <w:p w:rsidR="006B2364" w:rsidRDefault="006B2364" w:rsidP="003740B0">
      <w:pPr>
        <w:spacing w:after="60" w:line="240" w:lineRule="auto"/>
        <w:rPr>
          <w:rFonts w:ascii="Times New Roman" w:hAnsi="Times New Roman"/>
          <w:b/>
          <w:sz w:val="24"/>
          <w:szCs w:val="24"/>
        </w:rPr>
        <w:sectPr w:rsidR="006B2364" w:rsidSect="00AE15F2">
          <w:headerReference w:type="default" r:id="rId41"/>
          <w:pgSz w:w="11906" w:h="16838"/>
          <w:pgMar w:top="1073" w:right="1417" w:bottom="1417" w:left="1417" w:header="284" w:footer="708" w:gutter="0"/>
          <w:cols w:space="708"/>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0"/>
      </w:tblGrid>
      <w:tr w:rsidR="00C71767" w:rsidRPr="003E6F2A" w:rsidTr="00C71767">
        <w:trPr>
          <w:trHeight w:val="347"/>
        </w:trPr>
        <w:tc>
          <w:tcPr>
            <w:tcW w:w="7022" w:type="dxa"/>
            <w:shd w:val="clear" w:color="auto" w:fill="92CDDC" w:themeFill="accent5" w:themeFillTint="99"/>
          </w:tcPr>
          <w:p w:rsidR="003E6F2A" w:rsidRPr="003E6F2A" w:rsidRDefault="003E6F2A" w:rsidP="00C71767">
            <w:pPr>
              <w:ind w:right="-5101"/>
              <w:rPr>
                <w:rFonts w:ascii="Times New Roman" w:hAnsi="Times New Roman"/>
                <w:sz w:val="24"/>
                <w:szCs w:val="24"/>
              </w:rPr>
            </w:pPr>
            <w:bookmarkStart w:id="57" w:name="_Toc382043301"/>
            <w:r w:rsidRPr="003E6F2A">
              <w:rPr>
                <w:rFonts w:ascii="Times New Roman" w:hAnsi="Times New Roman"/>
                <w:sz w:val="24"/>
                <w:szCs w:val="24"/>
              </w:rPr>
              <w:t>Figure 1.</w:t>
            </w:r>
            <w:r w:rsidR="00182C97" w:rsidRPr="003E6F2A">
              <w:rPr>
                <w:rFonts w:ascii="Times New Roman" w:hAnsi="Times New Roman"/>
                <w:sz w:val="24"/>
                <w:szCs w:val="24"/>
              </w:rPr>
              <w:fldChar w:fldCharType="begin"/>
            </w:r>
            <w:r w:rsidRPr="003E6F2A">
              <w:rPr>
                <w:rFonts w:ascii="Times New Roman" w:hAnsi="Times New Roman"/>
                <w:sz w:val="24"/>
                <w:szCs w:val="24"/>
              </w:rPr>
              <w:instrText xml:space="preserve"> SEQ Figure_2. \* ARABIC </w:instrText>
            </w:r>
            <w:r w:rsidR="00182C97" w:rsidRPr="003E6F2A">
              <w:rPr>
                <w:rFonts w:ascii="Times New Roman" w:hAnsi="Times New Roman"/>
                <w:sz w:val="24"/>
                <w:szCs w:val="24"/>
              </w:rPr>
              <w:fldChar w:fldCharType="separate"/>
            </w:r>
            <w:r w:rsidR="00AB1967">
              <w:rPr>
                <w:rFonts w:ascii="Times New Roman" w:hAnsi="Times New Roman"/>
                <w:noProof/>
                <w:sz w:val="24"/>
                <w:szCs w:val="24"/>
              </w:rPr>
              <w:t>2</w:t>
            </w:r>
            <w:r w:rsidR="00182C97" w:rsidRPr="003E6F2A">
              <w:rPr>
                <w:rFonts w:ascii="Times New Roman" w:hAnsi="Times New Roman"/>
                <w:sz w:val="24"/>
                <w:szCs w:val="24"/>
              </w:rPr>
              <w:fldChar w:fldCharType="end"/>
            </w:r>
            <w:r w:rsidRPr="003E6F2A">
              <w:rPr>
                <w:rFonts w:ascii="Times New Roman" w:hAnsi="Times New Roman"/>
                <w:sz w:val="24"/>
                <w:szCs w:val="24"/>
              </w:rPr>
              <w:t>: Typologie des ménages selon la transition dans la pauvreté entre 2006 et 2009</w:t>
            </w:r>
            <w:bookmarkEnd w:id="57"/>
          </w:p>
        </w:tc>
      </w:tr>
      <w:tr w:rsidR="00C71767" w:rsidTr="00C71767">
        <w:tc>
          <w:tcPr>
            <w:tcW w:w="7022" w:type="dxa"/>
            <w:shd w:val="clear" w:color="auto" w:fill="DAEEF3" w:themeFill="accent5" w:themeFillTint="33"/>
          </w:tcPr>
          <w:p w:rsidR="003E6F2A" w:rsidRDefault="003E6F2A" w:rsidP="003E6F2A">
            <w:pPr>
              <w:spacing w:before="120" w:after="120" w:line="240" w:lineRule="auto"/>
              <w:ind w:left="-57"/>
              <w:jc w:val="center"/>
            </w:pPr>
            <w:r w:rsidRPr="006D1BFC">
              <w:rPr>
                <w:noProof/>
                <w:lang w:eastAsia="fr-FR"/>
              </w:rPr>
              <w:drawing>
                <wp:inline distT="0" distB="0" distL="0" distR="0" wp14:anchorId="525AEB19" wp14:editId="04F9EEA2">
                  <wp:extent cx="8888730" cy="4343400"/>
                  <wp:effectExtent l="19050" t="19050" r="26670" b="19050"/>
                  <wp:docPr id="57" name="Image 3" descr="C:\RAIMI DOCS\INSAE\DSS\OPERATIONS ENQUETES ET ETUDE DSS\BANQUE MONDIALE_ ANALYSE PAUVRETE\Rapport d'analyse\Graphique A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RAIMI DOCS\INSAE\DSS\OPERATIONS ENQUETES ET ETUDE DSS\BANQUE MONDIALE_ ANALYSE PAUVRETE\Rapport d'analyse\Graphique ACM.png"/>
                          <pic:cNvPicPr>
                            <a:picLocks noChangeAspect="1" noChangeArrowheads="1"/>
                          </pic:cNvPicPr>
                        </pic:nvPicPr>
                        <pic:blipFill>
                          <a:blip r:embed="rId42" cstate="print"/>
                          <a:srcRect t="1617"/>
                          <a:stretch>
                            <a:fillRect/>
                          </a:stretch>
                        </pic:blipFill>
                        <pic:spPr bwMode="auto">
                          <a:xfrm>
                            <a:off x="0" y="0"/>
                            <a:ext cx="8888730" cy="4343400"/>
                          </a:xfrm>
                          <a:prstGeom prst="rect">
                            <a:avLst/>
                          </a:prstGeom>
                          <a:noFill/>
                          <a:ln w="9525" cmpd="sng">
                            <a:solidFill>
                              <a:srgbClr val="4F81BD"/>
                            </a:solidFill>
                            <a:miter lim="800000"/>
                            <a:headEnd/>
                            <a:tailEnd/>
                          </a:ln>
                          <a:effectLst/>
                        </pic:spPr>
                      </pic:pic>
                    </a:graphicData>
                  </a:graphic>
                </wp:inline>
              </w:drawing>
            </w:r>
          </w:p>
        </w:tc>
      </w:tr>
      <w:tr w:rsidR="00C71767" w:rsidRPr="00E16B3C" w:rsidTr="00C71767">
        <w:tc>
          <w:tcPr>
            <w:tcW w:w="7022" w:type="dxa"/>
            <w:shd w:val="clear" w:color="auto" w:fill="DAEEF3" w:themeFill="accent5" w:themeFillTint="33"/>
          </w:tcPr>
          <w:p w:rsidR="003E6F2A" w:rsidRPr="00E16B3C" w:rsidRDefault="003E6F2A" w:rsidP="003E6F2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EMICoV (2006, 2009 )</w:t>
            </w:r>
          </w:p>
        </w:tc>
      </w:tr>
    </w:tbl>
    <w:p w:rsidR="00BA4675" w:rsidRPr="00E86323" w:rsidRDefault="001064B7">
      <w:pPr>
        <w:tabs>
          <w:tab w:val="left" w:pos="1500"/>
        </w:tabs>
        <w:jc w:val="left"/>
        <w:rPr>
          <w:rFonts w:ascii="Times New Roman" w:hAnsi="Times New Roman"/>
          <w:sz w:val="24"/>
          <w:szCs w:val="24"/>
        </w:rPr>
        <w:sectPr w:rsidR="00BA4675" w:rsidRPr="00E86323" w:rsidSect="001B4547">
          <w:headerReference w:type="default" r:id="rId43"/>
          <w:pgSz w:w="16838" w:h="11906" w:orient="landscape"/>
          <w:pgMar w:top="1417" w:right="1417" w:bottom="1417" w:left="1417" w:header="284" w:footer="708" w:gutter="0"/>
          <w:cols w:space="708"/>
          <w:docGrid w:linePitch="360"/>
        </w:sectPr>
      </w:pPr>
      <w:r w:rsidRPr="001064B7">
        <w:rPr>
          <w:rFonts w:ascii="Times New Roman" w:hAnsi="Times New Roman"/>
          <w:sz w:val="24"/>
          <w:szCs w:val="24"/>
        </w:rPr>
        <w:tab/>
      </w:r>
    </w:p>
    <w:p w:rsidR="004F3012" w:rsidRDefault="004F3012" w:rsidP="004F3012">
      <w:pPr>
        <w:spacing w:line="276" w:lineRule="auto"/>
        <w:rPr>
          <w:rFonts w:ascii="Times New Roman" w:hAnsi="Times New Roman"/>
          <w:sz w:val="24"/>
          <w:szCs w:val="24"/>
        </w:rPr>
      </w:pPr>
      <w:r w:rsidRPr="007B43D0">
        <w:rPr>
          <w:rFonts w:ascii="Times New Roman" w:hAnsi="Times New Roman"/>
          <w:sz w:val="24"/>
          <w:szCs w:val="24"/>
        </w:rPr>
        <w:t xml:space="preserve">par le ménage, qui paraissent jouer un grand rôle pour expliquer </w:t>
      </w:r>
      <w:r>
        <w:rPr>
          <w:rFonts w:ascii="Times New Roman" w:hAnsi="Times New Roman"/>
          <w:sz w:val="24"/>
          <w:szCs w:val="24"/>
        </w:rPr>
        <w:t xml:space="preserve">les </w:t>
      </w:r>
      <w:r w:rsidR="00BA390F">
        <w:rPr>
          <w:rFonts w:ascii="Times New Roman" w:hAnsi="Times New Roman"/>
          <w:sz w:val="24"/>
          <w:szCs w:val="24"/>
        </w:rPr>
        <w:t xml:space="preserve">différences </w:t>
      </w:r>
      <w:r>
        <w:rPr>
          <w:rFonts w:ascii="Times New Roman" w:hAnsi="Times New Roman"/>
          <w:sz w:val="24"/>
          <w:szCs w:val="24"/>
        </w:rPr>
        <w:t xml:space="preserve">de la mobilité dans la pauvreté </w:t>
      </w:r>
      <w:r w:rsidRPr="007B43D0">
        <w:rPr>
          <w:rFonts w:ascii="Times New Roman" w:hAnsi="Times New Roman"/>
          <w:sz w:val="24"/>
          <w:szCs w:val="24"/>
        </w:rPr>
        <w:t xml:space="preserve">entre 2006 et 2009. </w:t>
      </w:r>
      <w:r>
        <w:rPr>
          <w:rFonts w:ascii="Times New Roman" w:hAnsi="Times New Roman"/>
          <w:sz w:val="24"/>
          <w:szCs w:val="24"/>
        </w:rPr>
        <w:t xml:space="preserve">Le milieu </w:t>
      </w:r>
      <w:r w:rsidRPr="007B43D0">
        <w:rPr>
          <w:rFonts w:ascii="Times New Roman" w:hAnsi="Times New Roman"/>
          <w:sz w:val="24"/>
          <w:szCs w:val="24"/>
        </w:rPr>
        <w:t>de résidence apparai</w:t>
      </w:r>
      <w:r>
        <w:rPr>
          <w:rFonts w:ascii="Times New Roman" w:hAnsi="Times New Roman"/>
          <w:sz w:val="24"/>
          <w:szCs w:val="24"/>
        </w:rPr>
        <w:t>t</w:t>
      </w:r>
      <w:r w:rsidRPr="007B43D0">
        <w:rPr>
          <w:rFonts w:ascii="Times New Roman" w:hAnsi="Times New Roman"/>
          <w:sz w:val="24"/>
          <w:szCs w:val="24"/>
        </w:rPr>
        <w:t xml:space="preserve"> aussi sans ambigüité </w:t>
      </w:r>
      <w:r>
        <w:rPr>
          <w:rFonts w:ascii="Times New Roman" w:hAnsi="Times New Roman"/>
          <w:sz w:val="24"/>
          <w:szCs w:val="24"/>
        </w:rPr>
        <w:t xml:space="preserve">comme un facteur déterminant </w:t>
      </w:r>
      <w:r w:rsidRPr="007B43D0">
        <w:rPr>
          <w:rFonts w:ascii="Times New Roman" w:hAnsi="Times New Roman"/>
          <w:sz w:val="24"/>
          <w:szCs w:val="24"/>
        </w:rPr>
        <w:t>du point de vue mobilité dans la pauvreté. En clair, il se dégage deux groupes de populations du point de vue mobilité dans les états de pauvreté entre 2006 et 2009 : groupe de ceux qui sont sorti</w:t>
      </w:r>
      <w:r>
        <w:rPr>
          <w:rFonts w:ascii="Times New Roman" w:hAnsi="Times New Roman"/>
          <w:sz w:val="24"/>
          <w:szCs w:val="24"/>
        </w:rPr>
        <w:t>s</w:t>
      </w:r>
      <w:r w:rsidRPr="007B43D0">
        <w:rPr>
          <w:rFonts w:ascii="Times New Roman" w:hAnsi="Times New Roman"/>
          <w:sz w:val="24"/>
          <w:szCs w:val="24"/>
        </w:rPr>
        <w:t xml:space="preserve"> de la pauvreté et groupe de ceux qui sont entrés ou sont demeurés</w:t>
      </w:r>
      <w:r w:rsidR="00676CBE">
        <w:rPr>
          <w:rFonts w:ascii="Times New Roman" w:hAnsi="Times New Roman"/>
          <w:sz w:val="24"/>
          <w:szCs w:val="24"/>
        </w:rPr>
        <w:t xml:space="preserve"> </w:t>
      </w:r>
      <w:r w:rsidRPr="007B43D0">
        <w:rPr>
          <w:rFonts w:ascii="Times New Roman" w:hAnsi="Times New Roman"/>
          <w:sz w:val="24"/>
          <w:szCs w:val="24"/>
        </w:rPr>
        <w:t xml:space="preserve">dans la pauvreté sur la période. </w:t>
      </w:r>
    </w:p>
    <w:p w:rsidR="004F3012" w:rsidRPr="002E7181" w:rsidRDefault="004F3012" w:rsidP="004F3012">
      <w:pPr>
        <w:spacing w:line="276" w:lineRule="auto"/>
        <w:rPr>
          <w:rFonts w:ascii="Times New Roman" w:hAnsi="Times New Roman"/>
          <w:sz w:val="12"/>
          <w:szCs w:val="12"/>
        </w:rPr>
      </w:pPr>
    </w:p>
    <w:p w:rsidR="004F3012" w:rsidRDefault="004F3012" w:rsidP="004F3012">
      <w:pPr>
        <w:spacing w:line="276" w:lineRule="auto"/>
        <w:rPr>
          <w:rFonts w:ascii="Times New Roman" w:hAnsi="Times New Roman"/>
          <w:sz w:val="24"/>
          <w:szCs w:val="24"/>
        </w:rPr>
      </w:pPr>
      <w:r w:rsidRPr="007B43D0">
        <w:rPr>
          <w:rFonts w:ascii="Times New Roman" w:hAnsi="Times New Roman"/>
          <w:sz w:val="24"/>
          <w:szCs w:val="24"/>
        </w:rPr>
        <w:t>Le premier groupe</w:t>
      </w:r>
      <w:r>
        <w:rPr>
          <w:rFonts w:ascii="Times New Roman" w:hAnsi="Times New Roman"/>
          <w:sz w:val="24"/>
          <w:szCs w:val="24"/>
        </w:rPr>
        <w:t>, ceux qui sont sortis de la pauvreté,</w:t>
      </w:r>
      <w:r w:rsidRPr="007B43D0">
        <w:rPr>
          <w:rFonts w:ascii="Times New Roman" w:hAnsi="Times New Roman"/>
          <w:sz w:val="24"/>
          <w:szCs w:val="24"/>
        </w:rPr>
        <w:t xml:space="preserve"> correspond </w:t>
      </w:r>
      <w:r>
        <w:rPr>
          <w:rFonts w:ascii="Times New Roman" w:hAnsi="Times New Roman"/>
          <w:sz w:val="24"/>
          <w:szCs w:val="24"/>
        </w:rPr>
        <w:t xml:space="preserve">comme on peut s’y attendre, </w:t>
      </w:r>
      <w:r w:rsidRPr="007B43D0">
        <w:rPr>
          <w:rFonts w:ascii="Times New Roman" w:hAnsi="Times New Roman"/>
          <w:sz w:val="24"/>
          <w:szCs w:val="24"/>
        </w:rPr>
        <w:t>aux ménages qui ont connu une amélioration de leurs conditions de vie en 2009 par rapport à 2006. Ceux</w:t>
      </w:r>
      <w:r>
        <w:rPr>
          <w:rFonts w:ascii="Times New Roman" w:hAnsi="Times New Roman"/>
          <w:sz w:val="24"/>
          <w:szCs w:val="24"/>
        </w:rPr>
        <w:t>-ci</w:t>
      </w:r>
      <w:r w:rsidRPr="007B43D0">
        <w:rPr>
          <w:rFonts w:ascii="Times New Roman" w:hAnsi="Times New Roman"/>
          <w:sz w:val="24"/>
          <w:szCs w:val="24"/>
        </w:rPr>
        <w:t xml:space="preserve"> sont en général des ménages de niveau de vie élevé en 2006, qui vivent en milieu urbain, de taille réduite (4 personnes </w:t>
      </w:r>
      <w:r>
        <w:rPr>
          <w:rFonts w:ascii="Times New Roman" w:hAnsi="Times New Roman"/>
          <w:sz w:val="24"/>
          <w:szCs w:val="24"/>
        </w:rPr>
        <w:t>ou moins</w:t>
      </w:r>
      <w:r w:rsidRPr="007B43D0">
        <w:rPr>
          <w:rFonts w:ascii="Times New Roman" w:hAnsi="Times New Roman"/>
          <w:sz w:val="24"/>
          <w:szCs w:val="24"/>
        </w:rPr>
        <w:t xml:space="preserve">) dirigés par des femmes et souvent des jeunes (moins de 30 ans). Ce groupe se traduit par une augmentation du nombre d’actif occupés, un meilleur statut dans l’emploi du chef de ménage (patron et cadre supérieur, employé ou ouvrier qualifié), exerçant une activité relevant du secteur secondaire ou tertiaire. </w:t>
      </w:r>
    </w:p>
    <w:p w:rsidR="004F3012" w:rsidRPr="004F3012" w:rsidRDefault="004F3012" w:rsidP="004F3012">
      <w:pPr>
        <w:spacing w:line="276" w:lineRule="auto"/>
        <w:rPr>
          <w:rFonts w:ascii="Times New Roman" w:hAnsi="Times New Roman"/>
          <w:sz w:val="12"/>
          <w:szCs w:val="12"/>
        </w:rPr>
      </w:pPr>
    </w:p>
    <w:p w:rsidR="004F3012" w:rsidRDefault="004F3012" w:rsidP="004F3012">
      <w:pPr>
        <w:spacing w:line="276" w:lineRule="auto"/>
        <w:rPr>
          <w:rFonts w:ascii="Times New Roman" w:hAnsi="Times New Roman"/>
          <w:sz w:val="24"/>
          <w:szCs w:val="24"/>
        </w:rPr>
      </w:pPr>
      <w:r w:rsidRPr="007B43D0">
        <w:rPr>
          <w:rFonts w:ascii="Times New Roman" w:hAnsi="Times New Roman"/>
          <w:sz w:val="24"/>
          <w:szCs w:val="24"/>
        </w:rPr>
        <w:t xml:space="preserve">Le second groupe peut être assimilé aux ménages qui ont enregistré une aggravation de leurs conditions de vie ou ceux qui sont resté dans la précarité entre les deux périodes. Il s’agit des ménages vivant en milieu rural, de grande taille et ayant un niveau de vie faible en 2006, dirigés par des hommes, en général âgés et travaillant dans le secteur primaire pour compte propre ou en tant que manœuvre ou apprentis. Ces ménages ont connu </w:t>
      </w:r>
      <w:r>
        <w:rPr>
          <w:rFonts w:ascii="Times New Roman" w:hAnsi="Times New Roman"/>
          <w:sz w:val="24"/>
          <w:szCs w:val="24"/>
        </w:rPr>
        <w:t>un</w:t>
      </w:r>
      <w:r w:rsidRPr="007B43D0">
        <w:rPr>
          <w:rFonts w:ascii="Times New Roman" w:hAnsi="Times New Roman"/>
          <w:sz w:val="24"/>
          <w:szCs w:val="24"/>
        </w:rPr>
        <w:t>e baisse du nombre d’actif</w:t>
      </w:r>
      <w:r w:rsidR="00BA390F">
        <w:rPr>
          <w:rFonts w:ascii="Times New Roman" w:hAnsi="Times New Roman"/>
          <w:sz w:val="24"/>
          <w:szCs w:val="24"/>
        </w:rPr>
        <w:t>s</w:t>
      </w:r>
      <w:r w:rsidRPr="007B43D0">
        <w:rPr>
          <w:rFonts w:ascii="Times New Roman" w:hAnsi="Times New Roman"/>
          <w:sz w:val="24"/>
          <w:szCs w:val="24"/>
        </w:rPr>
        <w:t xml:space="preserve"> occupés et ont subi les chocs biophysiques (inondations/sécheresses) entre 2006 et 2009.  </w:t>
      </w:r>
    </w:p>
    <w:p w:rsidR="00C96FD7" w:rsidRDefault="00C96FD7" w:rsidP="004F3012">
      <w:pPr>
        <w:spacing w:line="276" w:lineRule="auto"/>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C96FD7" w:rsidRPr="00F752BF" w:rsidTr="00DA5BAE">
        <w:tc>
          <w:tcPr>
            <w:tcW w:w="910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C96FD7" w:rsidRPr="00F334CF" w:rsidRDefault="00C96FD7" w:rsidP="00C96FD7">
            <w:pPr>
              <w:spacing w:line="276" w:lineRule="auto"/>
              <w:rPr>
                <w:rFonts w:ascii="Times New Roman" w:eastAsia="Arial Unicode MS" w:hAnsi="Times New Roman"/>
                <w:b/>
                <w:sz w:val="24"/>
                <w:szCs w:val="24"/>
              </w:rPr>
            </w:pPr>
            <w:r w:rsidRPr="000738D7">
              <w:rPr>
                <w:rFonts w:ascii="Times New Roman" w:eastAsia="Arial Unicode MS" w:hAnsi="Times New Roman"/>
                <w:b/>
                <w:sz w:val="24"/>
                <w:szCs w:val="24"/>
              </w:rPr>
              <w:t>Encadré</w:t>
            </w:r>
            <w:r>
              <w:rPr>
                <w:rFonts w:ascii="Times New Roman" w:eastAsia="Arial Unicode MS" w:hAnsi="Times New Roman"/>
                <w:b/>
                <w:sz w:val="24"/>
                <w:szCs w:val="24"/>
              </w:rPr>
              <w:t xml:space="preserve"> 1.4</w:t>
            </w:r>
            <w:r w:rsidRPr="000738D7">
              <w:rPr>
                <w:rFonts w:ascii="Times New Roman" w:eastAsia="Arial Unicode MS" w:hAnsi="Times New Roman"/>
                <w:sz w:val="24"/>
                <w:szCs w:val="24"/>
              </w:rPr>
              <w:t xml:space="preserve">: </w:t>
            </w:r>
            <w:r w:rsidR="00E7006F" w:rsidRPr="00DB3998">
              <w:rPr>
                <w:rFonts w:ascii="Times New Roman" w:eastAsia="Arial Unicode MS" w:hAnsi="Times New Roman"/>
                <w:b/>
                <w:sz w:val="24"/>
                <w:szCs w:val="24"/>
              </w:rPr>
              <w:t>Les inondations de 2010 et leur impact sur l’économie béninoise</w:t>
            </w:r>
          </w:p>
        </w:tc>
      </w:tr>
      <w:tr w:rsidR="00C96FD7" w:rsidRPr="00F752BF" w:rsidTr="00DA5BAE">
        <w:trPr>
          <w:trHeight w:val="665"/>
        </w:trPr>
        <w:tc>
          <w:tcPr>
            <w:tcW w:w="9104" w:type="dxa"/>
            <w:tcBorders>
              <w:top w:val="single" w:sz="4" w:space="0" w:color="31849B" w:themeColor="accent5" w:themeShade="BF"/>
              <w:bottom w:val="single" w:sz="4" w:space="0" w:color="000000"/>
            </w:tcBorders>
            <w:shd w:val="clear" w:color="auto" w:fill="DBE5F1" w:themeFill="accent1" w:themeFillTint="33"/>
          </w:tcPr>
          <w:p w:rsidR="00E7006F" w:rsidRPr="00992C7D" w:rsidRDefault="00E7006F" w:rsidP="00E7006F">
            <w:pPr>
              <w:autoSpaceDE w:val="0"/>
              <w:autoSpaceDN w:val="0"/>
              <w:adjustRightInd w:val="0"/>
              <w:spacing w:line="240" w:lineRule="auto"/>
              <w:rPr>
                <w:rFonts w:ascii="Times New Roman" w:hAnsi="Times New Roman"/>
                <w:color w:val="000000"/>
                <w:sz w:val="20"/>
                <w:szCs w:val="20"/>
              </w:rPr>
            </w:pPr>
            <w:r w:rsidRPr="00992C7D">
              <w:rPr>
                <w:rFonts w:ascii="Times New Roman" w:hAnsi="Times New Roman"/>
                <w:color w:val="000000"/>
                <w:sz w:val="20"/>
                <w:szCs w:val="20"/>
              </w:rPr>
              <w:t xml:space="preserve">En aout 2010, de graves inondations ont touché à nouveau le Benin., causant d’importants dégâts </w:t>
            </w:r>
            <w:r>
              <w:rPr>
                <w:rFonts w:ascii="Times New Roman" w:hAnsi="Times New Roman"/>
                <w:color w:val="000000"/>
                <w:sz w:val="20"/>
                <w:szCs w:val="20"/>
              </w:rPr>
              <w:t>matériels et humains</w:t>
            </w:r>
            <w:r w:rsidRPr="00992C7D">
              <w:rPr>
                <w:rFonts w:ascii="Times New Roman" w:hAnsi="Times New Roman"/>
                <w:color w:val="000000"/>
                <w:sz w:val="20"/>
                <w:szCs w:val="20"/>
              </w:rPr>
              <w:t>. A la demande du gouvernement du Bénin,  la Banque mondiale (BM) a conduit une mission conjointe d’évaluation des besoins post-catastrophe, avec le Système des Nations Unies (représenté par le Programme des Nations Unies pour le Développement) et la Délégation de l’Union Européenne, mission dont les principaux enseignements se présentent comme ci-après.</w:t>
            </w:r>
          </w:p>
          <w:p w:rsidR="00E7006F" w:rsidRPr="00F208B6" w:rsidRDefault="00E7006F" w:rsidP="00E7006F">
            <w:pPr>
              <w:autoSpaceDE w:val="0"/>
              <w:autoSpaceDN w:val="0"/>
              <w:adjustRightInd w:val="0"/>
              <w:spacing w:line="240" w:lineRule="auto"/>
              <w:rPr>
                <w:rFonts w:ascii="Times New Roman" w:hAnsi="Times New Roman"/>
                <w:b/>
                <w:bCs/>
                <w:sz w:val="20"/>
                <w:szCs w:val="20"/>
              </w:rPr>
            </w:pPr>
            <w:r w:rsidRPr="00DB3998">
              <w:rPr>
                <w:rFonts w:ascii="Times New Roman" w:hAnsi="Times New Roman"/>
                <w:b/>
                <w:bCs/>
                <w:sz w:val="20"/>
                <w:szCs w:val="20"/>
              </w:rPr>
              <w:t>Estimation des dommages et pertes</w:t>
            </w:r>
            <w:r>
              <w:rPr>
                <w:rFonts w:ascii="Times New Roman" w:hAnsi="Times New Roman"/>
                <w:b/>
                <w:bCs/>
                <w:sz w:val="20"/>
                <w:szCs w:val="20"/>
              </w:rPr>
              <w:t> </w:t>
            </w:r>
            <w:r w:rsidRPr="00F208B6">
              <w:rPr>
                <w:rFonts w:ascii="Times New Roman" w:hAnsi="Times New Roman"/>
                <w:bCs/>
                <w:sz w:val="20"/>
                <w:szCs w:val="20"/>
              </w:rPr>
              <w:t>:</w:t>
            </w:r>
            <w:r>
              <w:rPr>
                <w:rFonts w:ascii="Times New Roman" w:hAnsi="Times New Roman"/>
                <w:bCs/>
                <w:sz w:val="20"/>
                <w:szCs w:val="20"/>
              </w:rPr>
              <w:t xml:space="preserve"> </w:t>
            </w:r>
            <w:r w:rsidRPr="00DB3998">
              <w:rPr>
                <w:rFonts w:ascii="Times New Roman" w:hAnsi="Times New Roman"/>
                <w:sz w:val="20"/>
                <w:szCs w:val="20"/>
              </w:rPr>
              <w:t xml:space="preserve">L’estimation de l’impact des inondations sur l’économie béninoise en termes de dommages occasionnés s’élève à près de </w:t>
            </w:r>
            <w:r w:rsidRPr="00DB3998">
              <w:rPr>
                <w:rFonts w:ascii="Times New Roman" w:hAnsi="Times New Roman"/>
                <w:b/>
                <w:bCs/>
                <w:sz w:val="20"/>
                <w:szCs w:val="20"/>
              </w:rPr>
              <w:t>78,3 milliards de Francs CFA (près de 160 millions USD)</w:t>
            </w:r>
            <w:r w:rsidRPr="00DB3998">
              <w:rPr>
                <w:rFonts w:ascii="Times New Roman" w:hAnsi="Times New Roman"/>
                <w:sz w:val="20"/>
                <w:szCs w:val="20"/>
              </w:rPr>
              <w:t xml:space="preserve">. Il s’agit de destructions totales ou partielles de biens y compris les bâtiments et leur contenu, les infrastructures, les stocks, etc. Les pertes sont évaluées à environ </w:t>
            </w:r>
            <w:r w:rsidRPr="00DB3998">
              <w:rPr>
                <w:rFonts w:ascii="Times New Roman" w:hAnsi="Times New Roman"/>
                <w:b/>
                <w:bCs/>
                <w:sz w:val="20"/>
                <w:szCs w:val="20"/>
              </w:rPr>
              <w:t xml:space="preserve">48,8 milliards de francs CFA (environ 100 millions USD) </w:t>
            </w:r>
            <w:r w:rsidRPr="00E7006F">
              <w:rPr>
                <w:rFonts w:ascii="Times New Roman" w:hAnsi="Times New Roman"/>
                <w:bCs/>
                <w:sz w:val="20"/>
                <w:szCs w:val="20"/>
              </w:rPr>
              <w:t>et concernent</w:t>
            </w:r>
            <w:r>
              <w:rPr>
                <w:rFonts w:ascii="Times New Roman" w:hAnsi="Times New Roman"/>
                <w:b/>
                <w:bCs/>
                <w:sz w:val="20"/>
                <w:szCs w:val="20"/>
              </w:rPr>
              <w:t xml:space="preserve"> </w:t>
            </w:r>
            <w:r w:rsidRPr="00992C7D">
              <w:rPr>
                <w:rFonts w:ascii="Times New Roman" w:hAnsi="Times New Roman"/>
                <w:color w:val="000000"/>
                <w:sz w:val="20"/>
                <w:szCs w:val="20"/>
              </w:rPr>
              <w:t>notamment des variations de flux économiques dont les déficits de production et les ventes non réalisées.</w:t>
            </w:r>
          </w:p>
          <w:p w:rsidR="00E7006F" w:rsidRPr="00992C7D" w:rsidRDefault="00E7006F" w:rsidP="00E7006F">
            <w:pPr>
              <w:autoSpaceDE w:val="0"/>
              <w:autoSpaceDN w:val="0"/>
              <w:adjustRightInd w:val="0"/>
              <w:spacing w:line="240" w:lineRule="auto"/>
              <w:rPr>
                <w:rFonts w:ascii="Times New Roman" w:hAnsi="Times New Roman"/>
                <w:color w:val="000000"/>
                <w:sz w:val="20"/>
                <w:szCs w:val="20"/>
              </w:rPr>
            </w:pPr>
            <w:r w:rsidRPr="00DB3998">
              <w:rPr>
                <w:rFonts w:ascii="Times New Roman" w:hAnsi="Times New Roman"/>
                <w:b/>
                <w:bCs/>
                <w:sz w:val="20"/>
                <w:szCs w:val="20"/>
              </w:rPr>
              <w:t xml:space="preserve">Impacts sur le PIB </w:t>
            </w:r>
            <w:r w:rsidRPr="00992C7D">
              <w:rPr>
                <w:rFonts w:ascii="Times New Roman" w:hAnsi="Times New Roman"/>
                <w:color w:val="000000"/>
                <w:sz w:val="20"/>
                <w:szCs w:val="20"/>
              </w:rPr>
              <w:t>: Le sous-secteur agricole a été le plus touché du fait des pertes d’emblavures</w:t>
            </w:r>
            <w:r>
              <w:rPr>
                <w:rFonts w:ascii="Times New Roman" w:hAnsi="Times New Roman"/>
                <w:color w:val="000000"/>
                <w:sz w:val="20"/>
                <w:szCs w:val="20"/>
              </w:rPr>
              <w:t xml:space="preserve"> </w:t>
            </w:r>
            <w:r w:rsidRPr="00992C7D">
              <w:rPr>
                <w:rFonts w:ascii="Times New Roman" w:hAnsi="Times New Roman"/>
                <w:color w:val="000000"/>
                <w:sz w:val="20"/>
                <w:szCs w:val="20"/>
              </w:rPr>
              <w:t xml:space="preserve">de cultures vivrières et de rente, dont le coton. Ainsi, 50,764 ha de cultures toutes spéculations confondues ont été détruites. Plusieurs milliers de têtes d’animaux ont </w:t>
            </w:r>
            <w:r>
              <w:rPr>
                <w:rFonts w:ascii="Times New Roman" w:hAnsi="Times New Roman"/>
                <w:color w:val="000000"/>
                <w:sz w:val="20"/>
                <w:szCs w:val="20"/>
              </w:rPr>
              <w:t>été tués</w:t>
            </w:r>
            <w:r w:rsidRPr="00992C7D">
              <w:rPr>
                <w:rFonts w:ascii="Times New Roman" w:hAnsi="Times New Roman"/>
                <w:color w:val="000000"/>
                <w:sz w:val="20"/>
                <w:szCs w:val="20"/>
              </w:rPr>
              <w:t xml:space="preserve"> par noyade et d’importantes quantités de poissons ont été perdues par la destruction d’infrastructures piscicoles. L’impact de l’inondation sur le secteur secondaire est négligeable</w:t>
            </w:r>
            <w:r>
              <w:rPr>
                <w:rFonts w:ascii="Times New Roman" w:hAnsi="Times New Roman"/>
                <w:color w:val="000000"/>
                <w:sz w:val="20"/>
                <w:szCs w:val="20"/>
              </w:rPr>
              <w:t>, l</w:t>
            </w:r>
            <w:r w:rsidRPr="00992C7D">
              <w:rPr>
                <w:rFonts w:ascii="Times New Roman" w:hAnsi="Times New Roman"/>
                <w:color w:val="000000"/>
                <w:sz w:val="20"/>
                <w:szCs w:val="20"/>
              </w:rPr>
              <w:t>es industries modernes et les BTP n’</w:t>
            </w:r>
            <w:r>
              <w:rPr>
                <w:rFonts w:ascii="Times New Roman" w:hAnsi="Times New Roman"/>
                <w:color w:val="000000"/>
                <w:sz w:val="20"/>
                <w:szCs w:val="20"/>
              </w:rPr>
              <w:t>aya</w:t>
            </w:r>
            <w:r w:rsidRPr="00992C7D">
              <w:rPr>
                <w:rFonts w:ascii="Times New Roman" w:hAnsi="Times New Roman"/>
                <w:color w:val="000000"/>
                <w:sz w:val="20"/>
                <w:szCs w:val="20"/>
              </w:rPr>
              <w:t xml:space="preserve">nt pas été significativement touchés par l’inondation. </w:t>
            </w:r>
            <w:r>
              <w:rPr>
                <w:rFonts w:ascii="Times New Roman" w:hAnsi="Times New Roman"/>
                <w:color w:val="000000"/>
                <w:sz w:val="20"/>
                <w:szCs w:val="20"/>
              </w:rPr>
              <w:t>Ce</w:t>
            </w:r>
            <w:r w:rsidRPr="00992C7D">
              <w:rPr>
                <w:rFonts w:ascii="Times New Roman" w:hAnsi="Times New Roman"/>
                <w:color w:val="000000"/>
                <w:sz w:val="20"/>
                <w:szCs w:val="20"/>
              </w:rPr>
              <w:t xml:space="preserve">rtaines infrastructures du secteur de l’eau ont été détruites par l’inondation, engendrant des pertes de production. </w:t>
            </w:r>
            <w:r>
              <w:rPr>
                <w:rFonts w:ascii="Times New Roman" w:hAnsi="Times New Roman"/>
                <w:color w:val="000000"/>
                <w:sz w:val="20"/>
                <w:szCs w:val="20"/>
              </w:rPr>
              <w:t xml:space="preserve">Dans le </w:t>
            </w:r>
            <w:r w:rsidRPr="00992C7D">
              <w:rPr>
                <w:rFonts w:ascii="Times New Roman" w:hAnsi="Times New Roman"/>
                <w:color w:val="000000"/>
                <w:sz w:val="20"/>
                <w:szCs w:val="20"/>
              </w:rPr>
              <w:t xml:space="preserve">secteur des services la baisse des marges des commerçants </w:t>
            </w:r>
            <w:r>
              <w:rPr>
                <w:rFonts w:ascii="Times New Roman" w:hAnsi="Times New Roman"/>
                <w:color w:val="000000"/>
                <w:sz w:val="20"/>
                <w:szCs w:val="20"/>
              </w:rPr>
              <w:t xml:space="preserve">est </w:t>
            </w:r>
            <w:r w:rsidRPr="00992C7D">
              <w:rPr>
                <w:rFonts w:ascii="Times New Roman" w:hAnsi="Times New Roman"/>
                <w:color w:val="000000"/>
                <w:sz w:val="20"/>
                <w:szCs w:val="20"/>
              </w:rPr>
              <w:t xml:space="preserve">liée </w:t>
            </w:r>
            <w:r>
              <w:rPr>
                <w:rFonts w:ascii="Times New Roman" w:hAnsi="Times New Roman"/>
                <w:color w:val="000000"/>
                <w:sz w:val="20"/>
                <w:szCs w:val="20"/>
              </w:rPr>
              <w:t>à</w:t>
            </w:r>
            <w:r w:rsidRPr="00992C7D">
              <w:rPr>
                <w:rFonts w:ascii="Times New Roman" w:hAnsi="Times New Roman"/>
                <w:color w:val="000000"/>
                <w:sz w:val="20"/>
                <w:szCs w:val="20"/>
              </w:rPr>
              <w:t xml:space="preserve"> une baisse de leur activité. Le secteur du transport ainsi que celui des autres services, y compris le tourisme et l’artisanat, ont été également affectés par les effets de l’inondation</w:t>
            </w:r>
            <w:r>
              <w:rPr>
                <w:rFonts w:ascii="Times New Roman" w:hAnsi="Times New Roman"/>
                <w:color w:val="000000"/>
                <w:sz w:val="20"/>
                <w:szCs w:val="20"/>
              </w:rPr>
              <w:t xml:space="preserve">, surtout du fait de </w:t>
            </w:r>
            <w:r w:rsidRPr="00992C7D">
              <w:rPr>
                <w:rFonts w:ascii="Times New Roman" w:hAnsi="Times New Roman"/>
                <w:color w:val="000000"/>
                <w:sz w:val="20"/>
                <w:szCs w:val="20"/>
              </w:rPr>
              <w:t xml:space="preserve">la rareté des produits agricoles au cours de la période post-inondation. La baisse de l’offre en milieu rural, combinée aux difficultés d’acheminement des produits sur le marché, a entrainé une hausse considérable des prix des produits vivriers. </w:t>
            </w:r>
            <w:r>
              <w:rPr>
                <w:rFonts w:ascii="Times New Roman" w:hAnsi="Times New Roman"/>
                <w:color w:val="000000"/>
                <w:sz w:val="20"/>
                <w:szCs w:val="20"/>
              </w:rPr>
              <w:t xml:space="preserve">Dans la période, </w:t>
            </w:r>
            <w:r w:rsidRPr="00992C7D">
              <w:rPr>
                <w:rFonts w:ascii="Times New Roman" w:hAnsi="Times New Roman"/>
                <w:color w:val="000000"/>
                <w:sz w:val="20"/>
                <w:szCs w:val="20"/>
              </w:rPr>
              <w:t xml:space="preserve">le niveau général des prix </w:t>
            </w:r>
            <w:r>
              <w:rPr>
                <w:rFonts w:ascii="Times New Roman" w:hAnsi="Times New Roman"/>
                <w:color w:val="000000"/>
                <w:sz w:val="20"/>
                <w:szCs w:val="20"/>
              </w:rPr>
              <w:t>à</w:t>
            </w:r>
            <w:r w:rsidRPr="00992C7D">
              <w:rPr>
                <w:rFonts w:ascii="Times New Roman" w:hAnsi="Times New Roman"/>
                <w:color w:val="000000"/>
                <w:sz w:val="20"/>
                <w:szCs w:val="20"/>
              </w:rPr>
              <w:t xml:space="preserve"> la consommation a </w:t>
            </w:r>
            <w:r>
              <w:rPr>
                <w:rFonts w:ascii="Times New Roman" w:hAnsi="Times New Roman"/>
                <w:color w:val="000000"/>
                <w:sz w:val="20"/>
                <w:szCs w:val="20"/>
              </w:rPr>
              <w:t>connu une tendance haussiè</w:t>
            </w:r>
            <w:r w:rsidRPr="00992C7D">
              <w:rPr>
                <w:rFonts w:ascii="Times New Roman" w:hAnsi="Times New Roman"/>
                <w:color w:val="000000"/>
                <w:sz w:val="20"/>
                <w:szCs w:val="20"/>
              </w:rPr>
              <w:t>re</w:t>
            </w:r>
            <w:r>
              <w:rPr>
                <w:rFonts w:ascii="Times New Roman" w:hAnsi="Times New Roman"/>
                <w:color w:val="000000"/>
                <w:sz w:val="20"/>
                <w:szCs w:val="20"/>
              </w:rPr>
              <w:t>.</w:t>
            </w:r>
          </w:p>
          <w:p w:rsidR="00E7006F" w:rsidRDefault="00E7006F" w:rsidP="00E7006F">
            <w:pPr>
              <w:autoSpaceDE w:val="0"/>
              <w:autoSpaceDN w:val="0"/>
              <w:adjustRightInd w:val="0"/>
              <w:spacing w:line="240" w:lineRule="auto"/>
              <w:rPr>
                <w:rFonts w:ascii="Times New Roman" w:hAnsi="Times New Roman"/>
                <w:color w:val="000000"/>
                <w:sz w:val="20"/>
                <w:szCs w:val="20"/>
              </w:rPr>
            </w:pPr>
            <w:r w:rsidRPr="00DB3998">
              <w:rPr>
                <w:rFonts w:ascii="Times New Roman" w:hAnsi="Times New Roman"/>
                <w:b/>
                <w:bCs/>
                <w:sz w:val="20"/>
                <w:szCs w:val="20"/>
              </w:rPr>
              <w:t xml:space="preserve">Impact sur les finances publiques </w:t>
            </w:r>
            <w:r w:rsidRPr="00992C7D">
              <w:rPr>
                <w:rFonts w:ascii="Times New Roman" w:hAnsi="Times New Roman"/>
                <w:color w:val="000000"/>
                <w:sz w:val="20"/>
                <w:szCs w:val="20"/>
              </w:rPr>
              <w:t xml:space="preserve">: Les inondations de 2010 ont eu un impact limité sur les finances publiques du Benin. Cet impact est perçu </w:t>
            </w:r>
            <w:r>
              <w:rPr>
                <w:rFonts w:ascii="Times New Roman" w:hAnsi="Times New Roman"/>
                <w:color w:val="000000"/>
                <w:sz w:val="20"/>
                <w:szCs w:val="20"/>
              </w:rPr>
              <w:t>à</w:t>
            </w:r>
            <w:r w:rsidRPr="00992C7D">
              <w:rPr>
                <w:rFonts w:ascii="Times New Roman" w:hAnsi="Times New Roman"/>
                <w:color w:val="000000"/>
                <w:sz w:val="20"/>
                <w:szCs w:val="20"/>
              </w:rPr>
              <w:t xml:space="preserve"> travers deux canaux bien distincts : (i) les dépenses budgétaires du gouvernement central affectées aux act</w:t>
            </w:r>
            <w:r w:rsidR="00BF07BB">
              <w:rPr>
                <w:rFonts w:ascii="Times New Roman" w:hAnsi="Times New Roman"/>
                <w:color w:val="000000"/>
                <w:sz w:val="20"/>
                <w:szCs w:val="20"/>
              </w:rPr>
              <w:t>ivités d’urgence qui s’élèvent à</w:t>
            </w:r>
            <w:r w:rsidRPr="00992C7D">
              <w:rPr>
                <w:rFonts w:ascii="Times New Roman" w:hAnsi="Times New Roman"/>
                <w:color w:val="000000"/>
                <w:sz w:val="20"/>
                <w:szCs w:val="20"/>
              </w:rPr>
              <w:t xml:space="preserve"> environ </w:t>
            </w:r>
            <w:r w:rsidRPr="00C2356E">
              <w:rPr>
                <w:rFonts w:ascii="Times New Roman" w:hAnsi="Times New Roman"/>
                <w:b/>
                <w:color w:val="000000"/>
                <w:sz w:val="20"/>
                <w:szCs w:val="20"/>
              </w:rPr>
              <w:t>450 millions de FCFA</w:t>
            </w:r>
            <w:r w:rsidRPr="00992C7D">
              <w:rPr>
                <w:rFonts w:ascii="Times New Roman" w:hAnsi="Times New Roman"/>
                <w:color w:val="000000"/>
                <w:sz w:val="20"/>
                <w:szCs w:val="20"/>
              </w:rPr>
              <w:t xml:space="preserve"> sur l’année 2010 ; (ii) les recettes fiscale</w:t>
            </w:r>
            <w:r w:rsidR="00BF07BB">
              <w:rPr>
                <w:rFonts w:ascii="Times New Roman" w:hAnsi="Times New Roman"/>
                <w:color w:val="000000"/>
                <w:sz w:val="20"/>
                <w:szCs w:val="20"/>
              </w:rPr>
              <w:t>s du gouvernement central qui, à</w:t>
            </w:r>
            <w:r w:rsidRPr="00992C7D">
              <w:rPr>
                <w:rFonts w:ascii="Times New Roman" w:hAnsi="Times New Roman"/>
                <w:color w:val="000000"/>
                <w:sz w:val="20"/>
                <w:szCs w:val="20"/>
              </w:rPr>
              <w:t xml:space="preserve"> l’instar des dépenses, ne sont pas significativement affectées du fait d’une part, de la faible connexion entre</w:t>
            </w:r>
            <w:r>
              <w:rPr>
                <w:rFonts w:ascii="Times New Roman" w:hAnsi="Times New Roman"/>
                <w:color w:val="000000"/>
                <w:sz w:val="20"/>
                <w:szCs w:val="20"/>
              </w:rPr>
              <w:t xml:space="preserve"> </w:t>
            </w:r>
            <w:r w:rsidRPr="00992C7D">
              <w:rPr>
                <w:rFonts w:ascii="Times New Roman" w:hAnsi="Times New Roman"/>
                <w:color w:val="000000"/>
                <w:sz w:val="20"/>
                <w:szCs w:val="20"/>
              </w:rPr>
              <w:t>les recettes des collectivités locales et les recettes du gouvernement central et d’autre part, du caractère informel de l’agriculture au Bénin. Il en résulte que le déficit budgétaire n’est pas significativement impacté par les inondations.</w:t>
            </w:r>
          </w:p>
          <w:p w:rsidR="00E7006F" w:rsidRPr="00992C7D" w:rsidRDefault="00E7006F" w:rsidP="00E7006F">
            <w:pPr>
              <w:autoSpaceDE w:val="0"/>
              <w:autoSpaceDN w:val="0"/>
              <w:adjustRightInd w:val="0"/>
              <w:spacing w:line="240" w:lineRule="auto"/>
              <w:rPr>
                <w:rFonts w:ascii="Times New Roman" w:hAnsi="Times New Roman"/>
                <w:color w:val="000000"/>
                <w:sz w:val="20"/>
                <w:szCs w:val="20"/>
              </w:rPr>
            </w:pPr>
          </w:p>
          <w:p w:rsidR="00E7006F" w:rsidRPr="00DB3998" w:rsidRDefault="00E7006F" w:rsidP="00E7006F">
            <w:pPr>
              <w:autoSpaceDE w:val="0"/>
              <w:autoSpaceDN w:val="0"/>
              <w:adjustRightInd w:val="0"/>
              <w:spacing w:line="240" w:lineRule="auto"/>
              <w:rPr>
                <w:rFonts w:ascii="Times New Roman" w:hAnsi="Times New Roman"/>
                <w:sz w:val="20"/>
                <w:szCs w:val="20"/>
              </w:rPr>
            </w:pPr>
            <w:r w:rsidRPr="00DB3998">
              <w:rPr>
                <w:rFonts w:ascii="Times New Roman" w:hAnsi="Times New Roman"/>
                <w:b/>
                <w:bCs/>
                <w:sz w:val="20"/>
                <w:szCs w:val="20"/>
              </w:rPr>
              <w:t xml:space="preserve">Impact sur la balance des paiements </w:t>
            </w:r>
            <w:r w:rsidRPr="00992C7D">
              <w:rPr>
                <w:rFonts w:ascii="Times New Roman" w:hAnsi="Times New Roman"/>
                <w:color w:val="000000"/>
                <w:sz w:val="20"/>
                <w:szCs w:val="20"/>
              </w:rPr>
              <w:t>: La hausse des importations de vivre et de produits de premi</w:t>
            </w:r>
            <w:r>
              <w:rPr>
                <w:rFonts w:ascii="Times New Roman" w:hAnsi="Times New Roman"/>
                <w:color w:val="000000"/>
                <w:sz w:val="20"/>
                <w:szCs w:val="20"/>
              </w:rPr>
              <w:t>è</w:t>
            </w:r>
            <w:r w:rsidRPr="00992C7D">
              <w:rPr>
                <w:rFonts w:ascii="Times New Roman" w:hAnsi="Times New Roman"/>
                <w:color w:val="000000"/>
                <w:sz w:val="20"/>
                <w:szCs w:val="20"/>
              </w:rPr>
              <w:t xml:space="preserve">re nécessitée, et la baisse des recettes touristiques ont entrainé un creusement de la Balance courante du Benin en 2010, avec un déficit du compte courant de 0,4% du PIB. Ce déficit résulte principalement de la hausse des importations </w:t>
            </w:r>
            <w:r w:rsidRPr="00DB3998">
              <w:rPr>
                <w:rFonts w:ascii="Times New Roman" w:hAnsi="Times New Roman"/>
                <w:sz w:val="20"/>
                <w:szCs w:val="20"/>
              </w:rPr>
              <w:t>d’urgence, constituées essentiellement des kits humanitaires (céréales, huile, eau, couvertures, nattes, et tentes).</w:t>
            </w:r>
          </w:p>
          <w:p w:rsidR="00C96FD7" w:rsidRPr="006B0732" w:rsidRDefault="00E7006F" w:rsidP="00E7006F">
            <w:pPr>
              <w:spacing w:line="240" w:lineRule="auto"/>
              <w:rPr>
                <w:rFonts w:ascii="Times New Roman" w:eastAsia="Arial Unicode MS" w:hAnsi="Times New Roman"/>
                <w:sz w:val="20"/>
                <w:szCs w:val="20"/>
              </w:rPr>
            </w:pPr>
            <w:r w:rsidRPr="00DB3998">
              <w:rPr>
                <w:rFonts w:ascii="Times New Roman" w:hAnsi="Times New Roman"/>
                <w:b/>
                <w:bCs/>
                <w:sz w:val="20"/>
                <w:szCs w:val="20"/>
              </w:rPr>
              <w:t xml:space="preserve">Impact sur les conditions de vie des ménages </w:t>
            </w:r>
            <w:r w:rsidRPr="00992C7D">
              <w:rPr>
                <w:rFonts w:ascii="Times New Roman" w:hAnsi="Times New Roman"/>
                <w:color w:val="000000"/>
                <w:sz w:val="20"/>
                <w:szCs w:val="20"/>
              </w:rPr>
              <w:t xml:space="preserve">: </w:t>
            </w:r>
            <w:r>
              <w:rPr>
                <w:rFonts w:ascii="Times New Roman" w:hAnsi="Times New Roman"/>
                <w:color w:val="000000"/>
                <w:sz w:val="20"/>
                <w:szCs w:val="20"/>
              </w:rPr>
              <w:t>L</w:t>
            </w:r>
            <w:r w:rsidRPr="00992C7D">
              <w:rPr>
                <w:rFonts w:ascii="Times New Roman" w:hAnsi="Times New Roman"/>
                <w:color w:val="000000"/>
                <w:sz w:val="20"/>
                <w:szCs w:val="20"/>
              </w:rPr>
              <w:t xml:space="preserve">’impact </w:t>
            </w:r>
            <w:r>
              <w:rPr>
                <w:rFonts w:ascii="Times New Roman" w:hAnsi="Times New Roman"/>
                <w:color w:val="000000"/>
                <w:sz w:val="20"/>
                <w:szCs w:val="20"/>
              </w:rPr>
              <w:t xml:space="preserve">des inondations </w:t>
            </w:r>
            <w:r w:rsidRPr="00992C7D">
              <w:rPr>
                <w:rFonts w:ascii="Times New Roman" w:hAnsi="Times New Roman"/>
                <w:color w:val="000000"/>
                <w:sz w:val="20"/>
                <w:szCs w:val="20"/>
              </w:rPr>
              <w:t xml:space="preserve">sur les </w:t>
            </w:r>
            <w:r>
              <w:rPr>
                <w:rFonts w:ascii="Times New Roman" w:hAnsi="Times New Roman"/>
                <w:color w:val="000000"/>
                <w:sz w:val="20"/>
                <w:szCs w:val="20"/>
              </w:rPr>
              <w:t xml:space="preserve">conditions de vie des </w:t>
            </w:r>
            <w:r w:rsidRPr="00992C7D">
              <w:rPr>
                <w:rFonts w:ascii="Times New Roman" w:hAnsi="Times New Roman"/>
                <w:color w:val="000000"/>
                <w:sz w:val="20"/>
                <w:szCs w:val="20"/>
              </w:rPr>
              <w:t>populations</w:t>
            </w:r>
            <w:r>
              <w:rPr>
                <w:rFonts w:ascii="Times New Roman" w:hAnsi="Times New Roman"/>
                <w:color w:val="000000"/>
                <w:sz w:val="20"/>
                <w:szCs w:val="20"/>
              </w:rPr>
              <w:t xml:space="preserve">, surtout les sinistrées, </w:t>
            </w:r>
            <w:r w:rsidRPr="00992C7D">
              <w:rPr>
                <w:rFonts w:ascii="Times New Roman" w:hAnsi="Times New Roman"/>
                <w:color w:val="000000"/>
                <w:sz w:val="20"/>
                <w:szCs w:val="20"/>
              </w:rPr>
              <w:t xml:space="preserve">a été considérable, compte tenu du fait que 8% de la population béninoise a été directement affectée, dont 30% vivant d’activités agricoles. </w:t>
            </w:r>
            <w:r>
              <w:rPr>
                <w:rFonts w:ascii="Times New Roman" w:hAnsi="Times New Roman"/>
                <w:color w:val="000000"/>
                <w:sz w:val="20"/>
                <w:szCs w:val="20"/>
              </w:rPr>
              <w:t xml:space="preserve">Ces inondations ont accru le degré de </w:t>
            </w:r>
            <w:r w:rsidRPr="00992C7D">
              <w:rPr>
                <w:rFonts w:ascii="Times New Roman" w:hAnsi="Times New Roman"/>
                <w:color w:val="000000"/>
                <w:sz w:val="20"/>
                <w:szCs w:val="20"/>
              </w:rPr>
              <w:t>vulnérab</w:t>
            </w:r>
            <w:r>
              <w:rPr>
                <w:rFonts w:ascii="Times New Roman" w:hAnsi="Times New Roman"/>
                <w:color w:val="000000"/>
                <w:sz w:val="20"/>
                <w:szCs w:val="20"/>
              </w:rPr>
              <w:t>i</w:t>
            </w:r>
            <w:r w:rsidRPr="00992C7D">
              <w:rPr>
                <w:rFonts w:ascii="Times New Roman" w:hAnsi="Times New Roman"/>
                <w:color w:val="000000"/>
                <w:sz w:val="20"/>
                <w:szCs w:val="20"/>
              </w:rPr>
              <w:t>l</w:t>
            </w:r>
            <w:r>
              <w:rPr>
                <w:rFonts w:ascii="Times New Roman" w:hAnsi="Times New Roman"/>
                <w:color w:val="000000"/>
                <w:sz w:val="20"/>
                <w:szCs w:val="20"/>
              </w:rPr>
              <w:t xml:space="preserve">ité des populations à travers entre autres, la destruction de </w:t>
            </w:r>
            <w:r w:rsidRPr="00992C7D">
              <w:rPr>
                <w:rFonts w:ascii="Times New Roman" w:hAnsi="Times New Roman"/>
                <w:color w:val="000000"/>
                <w:sz w:val="20"/>
                <w:szCs w:val="20"/>
              </w:rPr>
              <w:t>leurs habitations</w:t>
            </w:r>
            <w:r>
              <w:rPr>
                <w:rFonts w:ascii="Times New Roman" w:hAnsi="Times New Roman"/>
                <w:color w:val="000000"/>
                <w:sz w:val="20"/>
                <w:szCs w:val="20"/>
              </w:rPr>
              <w:t xml:space="preserve">, </w:t>
            </w:r>
            <w:r w:rsidRPr="00992C7D">
              <w:rPr>
                <w:rFonts w:ascii="Times New Roman" w:hAnsi="Times New Roman"/>
                <w:color w:val="000000"/>
                <w:sz w:val="20"/>
                <w:szCs w:val="20"/>
              </w:rPr>
              <w:t>de leur récolte et de leur stock de vivre et de semence</w:t>
            </w:r>
            <w:r>
              <w:rPr>
                <w:rFonts w:ascii="Times New Roman" w:hAnsi="Times New Roman"/>
                <w:color w:val="000000"/>
                <w:sz w:val="20"/>
                <w:szCs w:val="20"/>
              </w:rPr>
              <w:t>. Elles ont surtout connu l’interruption de leurs activités sur une durée non négligeable. (Source </w:t>
            </w:r>
            <w:r w:rsidRPr="00DB3998">
              <w:rPr>
                <w:rFonts w:ascii="Times New Roman" w:hAnsi="Times New Roman"/>
                <w:i/>
                <w:color w:val="000000"/>
                <w:sz w:val="20"/>
                <w:szCs w:val="20"/>
              </w:rPr>
              <w:t>: Inondation au Bénin - rapport d’évaluation des besoins post catastrophe</w:t>
            </w:r>
            <w:r w:rsidRPr="00DB3998">
              <w:rPr>
                <w:rFonts w:ascii="Times New Roman" w:hAnsi="Times New Roman"/>
                <w:color w:val="000000"/>
                <w:sz w:val="20"/>
                <w:szCs w:val="20"/>
              </w:rPr>
              <w:t>, Rapport conjoint Gouvernement du Bénin, Banque mondiale, SNU, avril 2011)</w:t>
            </w:r>
          </w:p>
        </w:tc>
      </w:tr>
      <w:tr w:rsidR="00E7006F" w:rsidRPr="00F752BF" w:rsidTr="00DA5BAE">
        <w:trPr>
          <w:trHeight w:val="665"/>
        </w:trPr>
        <w:tc>
          <w:tcPr>
            <w:tcW w:w="9104" w:type="dxa"/>
            <w:tcBorders>
              <w:top w:val="single" w:sz="4" w:space="0" w:color="31849B" w:themeColor="accent5" w:themeShade="BF"/>
              <w:bottom w:val="single" w:sz="4" w:space="0" w:color="000000"/>
            </w:tcBorders>
            <w:shd w:val="clear" w:color="auto" w:fill="DBE5F1" w:themeFill="accent1" w:themeFillTint="33"/>
          </w:tcPr>
          <w:tbl>
            <w:tblPr>
              <w:tblStyle w:val="Grilledutableau"/>
              <w:tblW w:w="0" w:type="auto"/>
              <w:tblLook w:val="04A0" w:firstRow="1" w:lastRow="0" w:firstColumn="1" w:lastColumn="0" w:noHBand="0" w:noVBand="1"/>
            </w:tblPr>
            <w:tblGrid>
              <w:gridCol w:w="3069"/>
              <w:gridCol w:w="3128"/>
              <w:gridCol w:w="2757"/>
            </w:tblGrid>
            <w:tr w:rsidR="00E7006F" w:rsidTr="00E7006F">
              <w:trPr>
                <w:trHeight w:val="732"/>
              </w:trPr>
              <w:tc>
                <w:tcPr>
                  <w:tcW w:w="3436" w:type="dxa"/>
                </w:tcPr>
                <w:p w:rsidR="00E7006F" w:rsidRDefault="00E7006F" w:rsidP="00E7006F">
                  <w:pPr>
                    <w:autoSpaceDE w:val="0"/>
                    <w:autoSpaceDN w:val="0"/>
                    <w:adjustRightInd w:val="0"/>
                    <w:spacing w:line="240" w:lineRule="auto"/>
                    <w:rPr>
                      <w:rFonts w:ascii="Times New Roman" w:hAnsi="Times New Roman"/>
                      <w:color w:val="000000"/>
                      <w:sz w:val="20"/>
                      <w:szCs w:val="20"/>
                    </w:rPr>
                  </w:pPr>
                  <w:r w:rsidRPr="00E7006F">
                    <w:rPr>
                      <w:rFonts w:ascii="Times New Roman" w:hAnsi="Times New Roman"/>
                      <w:noProof/>
                      <w:color w:val="000000"/>
                      <w:sz w:val="20"/>
                      <w:szCs w:val="20"/>
                      <w:lang w:eastAsia="fr-FR"/>
                    </w:rPr>
                    <w:drawing>
                      <wp:inline distT="0" distB="0" distL="0" distR="0" wp14:anchorId="03447A72" wp14:editId="751A26BA">
                        <wp:extent cx="2170554" cy="1295400"/>
                        <wp:effectExtent l="19050" t="0" r="1146"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2182955" cy="1302801"/>
                                </a:xfrm>
                                <a:prstGeom prst="rect">
                                  <a:avLst/>
                                </a:prstGeom>
                                <a:noFill/>
                                <a:ln>
                                  <a:noFill/>
                                </a:ln>
                              </pic:spPr>
                            </pic:pic>
                          </a:graphicData>
                        </a:graphic>
                      </wp:inline>
                    </w:drawing>
                  </w:r>
                </w:p>
              </w:tc>
              <w:tc>
                <w:tcPr>
                  <w:tcW w:w="2688" w:type="dxa"/>
                </w:tcPr>
                <w:p w:rsidR="00E7006F" w:rsidRDefault="00E7006F" w:rsidP="00E7006F">
                  <w:pPr>
                    <w:autoSpaceDE w:val="0"/>
                    <w:autoSpaceDN w:val="0"/>
                    <w:adjustRightInd w:val="0"/>
                    <w:spacing w:line="240" w:lineRule="auto"/>
                    <w:rPr>
                      <w:rFonts w:ascii="Times New Roman" w:hAnsi="Times New Roman"/>
                      <w:color w:val="000000"/>
                      <w:sz w:val="20"/>
                      <w:szCs w:val="20"/>
                    </w:rPr>
                  </w:pPr>
                  <w:r w:rsidRPr="00E7006F">
                    <w:rPr>
                      <w:rFonts w:ascii="Times New Roman" w:hAnsi="Times New Roman"/>
                      <w:noProof/>
                      <w:color w:val="000000"/>
                      <w:sz w:val="20"/>
                      <w:szCs w:val="20"/>
                      <w:lang w:eastAsia="fr-FR"/>
                    </w:rPr>
                    <w:drawing>
                      <wp:inline distT="0" distB="0" distL="0" distR="0" wp14:anchorId="074C9A13" wp14:editId="20BF6FB2">
                        <wp:extent cx="2236453" cy="1302589"/>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36579" cy="1302662"/>
                                </a:xfrm>
                                <a:prstGeom prst="rect">
                                  <a:avLst/>
                                </a:prstGeom>
                                <a:noFill/>
                                <a:ln>
                                  <a:noFill/>
                                </a:ln>
                              </pic:spPr>
                            </pic:pic>
                          </a:graphicData>
                        </a:graphic>
                      </wp:inline>
                    </w:drawing>
                  </w:r>
                </w:p>
              </w:tc>
              <w:tc>
                <w:tcPr>
                  <w:tcW w:w="2754" w:type="dxa"/>
                </w:tcPr>
                <w:p w:rsidR="00E7006F" w:rsidRDefault="00E7006F" w:rsidP="00E7006F">
                  <w:pPr>
                    <w:autoSpaceDE w:val="0"/>
                    <w:autoSpaceDN w:val="0"/>
                    <w:adjustRightInd w:val="0"/>
                    <w:spacing w:line="240" w:lineRule="auto"/>
                    <w:rPr>
                      <w:rFonts w:ascii="Times New Roman" w:hAnsi="Times New Roman"/>
                      <w:color w:val="000000"/>
                      <w:sz w:val="20"/>
                      <w:szCs w:val="20"/>
                    </w:rPr>
                  </w:pPr>
                  <w:r w:rsidRPr="00E7006F">
                    <w:rPr>
                      <w:rFonts w:ascii="Times New Roman" w:hAnsi="Times New Roman"/>
                      <w:noProof/>
                      <w:color w:val="000000"/>
                      <w:sz w:val="20"/>
                      <w:szCs w:val="20"/>
                      <w:lang w:eastAsia="fr-FR"/>
                    </w:rPr>
                    <w:drawing>
                      <wp:inline distT="0" distB="0" distL="0" distR="0" wp14:anchorId="6B2CBA41" wp14:editId="2DF25177">
                        <wp:extent cx="1950915" cy="1302589"/>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51200" cy="1302779"/>
                                </a:xfrm>
                                <a:prstGeom prst="rect">
                                  <a:avLst/>
                                </a:prstGeom>
                                <a:noFill/>
                                <a:ln>
                                  <a:noFill/>
                                </a:ln>
                              </pic:spPr>
                            </pic:pic>
                          </a:graphicData>
                        </a:graphic>
                      </wp:inline>
                    </w:drawing>
                  </w:r>
                </w:p>
              </w:tc>
            </w:tr>
          </w:tbl>
          <w:p w:rsidR="00E7006F" w:rsidRPr="00992C7D" w:rsidRDefault="00E7006F" w:rsidP="00E7006F">
            <w:pPr>
              <w:autoSpaceDE w:val="0"/>
              <w:autoSpaceDN w:val="0"/>
              <w:adjustRightInd w:val="0"/>
              <w:spacing w:line="240" w:lineRule="auto"/>
              <w:rPr>
                <w:rFonts w:ascii="Times New Roman" w:hAnsi="Times New Roman"/>
                <w:color w:val="000000"/>
                <w:sz w:val="20"/>
                <w:szCs w:val="20"/>
              </w:rPr>
            </w:pPr>
          </w:p>
        </w:tc>
      </w:tr>
      <w:tr w:rsidR="00C96FD7" w:rsidRPr="00E7006F" w:rsidTr="00DA5BAE">
        <w:tc>
          <w:tcPr>
            <w:tcW w:w="9104" w:type="dxa"/>
            <w:tcBorders>
              <w:top w:val="single" w:sz="4" w:space="0" w:color="000000"/>
              <w:left w:val="nil"/>
              <w:bottom w:val="nil"/>
              <w:right w:val="nil"/>
            </w:tcBorders>
            <w:shd w:val="clear" w:color="auto" w:fill="DBE5F1" w:themeFill="accent1" w:themeFillTint="33"/>
          </w:tcPr>
          <w:p w:rsidR="00C96FD7" w:rsidRPr="00E7006F" w:rsidRDefault="00E7006F" w:rsidP="00DA5BAE">
            <w:pPr>
              <w:spacing w:line="240" w:lineRule="auto"/>
              <w:jc w:val="left"/>
              <w:rPr>
                <w:rFonts w:ascii="Times New Roman" w:eastAsia="Arial Unicode MS" w:hAnsi="Times New Roman"/>
                <w:sz w:val="20"/>
                <w:szCs w:val="20"/>
              </w:rPr>
            </w:pPr>
            <w:r w:rsidRPr="00E7006F">
              <w:rPr>
                <w:rFonts w:ascii="Times New Roman" w:eastAsia="Times New Roman" w:hAnsi="Times New Roman"/>
                <w:color w:val="000000"/>
                <w:sz w:val="20"/>
                <w:szCs w:val="20"/>
              </w:rPr>
              <w:t>Source : Inondations au Bénin, Rapport d’Evaluation des besoins Post Catastrophe, avril 2011</w:t>
            </w:r>
          </w:p>
        </w:tc>
      </w:tr>
    </w:tbl>
    <w:p w:rsidR="00C96FD7" w:rsidRDefault="00C96FD7" w:rsidP="004F3012">
      <w:pPr>
        <w:spacing w:line="276" w:lineRule="auto"/>
        <w:rPr>
          <w:rFonts w:ascii="Times New Roman" w:hAnsi="Times New Roman"/>
          <w:sz w:val="24"/>
          <w:szCs w:val="24"/>
        </w:rPr>
      </w:pPr>
    </w:p>
    <w:p w:rsidR="004F3012" w:rsidRDefault="004F3012" w:rsidP="003740B0">
      <w:pPr>
        <w:spacing w:line="240" w:lineRule="auto"/>
        <w:rPr>
          <w:rFonts w:ascii="Times New Roman" w:hAnsi="Times New Roman"/>
          <w:b/>
          <w:sz w:val="24"/>
          <w:szCs w:val="24"/>
        </w:rPr>
      </w:pPr>
    </w:p>
    <w:p w:rsidR="003740B0" w:rsidRPr="007B43D0" w:rsidRDefault="003740B0" w:rsidP="003740B0">
      <w:pPr>
        <w:spacing w:line="240" w:lineRule="auto"/>
        <w:rPr>
          <w:rFonts w:ascii="Times New Roman" w:hAnsi="Times New Roman"/>
          <w:b/>
          <w:sz w:val="24"/>
          <w:szCs w:val="24"/>
        </w:rPr>
      </w:pPr>
      <w:r w:rsidRPr="007B43D0">
        <w:rPr>
          <w:rFonts w:ascii="Times New Roman" w:hAnsi="Times New Roman"/>
          <w:b/>
          <w:sz w:val="24"/>
          <w:szCs w:val="24"/>
        </w:rPr>
        <w:t>Quels impacts les caractéristiques individuelles et familiales ont-elles sur la probabilité d’entrée-sortie de la pauvreté ?</w:t>
      </w:r>
    </w:p>
    <w:p w:rsidR="003740B0" w:rsidRDefault="003740B0" w:rsidP="003740B0">
      <w:pPr>
        <w:spacing w:line="276" w:lineRule="auto"/>
        <w:rPr>
          <w:rFonts w:ascii="Times New Roman" w:hAnsi="Times New Roman"/>
          <w:sz w:val="24"/>
          <w:szCs w:val="24"/>
        </w:rPr>
      </w:pPr>
    </w:p>
    <w:p w:rsidR="0059698A" w:rsidRDefault="00C0224E" w:rsidP="003740B0">
      <w:pPr>
        <w:spacing w:line="276" w:lineRule="auto"/>
        <w:rPr>
          <w:rFonts w:ascii="Times New Roman" w:hAnsi="Times New Roman"/>
          <w:sz w:val="24"/>
          <w:szCs w:val="24"/>
        </w:rPr>
      </w:pPr>
      <w:r>
        <w:rPr>
          <w:rFonts w:ascii="Times New Roman" w:hAnsi="Times New Roman"/>
          <w:sz w:val="24"/>
          <w:szCs w:val="24"/>
        </w:rPr>
        <w:t xml:space="preserve">L’analyse de l’impact des caractéristiques individuelles et familiales sur la mobilité dans la pauvreté est basée sur </w:t>
      </w:r>
      <w:r w:rsidR="007918E1">
        <w:rPr>
          <w:rFonts w:ascii="Times New Roman" w:hAnsi="Times New Roman"/>
          <w:sz w:val="24"/>
          <w:szCs w:val="24"/>
        </w:rPr>
        <w:t>les rapports de chance estimés à l’aide de deux modèles</w:t>
      </w:r>
      <w:r w:rsidR="004F3012">
        <w:rPr>
          <w:rFonts w:ascii="Times New Roman" w:hAnsi="Times New Roman"/>
          <w:sz w:val="24"/>
          <w:szCs w:val="24"/>
        </w:rPr>
        <w:t xml:space="preserve"> (voir Tableau A2.5 en annexe) </w:t>
      </w:r>
      <w:r w:rsidR="007918E1">
        <w:rPr>
          <w:rFonts w:ascii="Times New Roman" w:hAnsi="Times New Roman"/>
          <w:sz w:val="24"/>
          <w:szCs w:val="24"/>
        </w:rPr>
        <w:t>qui expliquent la transition des ménages dans les états de pauvreté. Le modèle 1 considère les individus jamais pauvres comme référence ; cela permet de mieux appréhender les facteurs qui déterminent vraiment l’entrée de certains ménages dans la pauvreté alors qu’ils étaient non pauvres au départ. Le modèle 2 quand à lui considère les individus sortis de la pauvreté comme référence</w:t>
      </w:r>
      <w:r w:rsidR="00DA0523">
        <w:rPr>
          <w:rFonts w:ascii="Times New Roman" w:hAnsi="Times New Roman"/>
          <w:sz w:val="24"/>
          <w:szCs w:val="24"/>
        </w:rPr>
        <w:t xml:space="preserve">. Cette option </w:t>
      </w:r>
      <w:r w:rsidR="007918E1">
        <w:rPr>
          <w:rFonts w:ascii="Times New Roman" w:hAnsi="Times New Roman"/>
          <w:sz w:val="24"/>
          <w:szCs w:val="24"/>
        </w:rPr>
        <w:t xml:space="preserve">permet de mieux appréhender les facteurs qui expliquent </w:t>
      </w:r>
      <w:r w:rsidR="0059698A">
        <w:rPr>
          <w:rFonts w:ascii="Times New Roman" w:hAnsi="Times New Roman"/>
          <w:sz w:val="24"/>
          <w:szCs w:val="24"/>
        </w:rPr>
        <w:t xml:space="preserve">le fait que </w:t>
      </w:r>
      <w:r w:rsidR="007918E1">
        <w:rPr>
          <w:rFonts w:ascii="Times New Roman" w:hAnsi="Times New Roman"/>
          <w:sz w:val="24"/>
          <w:szCs w:val="24"/>
        </w:rPr>
        <w:t xml:space="preserve">certains ménages </w:t>
      </w:r>
      <w:r w:rsidR="0059698A">
        <w:rPr>
          <w:rFonts w:ascii="Times New Roman" w:hAnsi="Times New Roman"/>
          <w:sz w:val="24"/>
          <w:szCs w:val="24"/>
        </w:rPr>
        <w:t xml:space="preserve">sont restés toujours pauvres </w:t>
      </w:r>
      <w:r w:rsidR="007918E1">
        <w:rPr>
          <w:rFonts w:ascii="Times New Roman" w:hAnsi="Times New Roman"/>
          <w:sz w:val="24"/>
          <w:szCs w:val="24"/>
        </w:rPr>
        <w:t xml:space="preserve">alors </w:t>
      </w:r>
      <w:r w:rsidR="00BA390F">
        <w:rPr>
          <w:rFonts w:ascii="Times New Roman" w:hAnsi="Times New Roman"/>
          <w:sz w:val="24"/>
          <w:szCs w:val="24"/>
        </w:rPr>
        <w:t xml:space="preserve">que </w:t>
      </w:r>
      <w:r w:rsidR="0059698A">
        <w:rPr>
          <w:rFonts w:ascii="Times New Roman" w:hAnsi="Times New Roman"/>
          <w:sz w:val="24"/>
          <w:szCs w:val="24"/>
        </w:rPr>
        <w:t>d’autres qui</w:t>
      </w:r>
      <w:r w:rsidR="00F733A7">
        <w:rPr>
          <w:rFonts w:ascii="Times New Roman" w:hAnsi="Times New Roman"/>
          <w:sz w:val="24"/>
          <w:szCs w:val="24"/>
        </w:rPr>
        <w:t xml:space="preserve"> </w:t>
      </w:r>
      <w:r w:rsidR="0059698A">
        <w:rPr>
          <w:rFonts w:ascii="Times New Roman" w:hAnsi="Times New Roman"/>
          <w:sz w:val="24"/>
          <w:szCs w:val="24"/>
        </w:rPr>
        <w:t>s</w:t>
      </w:r>
      <w:r w:rsidR="00BD13C4">
        <w:rPr>
          <w:rFonts w:ascii="Times New Roman" w:hAnsi="Times New Roman"/>
          <w:sz w:val="24"/>
          <w:szCs w:val="24"/>
        </w:rPr>
        <w:t xml:space="preserve">’y </w:t>
      </w:r>
      <w:r w:rsidR="0059698A">
        <w:rPr>
          <w:rFonts w:ascii="Times New Roman" w:hAnsi="Times New Roman"/>
          <w:sz w:val="24"/>
          <w:szCs w:val="24"/>
        </w:rPr>
        <w:t xml:space="preserve"> trouvaient ont pu s’en sortir.</w:t>
      </w:r>
    </w:p>
    <w:p w:rsidR="0059698A" w:rsidRPr="004F3012" w:rsidRDefault="0059698A" w:rsidP="003740B0">
      <w:pPr>
        <w:spacing w:line="276" w:lineRule="auto"/>
        <w:rPr>
          <w:rFonts w:ascii="Times New Roman" w:hAnsi="Times New Roman"/>
          <w:sz w:val="12"/>
          <w:szCs w:val="12"/>
        </w:rPr>
      </w:pPr>
    </w:p>
    <w:p w:rsidR="003740B0" w:rsidRPr="007B43D0" w:rsidRDefault="003740B0" w:rsidP="003740B0">
      <w:pPr>
        <w:spacing w:line="276" w:lineRule="auto"/>
        <w:rPr>
          <w:rFonts w:ascii="Times New Roman" w:hAnsi="Times New Roman"/>
          <w:sz w:val="24"/>
          <w:szCs w:val="24"/>
        </w:rPr>
      </w:pPr>
      <w:r w:rsidRPr="00823CDE">
        <w:rPr>
          <w:rFonts w:ascii="Times New Roman" w:hAnsi="Times New Roman"/>
          <w:b/>
          <w:sz w:val="24"/>
          <w:szCs w:val="24"/>
        </w:rPr>
        <w:t>Les résultats d’estimation</w:t>
      </w:r>
      <w:r w:rsidR="00AB4129" w:rsidRPr="00823CDE">
        <w:rPr>
          <w:rStyle w:val="Appelnotedebasdep"/>
          <w:rFonts w:ascii="Times New Roman" w:hAnsi="Times New Roman"/>
          <w:b/>
          <w:sz w:val="24"/>
          <w:szCs w:val="24"/>
        </w:rPr>
        <w:footnoteReference w:id="39"/>
      </w:r>
      <w:r w:rsidRPr="00823CDE">
        <w:rPr>
          <w:rFonts w:ascii="Times New Roman" w:hAnsi="Times New Roman"/>
          <w:b/>
          <w:sz w:val="24"/>
          <w:szCs w:val="24"/>
        </w:rPr>
        <w:t xml:space="preserve"> sont résumés dans le tableau </w:t>
      </w:r>
      <w:r w:rsidR="00246605">
        <w:rPr>
          <w:rFonts w:ascii="Times New Roman" w:hAnsi="Times New Roman"/>
          <w:b/>
          <w:sz w:val="24"/>
          <w:szCs w:val="24"/>
        </w:rPr>
        <w:t>A2</w:t>
      </w:r>
      <w:r w:rsidR="00B84B7F" w:rsidRPr="00823CDE">
        <w:rPr>
          <w:rFonts w:ascii="Times New Roman" w:hAnsi="Times New Roman"/>
          <w:b/>
          <w:sz w:val="24"/>
          <w:szCs w:val="24"/>
        </w:rPr>
        <w:t>.</w:t>
      </w:r>
      <w:r w:rsidR="00BF72D3" w:rsidRPr="00823CDE">
        <w:rPr>
          <w:rFonts w:ascii="Times New Roman" w:hAnsi="Times New Roman"/>
          <w:b/>
          <w:sz w:val="24"/>
          <w:szCs w:val="24"/>
        </w:rPr>
        <w:t>5</w:t>
      </w:r>
      <w:r w:rsidR="00F733A7">
        <w:rPr>
          <w:rFonts w:ascii="Times New Roman" w:hAnsi="Times New Roman"/>
          <w:b/>
          <w:sz w:val="24"/>
          <w:szCs w:val="24"/>
        </w:rPr>
        <w:t xml:space="preserve"> en annexe</w:t>
      </w:r>
      <w:r w:rsidR="00246605">
        <w:rPr>
          <w:rFonts w:ascii="Times New Roman" w:hAnsi="Times New Roman"/>
          <w:b/>
          <w:sz w:val="24"/>
          <w:szCs w:val="24"/>
        </w:rPr>
        <w:t xml:space="preserve"> A2</w:t>
      </w:r>
      <w:r w:rsidRPr="00823CDE">
        <w:rPr>
          <w:rFonts w:ascii="Times New Roman" w:hAnsi="Times New Roman"/>
          <w:b/>
          <w:sz w:val="24"/>
          <w:szCs w:val="24"/>
        </w:rPr>
        <w:t xml:space="preserve">. </w:t>
      </w:r>
      <w:r w:rsidR="005757AE" w:rsidRPr="00823CDE">
        <w:rPr>
          <w:rFonts w:ascii="Times New Roman" w:hAnsi="Times New Roman"/>
          <w:b/>
          <w:sz w:val="24"/>
          <w:szCs w:val="24"/>
        </w:rPr>
        <w:t>Ils montrent que l</w:t>
      </w:r>
      <w:r w:rsidRPr="00823CDE">
        <w:rPr>
          <w:rFonts w:ascii="Times New Roman" w:hAnsi="Times New Roman"/>
          <w:b/>
          <w:sz w:val="24"/>
          <w:szCs w:val="24"/>
        </w:rPr>
        <w:t xml:space="preserve">e cycle de vie apparait ici fondamental dans l’état du bien-être des populations car l’âge du chef de ménage a un effet </w:t>
      </w:r>
      <w:r w:rsidR="00BE63D7" w:rsidRPr="00823CDE">
        <w:rPr>
          <w:rFonts w:ascii="Times New Roman" w:hAnsi="Times New Roman"/>
          <w:b/>
          <w:sz w:val="24"/>
          <w:szCs w:val="24"/>
        </w:rPr>
        <w:t xml:space="preserve">plus important </w:t>
      </w:r>
      <w:r w:rsidR="00AD4E5D" w:rsidRPr="00823CDE">
        <w:rPr>
          <w:rFonts w:ascii="Times New Roman" w:hAnsi="Times New Roman"/>
          <w:b/>
          <w:sz w:val="24"/>
          <w:szCs w:val="24"/>
        </w:rPr>
        <w:t xml:space="preserve">sur </w:t>
      </w:r>
      <w:r w:rsidR="00BE63D7" w:rsidRPr="00823CDE">
        <w:rPr>
          <w:rFonts w:ascii="Times New Roman" w:hAnsi="Times New Roman"/>
          <w:b/>
          <w:sz w:val="24"/>
          <w:szCs w:val="24"/>
        </w:rPr>
        <w:t xml:space="preserve">la sédentarité que sur </w:t>
      </w:r>
      <w:r w:rsidRPr="00823CDE">
        <w:rPr>
          <w:rFonts w:ascii="Times New Roman" w:hAnsi="Times New Roman"/>
          <w:b/>
          <w:sz w:val="24"/>
          <w:szCs w:val="24"/>
        </w:rPr>
        <w:t xml:space="preserve">l’entrée </w:t>
      </w:r>
      <w:r w:rsidR="00BE63D7" w:rsidRPr="00823CDE">
        <w:rPr>
          <w:rFonts w:ascii="Times New Roman" w:hAnsi="Times New Roman"/>
          <w:b/>
          <w:sz w:val="24"/>
          <w:szCs w:val="24"/>
        </w:rPr>
        <w:t>d</w:t>
      </w:r>
      <w:r w:rsidRPr="00823CDE">
        <w:rPr>
          <w:rFonts w:ascii="Times New Roman" w:hAnsi="Times New Roman"/>
          <w:b/>
          <w:sz w:val="24"/>
          <w:szCs w:val="24"/>
        </w:rPr>
        <w:t>ans la pauvreté</w:t>
      </w:r>
      <w:r w:rsidRPr="007B43D0">
        <w:rPr>
          <w:rFonts w:ascii="Times New Roman" w:hAnsi="Times New Roman"/>
          <w:sz w:val="24"/>
          <w:szCs w:val="24"/>
        </w:rPr>
        <w:t xml:space="preserve">. </w:t>
      </w:r>
      <w:r w:rsidR="00186451">
        <w:rPr>
          <w:rFonts w:ascii="Times New Roman" w:hAnsi="Times New Roman"/>
          <w:sz w:val="24"/>
          <w:szCs w:val="24"/>
        </w:rPr>
        <w:t>En effet, l</w:t>
      </w:r>
      <w:r w:rsidRPr="007B43D0">
        <w:rPr>
          <w:rFonts w:ascii="Times New Roman" w:hAnsi="Times New Roman"/>
          <w:sz w:val="24"/>
          <w:szCs w:val="24"/>
        </w:rPr>
        <w:t>e coefficient obtenu pour la sédentarité dans la pauvreté est supérieur aux coefficients des autres états en</w:t>
      </w:r>
      <w:r w:rsidR="006A4386">
        <w:rPr>
          <w:rFonts w:ascii="Times New Roman" w:hAnsi="Times New Roman"/>
          <w:sz w:val="24"/>
          <w:szCs w:val="24"/>
        </w:rPr>
        <w:t xml:space="preserve"> termes de rapport de chance</w:t>
      </w:r>
      <w:r w:rsidRPr="007B43D0">
        <w:rPr>
          <w:rFonts w:ascii="Times New Roman" w:hAnsi="Times New Roman"/>
          <w:sz w:val="24"/>
          <w:szCs w:val="24"/>
        </w:rPr>
        <w:t xml:space="preserve">. </w:t>
      </w:r>
      <w:r w:rsidR="00B76D0A" w:rsidRPr="00BA5525">
        <w:rPr>
          <w:rFonts w:ascii="Times New Roman" w:hAnsi="Times New Roman"/>
          <w:sz w:val="24"/>
          <w:szCs w:val="24"/>
        </w:rPr>
        <w:t>Ainsi, plus le chef de ménage est âgé, moins le ménage a la chance de connaitre une amélioration dans ses conditions de vie</w:t>
      </w:r>
      <w:r w:rsidRPr="00BA5525">
        <w:rPr>
          <w:rFonts w:ascii="Times New Roman" w:hAnsi="Times New Roman"/>
          <w:sz w:val="24"/>
          <w:szCs w:val="24"/>
        </w:rPr>
        <w:t>.</w:t>
      </w:r>
      <w:r w:rsidRPr="007B43D0">
        <w:rPr>
          <w:rFonts w:ascii="Times New Roman" w:hAnsi="Times New Roman"/>
          <w:sz w:val="24"/>
          <w:szCs w:val="24"/>
        </w:rPr>
        <w:t xml:space="preserve"> Ces résultats sont en cohérence avec la relation négative qui existe entre le cycle de vie et les opportunités (d’emploi par exemple) du fait que la raréfaction des opportunités au fur et à mesure que l’âge du chef de ménage augmente, impacte négativement sur les revenus du ménage et conduisent à une aggravation du niveau de vie (Hodonou</w:t>
      </w:r>
      <w:r w:rsidR="00305B01">
        <w:rPr>
          <w:rFonts w:ascii="Times New Roman" w:hAnsi="Times New Roman"/>
          <w:sz w:val="24"/>
          <w:szCs w:val="24"/>
        </w:rPr>
        <w:t xml:space="preserve"> </w:t>
      </w:r>
      <w:r w:rsidR="00C7014C">
        <w:rPr>
          <w:rFonts w:ascii="Times New Roman" w:hAnsi="Times New Roman"/>
          <w:sz w:val="24"/>
          <w:szCs w:val="24"/>
        </w:rPr>
        <w:t xml:space="preserve">et </w:t>
      </w:r>
      <w:r w:rsidRPr="007B43D0">
        <w:rPr>
          <w:rFonts w:ascii="Times New Roman" w:hAnsi="Times New Roman"/>
          <w:sz w:val="24"/>
          <w:szCs w:val="24"/>
        </w:rPr>
        <w:t xml:space="preserve">al, 2010). </w:t>
      </w:r>
    </w:p>
    <w:p w:rsidR="003740B0" w:rsidRPr="004F3012" w:rsidRDefault="003740B0" w:rsidP="003740B0">
      <w:pPr>
        <w:spacing w:line="276" w:lineRule="auto"/>
        <w:rPr>
          <w:rFonts w:ascii="Times New Roman" w:hAnsi="Times New Roman"/>
          <w:b/>
          <w:sz w:val="12"/>
          <w:szCs w:val="12"/>
        </w:rPr>
      </w:pPr>
    </w:p>
    <w:p w:rsidR="003740B0" w:rsidRPr="007B43D0" w:rsidRDefault="003740B0" w:rsidP="003740B0">
      <w:pPr>
        <w:spacing w:line="276" w:lineRule="auto"/>
        <w:rPr>
          <w:rFonts w:ascii="Times New Roman" w:hAnsi="Times New Roman"/>
          <w:sz w:val="24"/>
          <w:szCs w:val="24"/>
        </w:rPr>
      </w:pPr>
      <w:r w:rsidRPr="00823CDE">
        <w:rPr>
          <w:rFonts w:ascii="Times New Roman" w:hAnsi="Times New Roman"/>
          <w:b/>
          <w:sz w:val="24"/>
          <w:szCs w:val="24"/>
        </w:rPr>
        <w:t>La taille du ménage joue un grand rôle dans la modification du niveau de vie d’un ménage.</w:t>
      </w:r>
      <w:r w:rsidRPr="007B43D0">
        <w:rPr>
          <w:rFonts w:ascii="Times New Roman" w:hAnsi="Times New Roman"/>
          <w:sz w:val="24"/>
          <w:szCs w:val="24"/>
        </w:rPr>
        <w:t xml:space="preserve"> A l’image de résultats obtenus par  Hodonou et al. (2010)</w:t>
      </w:r>
      <w:r w:rsidR="00C7014C">
        <w:rPr>
          <w:rFonts w:ascii="Times New Roman" w:hAnsi="Times New Roman"/>
          <w:sz w:val="24"/>
          <w:szCs w:val="24"/>
        </w:rPr>
        <w:t xml:space="preserve"> et </w:t>
      </w:r>
      <w:r w:rsidRPr="007B43D0">
        <w:rPr>
          <w:rFonts w:ascii="Times New Roman" w:hAnsi="Times New Roman"/>
          <w:sz w:val="24"/>
          <w:szCs w:val="24"/>
        </w:rPr>
        <w:t>Mededji D. (</w:t>
      </w:r>
      <w:r w:rsidR="00CF0869" w:rsidRPr="007B43D0">
        <w:rPr>
          <w:rFonts w:ascii="Times New Roman" w:hAnsi="Times New Roman"/>
          <w:sz w:val="24"/>
          <w:szCs w:val="24"/>
        </w:rPr>
        <w:t>200</w:t>
      </w:r>
      <w:r w:rsidR="00CF0869">
        <w:rPr>
          <w:rFonts w:ascii="Times New Roman" w:hAnsi="Times New Roman"/>
          <w:sz w:val="24"/>
          <w:szCs w:val="24"/>
        </w:rPr>
        <w:t>8</w:t>
      </w:r>
      <w:r w:rsidRPr="007B43D0">
        <w:rPr>
          <w:rFonts w:ascii="Times New Roman" w:hAnsi="Times New Roman"/>
          <w:sz w:val="24"/>
          <w:szCs w:val="24"/>
        </w:rPr>
        <w:t>), Howard O. et al. (2000), Grooteart (1990)</w:t>
      </w:r>
      <w:r w:rsidR="00FD438C">
        <w:rPr>
          <w:rFonts w:ascii="Times New Roman" w:hAnsi="Times New Roman"/>
          <w:sz w:val="24"/>
          <w:szCs w:val="24"/>
        </w:rPr>
        <w:t>,</w:t>
      </w:r>
      <w:r w:rsidRPr="007B43D0">
        <w:rPr>
          <w:rFonts w:ascii="Times New Roman" w:hAnsi="Times New Roman"/>
          <w:sz w:val="24"/>
          <w:szCs w:val="24"/>
        </w:rPr>
        <w:t xml:space="preserve"> un ménage initialement de taille élevé</w:t>
      </w:r>
      <w:r w:rsidR="00FD438C">
        <w:rPr>
          <w:rFonts w:ascii="Times New Roman" w:hAnsi="Times New Roman"/>
          <w:sz w:val="24"/>
          <w:szCs w:val="24"/>
        </w:rPr>
        <w:t>e</w:t>
      </w:r>
      <w:r w:rsidRPr="007B43D0">
        <w:rPr>
          <w:rFonts w:ascii="Times New Roman" w:hAnsi="Times New Roman"/>
          <w:sz w:val="24"/>
          <w:szCs w:val="24"/>
        </w:rPr>
        <w:t xml:space="preserve"> a plus de chance de connaitre une aggravation de son niveau de vie. Aussi, une diminution de la taille du ménage offre-t-elle des possibilités au ménage de sortir de la pauvreté. Par ailleurs, plus le ménage dispose d’un nombre élevé de personnes d’âge inactif à la charge (</w:t>
      </w:r>
      <w:r w:rsidR="00E863ED">
        <w:rPr>
          <w:rFonts w:ascii="Times New Roman" w:hAnsi="Times New Roman"/>
          <w:sz w:val="24"/>
          <w:szCs w:val="24"/>
        </w:rPr>
        <w:t>0-14 ans</w:t>
      </w:r>
      <w:r w:rsidR="00BF72D3">
        <w:rPr>
          <w:rFonts w:ascii="Times New Roman" w:hAnsi="Times New Roman"/>
          <w:sz w:val="24"/>
          <w:szCs w:val="24"/>
        </w:rPr>
        <w:t>,</w:t>
      </w:r>
      <w:r w:rsidRPr="007B43D0">
        <w:rPr>
          <w:rFonts w:ascii="Times New Roman" w:hAnsi="Times New Roman"/>
          <w:sz w:val="24"/>
          <w:szCs w:val="24"/>
        </w:rPr>
        <w:t xml:space="preserve"> 65 ans </w:t>
      </w:r>
      <w:r w:rsidR="003D0D5A">
        <w:rPr>
          <w:rFonts w:ascii="Times New Roman" w:hAnsi="Times New Roman"/>
          <w:sz w:val="24"/>
          <w:szCs w:val="24"/>
        </w:rPr>
        <w:t>ou</w:t>
      </w:r>
      <w:r w:rsidRPr="007B43D0">
        <w:rPr>
          <w:rFonts w:ascii="Times New Roman" w:hAnsi="Times New Roman"/>
          <w:sz w:val="24"/>
          <w:szCs w:val="24"/>
        </w:rPr>
        <w:t xml:space="preserve"> plus), plus</w:t>
      </w:r>
      <w:r w:rsidR="00FD438C">
        <w:rPr>
          <w:rFonts w:ascii="Times New Roman" w:hAnsi="Times New Roman"/>
          <w:sz w:val="24"/>
          <w:szCs w:val="24"/>
        </w:rPr>
        <w:t>,</w:t>
      </w:r>
      <w:r w:rsidR="00246605">
        <w:rPr>
          <w:rFonts w:ascii="Times New Roman" w:hAnsi="Times New Roman"/>
          <w:sz w:val="24"/>
          <w:szCs w:val="24"/>
        </w:rPr>
        <w:t xml:space="preserve"> </w:t>
      </w:r>
      <w:r w:rsidR="00FD438C">
        <w:rPr>
          <w:rFonts w:ascii="Times New Roman" w:hAnsi="Times New Roman"/>
          <w:sz w:val="24"/>
          <w:szCs w:val="24"/>
        </w:rPr>
        <w:t>il</w:t>
      </w:r>
      <w:r w:rsidRPr="007B43D0">
        <w:rPr>
          <w:rFonts w:ascii="Times New Roman" w:hAnsi="Times New Roman"/>
          <w:sz w:val="24"/>
          <w:szCs w:val="24"/>
        </w:rPr>
        <w:t xml:space="preserve"> court le risque de tomber dans la pauvreté et moins de chance d’en sortir. Ces résultats n’offrent guère de surprise d’autant plus que l’influence de la taille sur le niveau de vie du ménage est un phénomène plus </w:t>
      </w:r>
      <w:r w:rsidR="00047F05">
        <w:rPr>
          <w:rFonts w:ascii="Times New Roman" w:hAnsi="Times New Roman"/>
          <w:sz w:val="24"/>
          <w:szCs w:val="24"/>
        </w:rPr>
        <w:t xml:space="preserve">ou </w:t>
      </w:r>
      <w:r w:rsidRPr="007B43D0">
        <w:rPr>
          <w:rFonts w:ascii="Times New Roman" w:hAnsi="Times New Roman"/>
          <w:sz w:val="24"/>
          <w:szCs w:val="24"/>
        </w:rPr>
        <w:t xml:space="preserve">moins fréquent en Afrique (Lachaud, 1997c).   </w:t>
      </w:r>
    </w:p>
    <w:p w:rsidR="003740B0" w:rsidRPr="004F3012" w:rsidRDefault="003740B0" w:rsidP="003740B0">
      <w:pPr>
        <w:spacing w:line="276" w:lineRule="auto"/>
        <w:rPr>
          <w:rFonts w:ascii="Times New Roman" w:hAnsi="Times New Roman"/>
          <w:sz w:val="12"/>
          <w:szCs w:val="12"/>
        </w:rPr>
      </w:pPr>
    </w:p>
    <w:p w:rsidR="00522065" w:rsidRPr="00522065" w:rsidRDefault="003740B0" w:rsidP="00522065">
      <w:pPr>
        <w:spacing w:line="276" w:lineRule="auto"/>
        <w:rPr>
          <w:rFonts w:ascii="Times New Roman" w:hAnsi="Times New Roman"/>
          <w:sz w:val="24"/>
          <w:szCs w:val="24"/>
        </w:rPr>
      </w:pPr>
      <w:r w:rsidRPr="00823CDE">
        <w:rPr>
          <w:rFonts w:ascii="Times New Roman" w:hAnsi="Times New Roman"/>
          <w:b/>
          <w:sz w:val="24"/>
          <w:szCs w:val="24"/>
        </w:rPr>
        <w:t>Les résultats révèlent</w:t>
      </w:r>
      <w:r w:rsidR="006D3DE2" w:rsidRPr="00823CDE">
        <w:rPr>
          <w:rFonts w:ascii="Times New Roman" w:hAnsi="Times New Roman"/>
          <w:b/>
          <w:sz w:val="24"/>
          <w:szCs w:val="24"/>
        </w:rPr>
        <w:t xml:space="preserve"> aussi</w:t>
      </w:r>
      <w:r w:rsidRPr="00823CDE">
        <w:rPr>
          <w:rFonts w:ascii="Times New Roman" w:hAnsi="Times New Roman"/>
          <w:b/>
          <w:sz w:val="24"/>
          <w:szCs w:val="24"/>
        </w:rPr>
        <w:t xml:space="preserve"> l’influence </w:t>
      </w:r>
      <w:r w:rsidR="006D3DE2" w:rsidRPr="00823CDE">
        <w:rPr>
          <w:rFonts w:ascii="Times New Roman" w:hAnsi="Times New Roman"/>
          <w:b/>
          <w:sz w:val="24"/>
          <w:szCs w:val="24"/>
        </w:rPr>
        <w:t>du</w:t>
      </w:r>
      <w:r w:rsidRPr="00823CDE">
        <w:rPr>
          <w:rFonts w:ascii="Times New Roman" w:hAnsi="Times New Roman"/>
          <w:b/>
          <w:sz w:val="24"/>
          <w:szCs w:val="24"/>
        </w:rPr>
        <w:t xml:space="preserve"> capital humain sur la transition dans la pauvreté. Dans le cas de cette étude, le niveau d’instruction initial du chef de ménage a un effet </w:t>
      </w:r>
      <w:r w:rsidR="005A62C2" w:rsidRPr="00823CDE">
        <w:rPr>
          <w:rFonts w:ascii="Times New Roman" w:hAnsi="Times New Roman"/>
          <w:b/>
          <w:sz w:val="24"/>
          <w:szCs w:val="24"/>
        </w:rPr>
        <w:t xml:space="preserve">significatif </w:t>
      </w:r>
      <w:r w:rsidRPr="00823CDE">
        <w:rPr>
          <w:rFonts w:ascii="Times New Roman" w:hAnsi="Times New Roman"/>
          <w:b/>
          <w:sz w:val="24"/>
          <w:szCs w:val="24"/>
        </w:rPr>
        <w:t>sur la transition du ménage vers un état meilleur</w:t>
      </w:r>
      <w:r w:rsidRPr="007A126F">
        <w:rPr>
          <w:rFonts w:ascii="Times New Roman" w:hAnsi="Times New Roman"/>
          <w:sz w:val="24"/>
          <w:szCs w:val="24"/>
        </w:rPr>
        <w:t xml:space="preserve">. </w:t>
      </w:r>
      <w:r w:rsidRPr="004B1072">
        <w:rPr>
          <w:rFonts w:ascii="Times New Roman" w:hAnsi="Times New Roman"/>
          <w:sz w:val="24"/>
          <w:szCs w:val="24"/>
        </w:rPr>
        <w:t>En effet,</w:t>
      </w:r>
      <w:r w:rsidR="00246605">
        <w:rPr>
          <w:rFonts w:ascii="Times New Roman" w:hAnsi="Times New Roman"/>
          <w:sz w:val="24"/>
          <w:szCs w:val="24"/>
        </w:rPr>
        <w:t xml:space="preserve"> </w:t>
      </w:r>
      <w:r w:rsidR="00B40325" w:rsidRPr="004B1072">
        <w:rPr>
          <w:rFonts w:ascii="Times New Roman" w:hAnsi="Times New Roman"/>
          <w:sz w:val="24"/>
          <w:szCs w:val="24"/>
        </w:rPr>
        <w:t xml:space="preserve">en référence </w:t>
      </w:r>
      <w:r w:rsidR="00084457" w:rsidRPr="004B1072">
        <w:rPr>
          <w:rFonts w:ascii="Times New Roman" w:hAnsi="Times New Roman"/>
          <w:sz w:val="24"/>
          <w:szCs w:val="24"/>
        </w:rPr>
        <w:t xml:space="preserve">aux </w:t>
      </w:r>
      <w:r w:rsidRPr="004B1072">
        <w:rPr>
          <w:rFonts w:ascii="Times New Roman" w:hAnsi="Times New Roman"/>
          <w:sz w:val="24"/>
          <w:szCs w:val="24"/>
        </w:rPr>
        <w:t>ménage</w:t>
      </w:r>
      <w:r w:rsidR="00084457" w:rsidRPr="004B1072">
        <w:rPr>
          <w:rFonts w:ascii="Times New Roman" w:hAnsi="Times New Roman"/>
          <w:sz w:val="24"/>
          <w:szCs w:val="24"/>
        </w:rPr>
        <w:t>s</w:t>
      </w:r>
      <w:r w:rsidR="00246605">
        <w:rPr>
          <w:rFonts w:ascii="Times New Roman" w:hAnsi="Times New Roman"/>
          <w:sz w:val="24"/>
          <w:szCs w:val="24"/>
        </w:rPr>
        <w:t xml:space="preserve"> </w:t>
      </w:r>
      <w:r w:rsidR="00084457" w:rsidRPr="004B1072">
        <w:rPr>
          <w:rFonts w:ascii="Times New Roman" w:hAnsi="Times New Roman"/>
          <w:sz w:val="24"/>
          <w:szCs w:val="24"/>
        </w:rPr>
        <w:t>jamais pauvre</w:t>
      </w:r>
      <w:r w:rsidR="009B1EE1" w:rsidRPr="004B1072">
        <w:rPr>
          <w:rFonts w:ascii="Times New Roman" w:hAnsi="Times New Roman"/>
          <w:sz w:val="24"/>
          <w:szCs w:val="24"/>
        </w:rPr>
        <w:t>s</w:t>
      </w:r>
      <w:r w:rsidR="00084457" w:rsidRPr="004B1072">
        <w:rPr>
          <w:rFonts w:ascii="Times New Roman" w:hAnsi="Times New Roman"/>
          <w:sz w:val="24"/>
          <w:szCs w:val="24"/>
        </w:rPr>
        <w:t xml:space="preserve"> sur la période</w:t>
      </w:r>
      <w:r w:rsidRPr="004B1072">
        <w:rPr>
          <w:rFonts w:ascii="Times New Roman" w:hAnsi="Times New Roman"/>
          <w:sz w:val="24"/>
          <w:szCs w:val="24"/>
        </w:rPr>
        <w:t xml:space="preserve">, </w:t>
      </w:r>
      <w:r w:rsidR="00084457" w:rsidRPr="004B1072">
        <w:rPr>
          <w:rFonts w:ascii="Times New Roman" w:hAnsi="Times New Roman"/>
          <w:sz w:val="24"/>
          <w:szCs w:val="24"/>
        </w:rPr>
        <w:t xml:space="preserve">par rapport à un </w:t>
      </w:r>
      <w:r w:rsidR="00B40325" w:rsidRPr="004B1072">
        <w:rPr>
          <w:rFonts w:ascii="Times New Roman" w:hAnsi="Times New Roman"/>
          <w:sz w:val="24"/>
          <w:szCs w:val="24"/>
        </w:rPr>
        <w:t xml:space="preserve">ménage dont le </w:t>
      </w:r>
      <w:r w:rsidR="00084457" w:rsidRPr="004B1072">
        <w:rPr>
          <w:rFonts w:ascii="Times New Roman" w:hAnsi="Times New Roman"/>
          <w:sz w:val="24"/>
          <w:szCs w:val="24"/>
        </w:rPr>
        <w:t xml:space="preserve">chef n’a aucun niveau d’instruction, </w:t>
      </w:r>
      <w:r w:rsidR="000E054B" w:rsidRPr="004B1072">
        <w:rPr>
          <w:rFonts w:ascii="Times New Roman" w:hAnsi="Times New Roman"/>
          <w:sz w:val="24"/>
          <w:szCs w:val="24"/>
        </w:rPr>
        <w:t>le</w:t>
      </w:r>
      <w:r w:rsidR="00DC0D4A" w:rsidRPr="004B1072">
        <w:rPr>
          <w:rFonts w:ascii="Times New Roman" w:hAnsi="Times New Roman"/>
          <w:sz w:val="24"/>
          <w:szCs w:val="24"/>
        </w:rPr>
        <w:t xml:space="preserve">s ménages dont le </w:t>
      </w:r>
      <w:r w:rsidR="000E054B" w:rsidRPr="004B1072">
        <w:rPr>
          <w:rFonts w:ascii="Times New Roman" w:hAnsi="Times New Roman"/>
          <w:sz w:val="24"/>
          <w:szCs w:val="24"/>
        </w:rPr>
        <w:t xml:space="preserve">chef </w:t>
      </w:r>
      <w:r w:rsidR="00DC0D4A" w:rsidRPr="004B1072">
        <w:rPr>
          <w:rFonts w:ascii="Times New Roman" w:hAnsi="Times New Roman"/>
          <w:sz w:val="24"/>
          <w:szCs w:val="24"/>
        </w:rPr>
        <w:t>a</w:t>
      </w:r>
      <w:r w:rsidR="00A56260">
        <w:rPr>
          <w:rFonts w:ascii="Times New Roman" w:hAnsi="Times New Roman"/>
          <w:sz w:val="24"/>
          <w:szCs w:val="24"/>
        </w:rPr>
        <w:t xml:space="preserve"> </w:t>
      </w:r>
      <w:r w:rsidRPr="004B1072">
        <w:rPr>
          <w:rFonts w:ascii="Times New Roman" w:hAnsi="Times New Roman"/>
          <w:sz w:val="24"/>
          <w:szCs w:val="24"/>
        </w:rPr>
        <w:t xml:space="preserve">un niveau d’instruction </w:t>
      </w:r>
      <w:r w:rsidR="000E054B" w:rsidRPr="004B1072">
        <w:rPr>
          <w:rFonts w:ascii="Times New Roman" w:hAnsi="Times New Roman"/>
          <w:sz w:val="24"/>
          <w:szCs w:val="24"/>
        </w:rPr>
        <w:t>primaire</w:t>
      </w:r>
      <w:r w:rsidR="00403DE6" w:rsidRPr="004B1072">
        <w:rPr>
          <w:rFonts w:ascii="Times New Roman" w:hAnsi="Times New Roman"/>
          <w:sz w:val="24"/>
          <w:szCs w:val="24"/>
        </w:rPr>
        <w:t xml:space="preserve"> et plus </w:t>
      </w:r>
      <w:r w:rsidR="00DC0D4A" w:rsidRPr="004B1072">
        <w:rPr>
          <w:rFonts w:ascii="Times New Roman" w:hAnsi="Times New Roman"/>
          <w:sz w:val="24"/>
          <w:szCs w:val="24"/>
        </w:rPr>
        <w:t xml:space="preserve">ont </w:t>
      </w:r>
      <w:r w:rsidR="00403DE6" w:rsidRPr="004B1072">
        <w:rPr>
          <w:rFonts w:ascii="Times New Roman" w:hAnsi="Times New Roman"/>
          <w:sz w:val="24"/>
          <w:szCs w:val="24"/>
        </w:rPr>
        <w:t xml:space="preserve">moins de chance </w:t>
      </w:r>
      <w:r w:rsidR="00DC0D4A" w:rsidRPr="004B1072">
        <w:rPr>
          <w:rFonts w:ascii="Times New Roman" w:hAnsi="Times New Roman"/>
          <w:sz w:val="24"/>
          <w:szCs w:val="24"/>
        </w:rPr>
        <w:t xml:space="preserve">de </w:t>
      </w:r>
      <w:r w:rsidR="000E054B" w:rsidRPr="004B1072">
        <w:rPr>
          <w:rFonts w:ascii="Times New Roman" w:hAnsi="Times New Roman"/>
          <w:sz w:val="24"/>
          <w:szCs w:val="24"/>
        </w:rPr>
        <w:t>connai</w:t>
      </w:r>
      <w:r w:rsidR="00DC0D4A" w:rsidRPr="004B1072">
        <w:rPr>
          <w:rFonts w:ascii="Times New Roman" w:hAnsi="Times New Roman"/>
          <w:sz w:val="24"/>
          <w:szCs w:val="24"/>
        </w:rPr>
        <w:t>tre</w:t>
      </w:r>
      <w:r w:rsidR="000E054B" w:rsidRPr="004B1072">
        <w:rPr>
          <w:rFonts w:ascii="Times New Roman" w:hAnsi="Times New Roman"/>
          <w:sz w:val="24"/>
          <w:szCs w:val="24"/>
        </w:rPr>
        <w:t xml:space="preserve"> une </w:t>
      </w:r>
      <w:r w:rsidR="00CF63F2" w:rsidRPr="004B1072">
        <w:rPr>
          <w:rFonts w:ascii="Times New Roman" w:hAnsi="Times New Roman"/>
          <w:sz w:val="24"/>
          <w:szCs w:val="24"/>
        </w:rPr>
        <w:t>entr</w:t>
      </w:r>
      <w:r w:rsidR="000E054B" w:rsidRPr="004B1072">
        <w:rPr>
          <w:rFonts w:ascii="Times New Roman" w:hAnsi="Times New Roman"/>
          <w:sz w:val="24"/>
          <w:szCs w:val="24"/>
        </w:rPr>
        <w:t>é</w:t>
      </w:r>
      <w:r w:rsidR="00CF63F2" w:rsidRPr="004B1072">
        <w:rPr>
          <w:rFonts w:ascii="Times New Roman" w:hAnsi="Times New Roman"/>
          <w:sz w:val="24"/>
          <w:szCs w:val="24"/>
        </w:rPr>
        <w:t xml:space="preserve">e dans </w:t>
      </w:r>
      <w:r w:rsidRPr="004B1072">
        <w:rPr>
          <w:rFonts w:ascii="Times New Roman" w:hAnsi="Times New Roman"/>
          <w:sz w:val="24"/>
          <w:szCs w:val="24"/>
        </w:rPr>
        <w:t>la pauvreté</w:t>
      </w:r>
      <w:r w:rsidR="00403DE6" w:rsidRPr="004B1072">
        <w:rPr>
          <w:rFonts w:ascii="Times New Roman" w:hAnsi="Times New Roman"/>
          <w:sz w:val="24"/>
          <w:szCs w:val="24"/>
        </w:rPr>
        <w:t xml:space="preserve">. Cependant, cette possibilité est plus forte pour les ménages dont le chef </w:t>
      </w:r>
      <w:r w:rsidR="00DC0D4A" w:rsidRPr="004B1072">
        <w:rPr>
          <w:rFonts w:ascii="Times New Roman" w:hAnsi="Times New Roman"/>
          <w:sz w:val="24"/>
          <w:szCs w:val="24"/>
        </w:rPr>
        <w:t>a</w:t>
      </w:r>
      <w:r w:rsidR="00A56260">
        <w:rPr>
          <w:rFonts w:ascii="Times New Roman" w:hAnsi="Times New Roman"/>
          <w:sz w:val="24"/>
          <w:szCs w:val="24"/>
        </w:rPr>
        <w:t xml:space="preserve"> </w:t>
      </w:r>
      <w:r w:rsidR="000E054B" w:rsidRPr="004B1072">
        <w:rPr>
          <w:rFonts w:ascii="Times New Roman" w:hAnsi="Times New Roman"/>
          <w:sz w:val="24"/>
          <w:szCs w:val="24"/>
        </w:rPr>
        <w:t>un niveau d’instruction secondaire ou plus</w:t>
      </w:r>
      <w:r w:rsidR="00084457" w:rsidRPr="004B1072">
        <w:rPr>
          <w:rFonts w:ascii="Times New Roman" w:hAnsi="Times New Roman"/>
          <w:sz w:val="24"/>
          <w:szCs w:val="24"/>
        </w:rPr>
        <w:t>.</w:t>
      </w:r>
      <w:r w:rsidR="00246605">
        <w:rPr>
          <w:rFonts w:ascii="Times New Roman" w:hAnsi="Times New Roman"/>
          <w:sz w:val="24"/>
          <w:szCs w:val="24"/>
        </w:rPr>
        <w:t xml:space="preserve"> </w:t>
      </w:r>
      <w:r w:rsidR="004B1072">
        <w:rPr>
          <w:rFonts w:ascii="Times New Roman" w:hAnsi="Times New Roman"/>
          <w:sz w:val="24"/>
          <w:szCs w:val="24"/>
        </w:rPr>
        <w:t xml:space="preserve">Aussi, </w:t>
      </w:r>
      <w:r w:rsidR="00DC0D4A" w:rsidRPr="009B1EE1">
        <w:rPr>
          <w:rFonts w:ascii="Times New Roman" w:hAnsi="Times New Roman"/>
          <w:sz w:val="24"/>
          <w:szCs w:val="24"/>
        </w:rPr>
        <w:t>en référence aux ménages sorti</w:t>
      </w:r>
      <w:r w:rsidR="00597A1D" w:rsidRPr="009B1EE1">
        <w:rPr>
          <w:rFonts w:ascii="Times New Roman" w:hAnsi="Times New Roman"/>
          <w:sz w:val="24"/>
          <w:szCs w:val="24"/>
        </w:rPr>
        <w:t>s</w:t>
      </w:r>
      <w:r w:rsidR="00DC0D4A" w:rsidRPr="009B1EE1">
        <w:rPr>
          <w:rFonts w:ascii="Times New Roman" w:hAnsi="Times New Roman"/>
          <w:sz w:val="24"/>
          <w:szCs w:val="24"/>
        </w:rPr>
        <w:t xml:space="preserve"> de la pauvreté, lorsqu’un ménage est initialement pauvre, le </w:t>
      </w:r>
      <w:r w:rsidRPr="009B1EE1">
        <w:rPr>
          <w:rFonts w:ascii="Times New Roman" w:hAnsi="Times New Roman"/>
          <w:sz w:val="24"/>
          <w:szCs w:val="24"/>
        </w:rPr>
        <w:t xml:space="preserve">fait que </w:t>
      </w:r>
      <w:r w:rsidR="00DC0D4A" w:rsidRPr="009B1EE1">
        <w:rPr>
          <w:rFonts w:ascii="Times New Roman" w:hAnsi="Times New Roman"/>
          <w:sz w:val="24"/>
          <w:szCs w:val="24"/>
        </w:rPr>
        <w:t xml:space="preserve">le </w:t>
      </w:r>
      <w:r w:rsidRPr="009B1EE1">
        <w:rPr>
          <w:rFonts w:ascii="Times New Roman" w:hAnsi="Times New Roman"/>
          <w:sz w:val="24"/>
          <w:szCs w:val="24"/>
        </w:rPr>
        <w:t>chef de</w:t>
      </w:r>
      <w:r w:rsidR="00DC0D4A" w:rsidRPr="009B1EE1">
        <w:rPr>
          <w:rFonts w:ascii="Times New Roman" w:hAnsi="Times New Roman"/>
          <w:sz w:val="24"/>
          <w:szCs w:val="24"/>
        </w:rPr>
        <w:t xml:space="preserve"> ce</w:t>
      </w:r>
      <w:r w:rsidRPr="009B1EE1">
        <w:rPr>
          <w:rFonts w:ascii="Times New Roman" w:hAnsi="Times New Roman"/>
          <w:sz w:val="24"/>
          <w:szCs w:val="24"/>
        </w:rPr>
        <w:t xml:space="preserve"> ménage a</w:t>
      </w:r>
      <w:r w:rsidR="004B1072">
        <w:rPr>
          <w:rFonts w:ascii="Times New Roman" w:hAnsi="Times New Roman"/>
          <w:sz w:val="24"/>
          <w:szCs w:val="24"/>
        </w:rPr>
        <w:t>it</w:t>
      </w:r>
      <w:r w:rsidRPr="009B1EE1">
        <w:rPr>
          <w:rFonts w:ascii="Times New Roman" w:hAnsi="Times New Roman"/>
          <w:sz w:val="24"/>
          <w:szCs w:val="24"/>
        </w:rPr>
        <w:t xml:space="preserve"> un niveau </w:t>
      </w:r>
      <w:r w:rsidR="00DC04CD" w:rsidRPr="009B1EE1">
        <w:rPr>
          <w:rFonts w:ascii="Times New Roman" w:hAnsi="Times New Roman"/>
          <w:sz w:val="24"/>
          <w:szCs w:val="24"/>
        </w:rPr>
        <w:t>secondaire et plus</w:t>
      </w:r>
      <w:r w:rsidR="002613E0">
        <w:rPr>
          <w:rFonts w:ascii="Times New Roman" w:hAnsi="Times New Roman"/>
          <w:sz w:val="24"/>
          <w:szCs w:val="24"/>
        </w:rPr>
        <w:t>,</w:t>
      </w:r>
      <w:r w:rsidR="00246605">
        <w:rPr>
          <w:rFonts w:ascii="Times New Roman" w:hAnsi="Times New Roman"/>
          <w:sz w:val="24"/>
          <w:szCs w:val="24"/>
        </w:rPr>
        <w:t xml:space="preserve"> </w:t>
      </w:r>
      <w:r w:rsidR="002613E0">
        <w:rPr>
          <w:rFonts w:ascii="Times New Roman" w:hAnsi="Times New Roman"/>
          <w:sz w:val="24"/>
          <w:szCs w:val="24"/>
        </w:rPr>
        <w:t xml:space="preserve">réduit sa </w:t>
      </w:r>
      <w:r w:rsidRPr="009B1EE1">
        <w:rPr>
          <w:rFonts w:ascii="Times New Roman" w:hAnsi="Times New Roman"/>
          <w:sz w:val="24"/>
          <w:szCs w:val="24"/>
        </w:rPr>
        <w:t>chance de rester toujours pauvre. Ces résultats</w:t>
      </w:r>
      <w:r w:rsidR="00957E22">
        <w:rPr>
          <w:rFonts w:ascii="Times New Roman" w:hAnsi="Times New Roman"/>
          <w:sz w:val="24"/>
          <w:szCs w:val="24"/>
        </w:rPr>
        <w:t xml:space="preserve"> sont</w:t>
      </w:r>
      <w:r w:rsidRPr="009B1EE1">
        <w:rPr>
          <w:rFonts w:ascii="Times New Roman" w:hAnsi="Times New Roman"/>
          <w:sz w:val="24"/>
          <w:szCs w:val="24"/>
        </w:rPr>
        <w:t xml:space="preserve"> proches de ceux obtenus par Hodonou</w:t>
      </w:r>
      <w:r w:rsidR="00A56260">
        <w:rPr>
          <w:rFonts w:ascii="Times New Roman" w:hAnsi="Times New Roman"/>
          <w:sz w:val="24"/>
          <w:szCs w:val="24"/>
        </w:rPr>
        <w:t xml:space="preserve"> </w:t>
      </w:r>
      <w:r w:rsidRPr="009B1EE1">
        <w:rPr>
          <w:rFonts w:ascii="Times New Roman" w:hAnsi="Times New Roman"/>
          <w:sz w:val="24"/>
          <w:szCs w:val="24"/>
        </w:rPr>
        <w:t>et al. (2010)</w:t>
      </w:r>
      <w:r w:rsidR="00D71CA5">
        <w:rPr>
          <w:rFonts w:ascii="Times New Roman" w:hAnsi="Times New Roman"/>
          <w:sz w:val="24"/>
          <w:szCs w:val="24"/>
        </w:rPr>
        <w:t xml:space="preserve"> et </w:t>
      </w:r>
      <w:r w:rsidRPr="009B1EE1">
        <w:rPr>
          <w:rFonts w:ascii="Times New Roman" w:hAnsi="Times New Roman"/>
          <w:sz w:val="24"/>
          <w:szCs w:val="24"/>
        </w:rPr>
        <w:t>par Grooteart (1990) pour le cas de la Côte d’Ivoire.</w:t>
      </w:r>
      <w:r w:rsidR="00246605">
        <w:rPr>
          <w:rFonts w:ascii="Times New Roman" w:hAnsi="Times New Roman"/>
          <w:sz w:val="24"/>
          <w:szCs w:val="24"/>
        </w:rPr>
        <w:t xml:space="preserve"> </w:t>
      </w:r>
      <w:r w:rsidR="00D71CA5">
        <w:rPr>
          <w:rFonts w:ascii="Times New Roman" w:hAnsi="Times New Roman"/>
          <w:sz w:val="24"/>
          <w:szCs w:val="24"/>
        </w:rPr>
        <w:t xml:space="preserve">Ils soulignent </w:t>
      </w:r>
      <w:r w:rsidR="003E1C8A">
        <w:rPr>
          <w:rFonts w:ascii="Times New Roman" w:hAnsi="Times New Roman"/>
          <w:sz w:val="24"/>
          <w:szCs w:val="24"/>
        </w:rPr>
        <w:t xml:space="preserve">ainsi que le capital humain, en particulier l’éducation constitue un facteur important dans l’amélioration du bien-être du ménage. </w:t>
      </w:r>
      <w:r w:rsidR="003E1C8A" w:rsidRPr="00E27F25">
        <w:rPr>
          <w:rFonts w:ascii="Times New Roman" w:hAnsi="Times New Roman"/>
          <w:sz w:val="24"/>
          <w:szCs w:val="24"/>
        </w:rPr>
        <w:t xml:space="preserve">Mais il n’est pas assurément la condition suffisante, étant donné son impact attendu dépend surtout de la structure du marché de travail. </w:t>
      </w:r>
      <w:r w:rsidR="00EC1DC7" w:rsidRPr="00E27F25">
        <w:rPr>
          <w:rFonts w:ascii="Times New Roman" w:hAnsi="Times New Roman"/>
          <w:sz w:val="24"/>
          <w:szCs w:val="24"/>
        </w:rPr>
        <w:t xml:space="preserve">En effet, le salaire dont dépend le niveau de vie des </w:t>
      </w:r>
      <w:r w:rsidR="00EC1DC7" w:rsidRPr="00522065">
        <w:rPr>
          <w:rFonts w:ascii="Times New Roman" w:hAnsi="Times New Roman"/>
          <w:sz w:val="24"/>
          <w:szCs w:val="24"/>
        </w:rPr>
        <w:t xml:space="preserve">ménages est relativement plus élevé dans le secteur moderne que dans le secteur non structuré. </w:t>
      </w:r>
      <w:r w:rsidR="00522065" w:rsidRPr="00522065">
        <w:rPr>
          <w:rFonts w:ascii="Times New Roman" w:hAnsi="Times New Roman"/>
          <w:sz w:val="24"/>
          <w:szCs w:val="24"/>
        </w:rPr>
        <w:t>La majo</w:t>
      </w:r>
      <w:r w:rsidR="00966E54">
        <w:rPr>
          <w:rFonts w:ascii="Times New Roman" w:hAnsi="Times New Roman"/>
          <w:sz w:val="24"/>
          <w:szCs w:val="24"/>
        </w:rPr>
        <w:t xml:space="preserve">rité des entreprises dans le secteur non structuré </w:t>
      </w:r>
      <w:r w:rsidR="00522065" w:rsidRPr="00522065">
        <w:rPr>
          <w:rFonts w:ascii="Times New Roman" w:hAnsi="Times New Roman"/>
          <w:sz w:val="24"/>
          <w:szCs w:val="24"/>
        </w:rPr>
        <w:t xml:space="preserve">sont caractérisés par un très faible niveau de capital, de productivité et de revenu. Elles tendent </w:t>
      </w:r>
      <w:r w:rsidR="00966E54">
        <w:rPr>
          <w:rFonts w:ascii="Times New Roman" w:hAnsi="Times New Roman"/>
          <w:sz w:val="24"/>
          <w:szCs w:val="24"/>
        </w:rPr>
        <w:t xml:space="preserve">notamment </w:t>
      </w:r>
      <w:r w:rsidR="00522065" w:rsidRPr="00522065">
        <w:rPr>
          <w:rFonts w:ascii="Times New Roman" w:hAnsi="Times New Roman"/>
          <w:sz w:val="24"/>
          <w:szCs w:val="24"/>
        </w:rPr>
        <w:t>à avoir peu ou pas d’accès aux marchés, aux institutions de crédit, à la technologie moderne, à l’éducation formelle et aux outils de formation, et à nombre de services et aménagements.</w:t>
      </w:r>
    </w:p>
    <w:p w:rsidR="00522065" w:rsidRPr="004F3012" w:rsidRDefault="00522065" w:rsidP="002D35D7">
      <w:pPr>
        <w:spacing w:line="276" w:lineRule="auto"/>
        <w:rPr>
          <w:rFonts w:ascii="Times New Roman" w:hAnsi="Times New Roman"/>
          <w:b/>
          <w:sz w:val="12"/>
          <w:szCs w:val="12"/>
        </w:rPr>
      </w:pPr>
    </w:p>
    <w:p w:rsidR="002D35D7" w:rsidRDefault="00B30E4C" w:rsidP="002D35D7">
      <w:pPr>
        <w:spacing w:line="276" w:lineRule="auto"/>
        <w:rPr>
          <w:rFonts w:ascii="Times New Roman" w:hAnsi="Times New Roman"/>
          <w:sz w:val="24"/>
          <w:szCs w:val="24"/>
        </w:rPr>
      </w:pPr>
      <w:r>
        <w:rPr>
          <w:rFonts w:ascii="Times New Roman" w:hAnsi="Times New Roman"/>
          <w:b/>
          <w:sz w:val="24"/>
          <w:szCs w:val="24"/>
        </w:rPr>
        <w:t>L</w:t>
      </w:r>
      <w:r w:rsidR="002D35D7" w:rsidRPr="00522065">
        <w:rPr>
          <w:rFonts w:ascii="Times New Roman" w:hAnsi="Times New Roman"/>
          <w:b/>
          <w:sz w:val="24"/>
          <w:szCs w:val="24"/>
        </w:rPr>
        <w:t>a qualité de l’emploi</w:t>
      </w:r>
      <w:r w:rsidR="002D35D7" w:rsidRPr="00823CDE">
        <w:rPr>
          <w:rFonts w:ascii="Times New Roman" w:hAnsi="Times New Roman"/>
          <w:b/>
          <w:sz w:val="24"/>
          <w:szCs w:val="24"/>
        </w:rPr>
        <w:t xml:space="preserve"> est fondamentale pour un changement positif dans les conditions de vie des ménages</w:t>
      </w:r>
      <w:r w:rsidR="002D35D7">
        <w:rPr>
          <w:rFonts w:ascii="Times New Roman" w:hAnsi="Times New Roman"/>
          <w:sz w:val="24"/>
          <w:szCs w:val="24"/>
        </w:rPr>
        <w:t xml:space="preserve">. Un ménage dirigé par une personne exerçant un emploi informel a plus de chance d’entrer dans la pauvreté et d’y vivre sur une longue période. </w:t>
      </w:r>
      <w:r w:rsidR="002D35D7" w:rsidRPr="00E27F25">
        <w:rPr>
          <w:rFonts w:ascii="Times New Roman" w:hAnsi="Times New Roman"/>
          <w:sz w:val="24"/>
          <w:szCs w:val="24"/>
        </w:rPr>
        <w:t xml:space="preserve">Or, au Bénin, </w:t>
      </w:r>
      <w:r w:rsidR="002D35D7">
        <w:rPr>
          <w:rFonts w:ascii="Times New Roman" w:hAnsi="Times New Roman"/>
          <w:sz w:val="24"/>
          <w:szCs w:val="24"/>
        </w:rPr>
        <w:t>la grande majorité des actifs occupés sont dans le secteur informel. E</w:t>
      </w:r>
      <w:r w:rsidR="002D35D7" w:rsidRPr="00E27F25">
        <w:rPr>
          <w:rFonts w:ascii="Times New Roman" w:hAnsi="Times New Roman"/>
          <w:sz w:val="24"/>
          <w:szCs w:val="24"/>
        </w:rPr>
        <w:t xml:space="preserve">n 2010, </w:t>
      </w:r>
      <w:r w:rsidR="002D35D7">
        <w:rPr>
          <w:rFonts w:ascii="Times New Roman" w:hAnsi="Times New Roman"/>
          <w:sz w:val="24"/>
          <w:szCs w:val="24"/>
        </w:rPr>
        <w:t>ils sont estimés</w:t>
      </w:r>
      <w:r w:rsidR="007E3ADC">
        <w:rPr>
          <w:rFonts w:ascii="Times New Roman" w:hAnsi="Times New Roman"/>
          <w:sz w:val="24"/>
          <w:szCs w:val="24"/>
        </w:rPr>
        <w:t xml:space="preserve"> à</w:t>
      </w:r>
      <w:r w:rsidR="002D35D7">
        <w:rPr>
          <w:rFonts w:ascii="Times New Roman" w:hAnsi="Times New Roman"/>
          <w:sz w:val="24"/>
          <w:szCs w:val="24"/>
        </w:rPr>
        <w:t xml:space="preserve"> </w:t>
      </w:r>
      <w:r w:rsidR="002D35D7" w:rsidRPr="00E27F25">
        <w:rPr>
          <w:rFonts w:ascii="Times New Roman" w:hAnsi="Times New Roman"/>
          <w:sz w:val="24"/>
          <w:szCs w:val="24"/>
        </w:rPr>
        <w:t xml:space="preserve">94,3% </w:t>
      </w:r>
      <w:r w:rsidR="002D35D7">
        <w:rPr>
          <w:rFonts w:ascii="Times New Roman" w:hAnsi="Times New Roman"/>
          <w:sz w:val="24"/>
          <w:szCs w:val="24"/>
        </w:rPr>
        <w:t>en 2010 contre 95,4% en 2006. En 2011, cette proportion est passée à 89,5% montrant ainsi que</w:t>
      </w:r>
      <w:r w:rsidR="002D35D7" w:rsidRPr="00E27F25">
        <w:rPr>
          <w:rFonts w:ascii="Times New Roman" w:hAnsi="Times New Roman"/>
          <w:sz w:val="24"/>
          <w:szCs w:val="24"/>
        </w:rPr>
        <w:t xml:space="preserve"> l’économie semble nettement s’améliorer depuis 2006.</w:t>
      </w:r>
      <w:r w:rsidR="002D35D7">
        <w:rPr>
          <w:rFonts w:ascii="Times New Roman" w:hAnsi="Times New Roman"/>
          <w:sz w:val="24"/>
          <w:szCs w:val="24"/>
        </w:rPr>
        <w:t xml:space="preserve"> La </w:t>
      </w:r>
      <w:r w:rsidR="002D35D7" w:rsidRPr="00E27F25">
        <w:rPr>
          <w:rFonts w:ascii="Times New Roman" w:hAnsi="Times New Roman"/>
          <w:sz w:val="24"/>
          <w:szCs w:val="24"/>
        </w:rPr>
        <w:t>part du secteur public et du secteur privé formel a augmenté de façon significative entre 2006</w:t>
      </w:r>
      <w:r w:rsidR="00246605">
        <w:rPr>
          <w:rFonts w:ascii="Times New Roman" w:hAnsi="Times New Roman"/>
          <w:sz w:val="24"/>
          <w:szCs w:val="24"/>
        </w:rPr>
        <w:t xml:space="preserve"> </w:t>
      </w:r>
      <w:r w:rsidR="002D35D7" w:rsidRPr="00E27F25">
        <w:rPr>
          <w:rFonts w:ascii="Times New Roman" w:hAnsi="Times New Roman"/>
          <w:sz w:val="24"/>
          <w:szCs w:val="24"/>
        </w:rPr>
        <w:t>et 2011, passant de 4,</w:t>
      </w:r>
      <w:r w:rsidR="009C1423">
        <w:rPr>
          <w:rFonts w:ascii="Times New Roman" w:hAnsi="Times New Roman"/>
          <w:sz w:val="24"/>
          <w:szCs w:val="24"/>
        </w:rPr>
        <w:t>7</w:t>
      </w:r>
      <w:r w:rsidR="002D35D7" w:rsidRPr="00E27F25">
        <w:rPr>
          <w:rFonts w:ascii="Times New Roman" w:hAnsi="Times New Roman"/>
          <w:sz w:val="24"/>
          <w:szCs w:val="24"/>
        </w:rPr>
        <w:t>% en 2006 à 10,5% en 2011</w:t>
      </w:r>
      <w:r w:rsidR="002D35D7">
        <w:rPr>
          <w:rFonts w:ascii="Times New Roman" w:hAnsi="Times New Roman"/>
          <w:sz w:val="24"/>
          <w:szCs w:val="24"/>
        </w:rPr>
        <w:t xml:space="preserve"> (INSAE, 2013)</w:t>
      </w:r>
      <w:r w:rsidR="002D35D7" w:rsidRPr="00E27F25">
        <w:rPr>
          <w:rFonts w:ascii="Times New Roman" w:hAnsi="Times New Roman"/>
          <w:sz w:val="24"/>
          <w:szCs w:val="24"/>
        </w:rPr>
        <w:t xml:space="preserve">. </w:t>
      </w:r>
      <w:r w:rsidR="002D35D7">
        <w:rPr>
          <w:rFonts w:ascii="Times New Roman" w:hAnsi="Times New Roman"/>
          <w:sz w:val="24"/>
          <w:szCs w:val="24"/>
        </w:rPr>
        <w:t>En particulier, l</w:t>
      </w:r>
      <w:r w:rsidR="002D35D7" w:rsidRPr="00E27F25">
        <w:rPr>
          <w:rFonts w:ascii="Times New Roman" w:hAnsi="Times New Roman"/>
          <w:sz w:val="24"/>
          <w:szCs w:val="24"/>
        </w:rPr>
        <w:t>e secteur privé formel a beaucoup</w:t>
      </w:r>
      <w:r w:rsidR="00246605">
        <w:rPr>
          <w:rFonts w:ascii="Times New Roman" w:hAnsi="Times New Roman"/>
          <w:sz w:val="24"/>
          <w:szCs w:val="24"/>
        </w:rPr>
        <w:t xml:space="preserve"> </w:t>
      </w:r>
      <w:r w:rsidR="002D35D7" w:rsidRPr="00E27F25">
        <w:rPr>
          <w:rFonts w:ascii="Times New Roman" w:hAnsi="Times New Roman"/>
          <w:sz w:val="24"/>
          <w:szCs w:val="24"/>
        </w:rPr>
        <w:t xml:space="preserve">plus progressé depuis 2006 que le secteur public. </w:t>
      </w:r>
      <w:r w:rsidR="002D35D7">
        <w:rPr>
          <w:rFonts w:ascii="Times New Roman" w:hAnsi="Times New Roman"/>
          <w:sz w:val="24"/>
          <w:szCs w:val="24"/>
        </w:rPr>
        <w:t xml:space="preserve">En 2011, il a employé </w:t>
      </w:r>
      <w:r w:rsidR="002D35D7" w:rsidRPr="00E27F25">
        <w:rPr>
          <w:rFonts w:ascii="Times New Roman" w:hAnsi="Times New Roman"/>
          <w:sz w:val="24"/>
          <w:szCs w:val="24"/>
        </w:rPr>
        <w:t xml:space="preserve"> 6,1% de la main d’</w:t>
      </w:r>
      <w:r w:rsidR="002D35D7">
        <w:rPr>
          <w:rFonts w:ascii="Times New Roman" w:hAnsi="Times New Roman"/>
          <w:sz w:val="24"/>
          <w:szCs w:val="24"/>
        </w:rPr>
        <w:t xml:space="preserve">œuvre </w:t>
      </w:r>
      <w:r w:rsidR="002D35D7" w:rsidRPr="00E27F25">
        <w:rPr>
          <w:rFonts w:ascii="Times New Roman" w:hAnsi="Times New Roman"/>
          <w:sz w:val="24"/>
          <w:szCs w:val="24"/>
        </w:rPr>
        <w:t xml:space="preserve"> contre 2,1% en 2010</w:t>
      </w:r>
      <w:r w:rsidR="009C1423">
        <w:rPr>
          <w:rFonts w:ascii="Times New Roman" w:hAnsi="Times New Roman"/>
          <w:sz w:val="24"/>
          <w:szCs w:val="24"/>
        </w:rPr>
        <w:t xml:space="preserve"> et  0,2% en 2006.</w:t>
      </w:r>
      <w:r w:rsidR="009C1423">
        <w:rPr>
          <w:rFonts w:ascii="Times New Roman" w:hAnsi="Times New Roman"/>
          <w:sz w:val="24"/>
          <w:szCs w:val="24"/>
        </w:rPr>
        <w:tab/>
      </w:r>
      <w:r w:rsidR="00FC393B">
        <w:rPr>
          <w:rFonts w:ascii="Times New Roman" w:hAnsi="Times New Roman"/>
          <w:sz w:val="24"/>
          <w:szCs w:val="24"/>
        </w:rPr>
        <w:t xml:space="preserve">Cette évolution pourrait s’expliquer par </w:t>
      </w:r>
      <w:r w:rsidR="006722FD">
        <w:rPr>
          <w:rFonts w:ascii="Times New Roman" w:hAnsi="Times New Roman"/>
          <w:sz w:val="24"/>
          <w:szCs w:val="24"/>
        </w:rPr>
        <w:t xml:space="preserve">une création de plus en plus important d’entreprises dans ce secteur. </w:t>
      </w:r>
      <w:r w:rsidR="0053775C">
        <w:rPr>
          <w:rFonts w:ascii="Times New Roman" w:hAnsi="Times New Roman"/>
          <w:sz w:val="24"/>
          <w:szCs w:val="24"/>
        </w:rPr>
        <w:t>Entre 2006 et 2011, le nombre d’entreprises</w:t>
      </w:r>
      <w:r w:rsidR="0053775C">
        <w:rPr>
          <w:rStyle w:val="Appelnotedebasdep"/>
          <w:rFonts w:ascii="Times New Roman" w:hAnsi="Times New Roman"/>
          <w:sz w:val="24"/>
          <w:szCs w:val="24"/>
        </w:rPr>
        <w:footnoteReference w:id="40"/>
      </w:r>
      <w:r w:rsidR="0053775C">
        <w:rPr>
          <w:rFonts w:ascii="Times New Roman" w:hAnsi="Times New Roman"/>
          <w:sz w:val="24"/>
          <w:szCs w:val="24"/>
        </w:rPr>
        <w:t xml:space="preserve"> dans le secteur privé formel a presque quintuplé (INSAE, 2013). </w:t>
      </w:r>
    </w:p>
    <w:p w:rsidR="00281691" w:rsidRPr="004F3012" w:rsidRDefault="00281691" w:rsidP="002D35D7">
      <w:pPr>
        <w:spacing w:line="276" w:lineRule="auto"/>
        <w:rPr>
          <w:rFonts w:ascii="Times New Roman" w:hAnsi="Times New Roman"/>
          <w:sz w:val="12"/>
          <w:szCs w:val="12"/>
        </w:rPr>
      </w:pPr>
    </w:p>
    <w:p w:rsidR="00264BE8" w:rsidRPr="007B43D0" w:rsidRDefault="006722FD" w:rsidP="002D35D7">
      <w:pPr>
        <w:spacing w:line="276" w:lineRule="auto"/>
        <w:rPr>
          <w:rFonts w:ascii="Times New Roman" w:hAnsi="Times New Roman"/>
          <w:sz w:val="24"/>
          <w:szCs w:val="24"/>
        </w:rPr>
      </w:pPr>
      <w:r>
        <w:rPr>
          <w:rFonts w:ascii="Times New Roman" w:hAnsi="Times New Roman"/>
          <w:sz w:val="24"/>
          <w:szCs w:val="24"/>
        </w:rPr>
        <w:t>Les résultats montrent e</w:t>
      </w:r>
      <w:r w:rsidR="002D35D7">
        <w:rPr>
          <w:rFonts w:ascii="Times New Roman" w:hAnsi="Times New Roman"/>
          <w:sz w:val="24"/>
          <w:szCs w:val="24"/>
        </w:rPr>
        <w:t>n outre</w:t>
      </w:r>
      <w:r>
        <w:rPr>
          <w:rFonts w:ascii="Times New Roman" w:hAnsi="Times New Roman"/>
          <w:sz w:val="24"/>
          <w:szCs w:val="24"/>
        </w:rPr>
        <w:t xml:space="preserve"> que</w:t>
      </w:r>
      <w:r w:rsidR="002D35D7">
        <w:rPr>
          <w:rFonts w:ascii="Times New Roman" w:hAnsi="Times New Roman"/>
          <w:sz w:val="24"/>
          <w:szCs w:val="24"/>
        </w:rPr>
        <w:t xml:space="preserve">, le sous-emploi invisible apparait comme un facteur favorisant l’entrée et la sédentarité dans la pauvreté. Le fait qu’un chef de ménage soit en situation de sous-emploi invisible augmente la chance du ménage d’entrer dans la pauvreté et d’y rester longtemps car sa chance de sortir de la pauvreté est réduite. </w:t>
      </w:r>
      <w:r w:rsidR="004B4B36">
        <w:rPr>
          <w:rFonts w:ascii="Times New Roman" w:hAnsi="Times New Roman"/>
          <w:sz w:val="24"/>
          <w:szCs w:val="24"/>
        </w:rPr>
        <w:t>Ceci soulève à nouveau la question de la qualité de l’emploi et surtout de la faible productivité des agriculteurs</w:t>
      </w:r>
      <w:r w:rsidR="00246605">
        <w:rPr>
          <w:rFonts w:ascii="Times New Roman" w:hAnsi="Times New Roman"/>
          <w:sz w:val="24"/>
          <w:szCs w:val="24"/>
        </w:rPr>
        <w:t xml:space="preserve"> </w:t>
      </w:r>
      <w:r w:rsidR="00043B65">
        <w:rPr>
          <w:rFonts w:ascii="Times New Roman" w:hAnsi="Times New Roman"/>
          <w:sz w:val="24"/>
          <w:szCs w:val="24"/>
        </w:rPr>
        <w:t xml:space="preserve">qui </w:t>
      </w:r>
      <w:r w:rsidR="00E75598">
        <w:rPr>
          <w:rFonts w:ascii="Times New Roman" w:hAnsi="Times New Roman"/>
          <w:sz w:val="24"/>
          <w:szCs w:val="24"/>
        </w:rPr>
        <w:t>atténue leur revenu et par conséquent leurs capacités à</w:t>
      </w:r>
      <w:r w:rsidR="00246605">
        <w:rPr>
          <w:rFonts w:ascii="Times New Roman" w:hAnsi="Times New Roman"/>
          <w:sz w:val="24"/>
          <w:szCs w:val="24"/>
        </w:rPr>
        <w:t xml:space="preserve"> </w:t>
      </w:r>
      <w:r w:rsidR="006F49E1">
        <w:rPr>
          <w:rFonts w:ascii="Times New Roman" w:hAnsi="Times New Roman"/>
          <w:sz w:val="24"/>
          <w:szCs w:val="24"/>
        </w:rPr>
        <w:t>faire face à leurs besoins</w:t>
      </w:r>
      <w:r w:rsidR="005D7027">
        <w:rPr>
          <w:rFonts w:ascii="Times New Roman" w:hAnsi="Times New Roman"/>
          <w:sz w:val="24"/>
          <w:szCs w:val="24"/>
        </w:rPr>
        <w:t xml:space="preserve"> fondamentaux</w:t>
      </w:r>
      <w:r w:rsidR="004B4B36">
        <w:rPr>
          <w:rFonts w:ascii="Times New Roman" w:hAnsi="Times New Roman"/>
          <w:sz w:val="24"/>
          <w:szCs w:val="24"/>
        </w:rPr>
        <w:t xml:space="preserve">. </w:t>
      </w:r>
    </w:p>
    <w:p w:rsidR="002D35D7" w:rsidRPr="004F3012" w:rsidRDefault="002D35D7" w:rsidP="00DA0A90">
      <w:pPr>
        <w:spacing w:line="276" w:lineRule="auto"/>
        <w:rPr>
          <w:rFonts w:ascii="Times New Roman" w:hAnsi="Times New Roman"/>
          <w:sz w:val="12"/>
          <w:szCs w:val="12"/>
        </w:rPr>
      </w:pPr>
    </w:p>
    <w:p w:rsidR="00281691" w:rsidRDefault="00281691" w:rsidP="00281691">
      <w:pPr>
        <w:spacing w:line="276" w:lineRule="auto"/>
        <w:rPr>
          <w:rFonts w:ascii="Times New Roman" w:hAnsi="Times New Roman"/>
          <w:sz w:val="24"/>
          <w:szCs w:val="24"/>
        </w:rPr>
      </w:pPr>
      <w:r w:rsidRPr="004118EB">
        <w:rPr>
          <w:rFonts w:ascii="Times New Roman" w:hAnsi="Times New Roman"/>
          <w:sz w:val="24"/>
          <w:szCs w:val="24"/>
        </w:rPr>
        <w:t xml:space="preserve">Ainsi, les défis importants </w:t>
      </w:r>
      <w:r>
        <w:rPr>
          <w:rFonts w:ascii="Times New Roman" w:hAnsi="Times New Roman"/>
          <w:sz w:val="24"/>
          <w:szCs w:val="24"/>
        </w:rPr>
        <w:t xml:space="preserve">pour assurer une mobilité ascendante des ménages en termes de bien-être, </w:t>
      </w:r>
      <w:r w:rsidRPr="004118EB">
        <w:rPr>
          <w:rFonts w:ascii="Times New Roman" w:hAnsi="Times New Roman"/>
          <w:sz w:val="24"/>
          <w:szCs w:val="24"/>
        </w:rPr>
        <w:t xml:space="preserve">restent </w:t>
      </w:r>
      <w:r>
        <w:rPr>
          <w:rFonts w:ascii="Times New Roman" w:hAnsi="Times New Roman"/>
          <w:sz w:val="24"/>
          <w:szCs w:val="24"/>
        </w:rPr>
        <w:t xml:space="preserve">en partie </w:t>
      </w:r>
      <w:r w:rsidRPr="004118EB">
        <w:rPr>
          <w:rFonts w:ascii="Times New Roman" w:hAnsi="Times New Roman"/>
          <w:sz w:val="24"/>
          <w:szCs w:val="24"/>
        </w:rPr>
        <w:t>liés à l’amélioration</w:t>
      </w:r>
      <w:r w:rsidR="006D67BF">
        <w:rPr>
          <w:rFonts w:ascii="Times New Roman" w:hAnsi="Times New Roman"/>
          <w:sz w:val="24"/>
          <w:szCs w:val="24"/>
        </w:rPr>
        <w:t xml:space="preserve"> de la productivité des agriculteurs,</w:t>
      </w:r>
      <w:r w:rsidR="00246605">
        <w:rPr>
          <w:rFonts w:ascii="Times New Roman" w:hAnsi="Times New Roman"/>
          <w:sz w:val="24"/>
          <w:szCs w:val="24"/>
        </w:rPr>
        <w:t xml:space="preserve"> </w:t>
      </w:r>
      <w:r w:rsidR="00774C39">
        <w:rPr>
          <w:rFonts w:ascii="Times New Roman" w:hAnsi="Times New Roman"/>
          <w:sz w:val="24"/>
          <w:szCs w:val="24"/>
        </w:rPr>
        <w:t xml:space="preserve">à un meilleur </w:t>
      </w:r>
      <w:r w:rsidRPr="004118EB">
        <w:rPr>
          <w:rFonts w:ascii="Times New Roman" w:hAnsi="Times New Roman"/>
          <w:sz w:val="24"/>
          <w:szCs w:val="24"/>
        </w:rPr>
        <w:t>fonctionnement du marché de travail et la création d’activités génératrices de revenus dans les secteurs modernes</w:t>
      </w:r>
      <w:r>
        <w:rPr>
          <w:rFonts w:ascii="Times New Roman" w:hAnsi="Times New Roman"/>
          <w:sz w:val="24"/>
          <w:szCs w:val="24"/>
        </w:rPr>
        <w:t>.</w:t>
      </w:r>
    </w:p>
    <w:p w:rsidR="002D35D7" w:rsidRPr="004F3012" w:rsidRDefault="002D35D7" w:rsidP="00DA0A90">
      <w:pPr>
        <w:spacing w:line="276" w:lineRule="auto"/>
        <w:rPr>
          <w:rFonts w:ascii="Times New Roman" w:hAnsi="Times New Roman"/>
          <w:sz w:val="12"/>
          <w:szCs w:val="12"/>
        </w:rPr>
      </w:pPr>
    </w:p>
    <w:p w:rsidR="0077487E" w:rsidRDefault="0077487E" w:rsidP="0077487E">
      <w:pPr>
        <w:spacing w:line="276" w:lineRule="auto"/>
        <w:rPr>
          <w:rFonts w:ascii="Times New Roman" w:hAnsi="Times New Roman"/>
          <w:sz w:val="24"/>
          <w:szCs w:val="24"/>
        </w:rPr>
      </w:pPr>
      <w:r w:rsidRPr="001D17F4">
        <w:rPr>
          <w:rFonts w:ascii="Times New Roman" w:hAnsi="Times New Roman"/>
          <w:sz w:val="24"/>
          <w:szCs w:val="24"/>
        </w:rPr>
        <w:t xml:space="preserve">Le type d’emploi occupé par le chef de ménage voire sa branche d’activité, n’a pas d’effet significatif perceptible pour expliquer le changement dans les conditions de vie des ménages entre deux périodes. </w:t>
      </w:r>
      <w:r w:rsidR="00943DB5" w:rsidRPr="001D17F4">
        <w:rPr>
          <w:rFonts w:ascii="Times New Roman" w:hAnsi="Times New Roman"/>
          <w:sz w:val="24"/>
          <w:szCs w:val="24"/>
        </w:rPr>
        <w:t>Comme souligné par Hodonou et al (2010),</w:t>
      </w:r>
      <w:r w:rsidR="008407F4" w:rsidRPr="001D17F4">
        <w:rPr>
          <w:rFonts w:ascii="Times New Roman" w:hAnsi="Times New Roman"/>
          <w:sz w:val="24"/>
          <w:szCs w:val="24"/>
        </w:rPr>
        <w:t xml:space="preserve"> ce résultat pourrait s’expliquer par l’importance quasi-excessive du secteur informel dans les activités des ménages. </w:t>
      </w:r>
      <w:r w:rsidRPr="001D17F4">
        <w:rPr>
          <w:rFonts w:ascii="Times New Roman" w:hAnsi="Times New Roman"/>
          <w:sz w:val="24"/>
          <w:szCs w:val="24"/>
        </w:rPr>
        <w:t>Néanmoins,</w:t>
      </w:r>
      <w:r w:rsidR="008407F4" w:rsidRPr="001D17F4">
        <w:rPr>
          <w:rFonts w:ascii="Times New Roman" w:hAnsi="Times New Roman"/>
          <w:sz w:val="24"/>
          <w:szCs w:val="24"/>
        </w:rPr>
        <w:t xml:space="preserve"> un emploi dans le pôle </w:t>
      </w:r>
      <w:r w:rsidRPr="001D17F4">
        <w:rPr>
          <w:rFonts w:ascii="Times New Roman" w:hAnsi="Times New Roman"/>
          <w:sz w:val="24"/>
          <w:szCs w:val="24"/>
        </w:rPr>
        <w:t>BTP-matériaux de construction offre la possibilité de sortir de la pauvreté</w:t>
      </w:r>
      <w:r w:rsidR="002E7181">
        <w:rPr>
          <w:rFonts w:ascii="Times New Roman" w:hAnsi="Times New Roman"/>
          <w:sz w:val="24"/>
          <w:szCs w:val="24"/>
        </w:rPr>
        <w:t>.</w:t>
      </w:r>
    </w:p>
    <w:p w:rsidR="0077487E" w:rsidRPr="004F3012" w:rsidRDefault="0077487E" w:rsidP="0077487E">
      <w:pPr>
        <w:spacing w:line="276" w:lineRule="auto"/>
        <w:rPr>
          <w:rFonts w:ascii="Times New Roman" w:hAnsi="Times New Roman"/>
          <w:sz w:val="12"/>
          <w:szCs w:val="12"/>
        </w:rPr>
      </w:pPr>
    </w:p>
    <w:p w:rsidR="007E219A" w:rsidRPr="00C51BA4" w:rsidRDefault="003740B0" w:rsidP="007636BF">
      <w:pPr>
        <w:spacing w:line="276" w:lineRule="auto"/>
        <w:rPr>
          <w:rFonts w:ascii="Times New Roman" w:hAnsi="Times New Roman"/>
          <w:sz w:val="24"/>
          <w:szCs w:val="24"/>
        </w:rPr>
      </w:pPr>
      <w:r w:rsidRPr="00C51BA4">
        <w:rPr>
          <w:rFonts w:ascii="Times New Roman" w:hAnsi="Times New Roman"/>
          <w:b/>
          <w:sz w:val="24"/>
          <w:szCs w:val="24"/>
        </w:rPr>
        <w:t xml:space="preserve">La disponibilité </w:t>
      </w:r>
      <w:r w:rsidR="00EC1CC3" w:rsidRPr="00C51BA4">
        <w:rPr>
          <w:rFonts w:ascii="Times New Roman" w:hAnsi="Times New Roman"/>
          <w:b/>
          <w:sz w:val="24"/>
          <w:szCs w:val="24"/>
        </w:rPr>
        <w:t xml:space="preserve">additionnelle </w:t>
      </w:r>
      <w:r w:rsidRPr="00C51BA4">
        <w:rPr>
          <w:rFonts w:ascii="Times New Roman" w:hAnsi="Times New Roman"/>
          <w:b/>
          <w:sz w:val="24"/>
          <w:szCs w:val="24"/>
        </w:rPr>
        <w:t xml:space="preserve">d’actifs occupés dans le ménage </w:t>
      </w:r>
      <w:r w:rsidR="00223471" w:rsidRPr="00C51BA4">
        <w:rPr>
          <w:rFonts w:ascii="Times New Roman" w:hAnsi="Times New Roman"/>
          <w:b/>
          <w:sz w:val="24"/>
          <w:szCs w:val="24"/>
        </w:rPr>
        <w:t xml:space="preserve">apparait </w:t>
      </w:r>
      <w:r w:rsidR="00EC1CC3" w:rsidRPr="00C51BA4">
        <w:rPr>
          <w:rFonts w:ascii="Times New Roman" w:hAnsi="Times New Roman"/>
          <w:b/>
          <w:sz w:val="24"/>
          <w:szCs w:val="24"/>
        </w:rPr>
        <w:t xml:space="preserve">plutôt </w:t>
      </w:r>
      <w:r w:rsidR="00223471" w:rsidRPr="00C51BA4">
        <w:rPr>
          <w:rFonts w:ascii="Times New Roman" w:hAnsi="Times New Roman"/>
          <w:b/>
          <w:sz w:val="24"/>
          <w:szCs w:val="24"/>
        </w:rPr>
        <w:t>comme un facteur réducteur de la chance du ménage de sortir</w:t>
      </w:r>
      <w:r w:rsidR="004F57DD" w:rsidRPr="00C51BA4">
        <w:rPr>
          <w:rFonts w:ascii="Times New Roman" w:hAnsi="Times New Roman"/>
          <w:b/>
          <w:sz w:val="24"/>
          <w:szCs w:val="24"/>
        </w:rPr>
        <w:t xml:space="preserve"> de la pauvreté.</w:t>
      </w:r>
      <w:r w:rsidR="00246605">
        <w:rPr>
          <w:rFonts w:ascii="Times New Roman" w:hAnsi="Times New Roman"/>
          <w:b/>
          <w:sz w:val="24"/>
          <w:szCs w:val="24"/>
        </w:rPr>
        <w:t xml:space="preserve"> </w:t>
      </w:r>
      <w:r w:rsidR="00A30CB8" w:rsidRPr="00C51BA4">
        <w:rPr>
          <w:rFonts w:ascii="Times New Roman" w:hAnsi="Times New Roman"/>
          <w:sz w:val="24"/>
          <w:szCs w:val="24"/>
        </w:rPr>
        <w:t xml:space="preserve">Si ce résultat </w:t>
      </w:r>
      <w:r w:rsidR="00EC1CC3" w:rsidRPr="00C51BA4">
        <w:rPr>
          <w:rFonts w:ascii="Times New Roman" w:hAnsi="Times New Roman"/>
          <w:sz w:val="24"/>
          <w:szCs w:val="24"/>
        </w:rPr>
        <w:t xml:space="preserve">pourrait s’expliquer par la qualité de l’emploi occupé, il traduit davantage </w:t>
      </w:r>
      <w:r w:rsidR="007E219A" w:rsidRPr="00C51BA4">
        <w:rPr>
          <w:rFonts w:ascii="Times New Roman" w:hAnsi="Times New Roman"/>
          <w:sz w:val="24"/>
          <w:szCs w:val="24"/>
        </w:rPr>
        <w:t xml:space="preserve"> l’influence de la taille sur le niveau de vie du ménage. Il montre </w:t>
      </w:r>
      <w:r w:rsidR="00C51BA4" w:rsidRPr="00C51BA4">
        <w:rPr>
          <w:rFonts w:ascii="Times New Roman" w:hAnsi="Times New Roman"/>
          <w:sz w:val="24"/>
          <w:szCs w:val="24"/>
        </w:rPr>
        <w:t>ainsi</w:t>
      </w:r>
      <w:r w:rsidR="007E219A" w:rsidRPr="00C51BA4">
        <w:rPr>
          <w:rFonts w:ascii="Times New Roman" w:hAnsi="Times New Roman"/>
          <w:sz w:val="24"/>
          <w:szCs w:val="24"/>
        </w:rPr>
        <w:t xml:space="preserve"> que dans un contexte marqué par l’émergence du secteur non structuré, </w:t>
      </w:r>
      <w:r w:rsidRPr="00C51BA4">
        <w:rPr>
          <w:rFonts w:ascii="Times New Roman" w:hAnsi="Times New Roman"/>
          <w:sz w:val="24"/>
          <w:szCs w:val="24"/>
        </w:rPr>
        <w:t>un  stock suffisant d’actifs occupé n’est pas assurément une condition suffisante pour sortir de la pauvreté</w:t>
      </w:r>
      <w:r w:rsidR="007E219A" w:rsidRPr="00C51BA4">
        <w:rPr>
          <w:rFonts w:ascii="Times New Roman" w:hAnsi="Times New Roman"/>
          <w:sz w:val="24"/>
          <w:szCs w:val="24"/>
        </w:rPr>
        <w:t xml:space="preserve">. </w:t>
      </w:r>
    </w:p>
    <w:p w:rsidR="007E219A" w:rsidRPr="004F3012" w:rsidRDefault="007E219A" w:rsidP="007636BF">
      <w:pPr>
        <w:spacing w:line="276" w:lineRule="auto"/>
        <w:rPr>
          <w:rFonts w:ascii="Times New Roman" w:hAnsi="Times New Roman"/>
          <w:sz w:val="12"/>
          <w:szCs w:val="12"/>
          <w:highlight w:val="yellow"/>
        </w:rPr>
      </w:pPr>
    </w:p>
    <w:p w:rsidR="007636BF" w:rsidRPr="000F7732" w:rsidRDefault="003740B0" w:rsidP="007636BF">
      <w:pPr>
        <w:tabs>
          <w:tab w:val="left" w:pos="0"/>
        </w:tabs>
        <w:spacing w:line="276" w:lineRule="auto"/>
        <w:rPr>
          <w:rFonts w:ascii="Times New Roman" w:hAnsi="Times New Roman"/>
          <w:sz w:val="24"/>
          <w:szCs w:val="24"/>
        </w:rPr>
      </w:pPr>
      <w:r w:rsidRPr="00DE0582">
        <w:rPr>
          <w:rFonts w:ascii="Times New Roman" w:hAnsi="Times New Roman"/>
          <w:b/>
          <w:sz w:val="24"/>
          <w:szCs w:val="24"/>
        </w:rPr>
        <w:t xml:space="preserve">L’analyse selon les variables de segmentation révèle </w:t>
      </w:r>
      <w:r w:rsidR="00433399" w:rsidRPr="00DE0582">
        <w:rPr>
          <w:rFonts w:ascii="Times New Roman" w:hAnsi="Times New Roman"/>
          <w:b/>
          <w:sz w:val="24"/>
          <w:szCs w:val="24"/>
        </w:rPr>
        <w:t xml:space="preserve">plutôt </w:t>
      </w:r>
      <w:r w:rsidRPr="00DE0582">
        <w:rPr>
          <w:rFonts w:ascii="Times New Roman" w:hAnsi="Times New Roman"/>
          <w:b/>
          <w:sz w:val="24"/>
          <w:szCs w:val="24"/>
        </w:rPr>
        <w:t>que le genre a une influence sur la transition des ménages</w:t>
      </w:r>
      <w:r w:rsidRPr="007B43D0">
        <w:rPr>
          <w:rFonts w:ascii="Times New Roman" w:hAnsi="Times New Roman"/>
          <w:sz w:val="24"/>
          <w:szCs w:val="24"/>
        </w:rPr>
        <w:t xml:space="preserve">. </w:t>
      </w:r>
      <w:r w:rsidR="00236BD6">
        <w:rPr>
          <w:rFonts w:ascii="Times New Roman" w:hAnsi="Times New Roman"/>
          <w:sz w:val="24"/>
          <w:szCs w:val="24"/>
        </w:rPr>
        <w:t xml:space="preserve">En </w:t>
      </w:r>
      <w:r w:rsidR="00236BD6" w:rsidRPr="004B1072">
        <w:rPr>
          <w:rFonts w:ascii="Times New Roman" w:hAnsi="Times New Roman"/>
          <w:sz w:val="24"/>
          <w:szCs w:val="24"/>
        </w:rPr>
        <w:t>référence aux ménages jamais pauvres</w:t>
      </w:r>
      <w:r w:rsidR="00236BD6">
        <w:rPr>
          <w:rFonts w:ascii="Times New Roman" w:hAnsi="Times New Roman"/>
          <w:sz w:val="24"/>
          <w:szCs w:val="24"/>
        </w:rPr>
        <w:t>, u</w:t>
      </w:r>
      <w:r w:rsidRPr="007B43D0">
        <w:rPr>
          <w:rFonts w:ascii="Times New Roman" w:hAnsi="Times New Roman"/>
          <w:sz w:val="24"/>
          <w:szCs w:val="24"/>
        </w:rPr>
        <w:t>n ménage dirigé par une femme a moins de chance de devenir pauvre comparativement à un ménage dirigé par un homme. Toutefois, un ménage initialement dirigé par une femme et se trouvant dans un état de pauvreté, éprouve plus de difficultés d’en sortir et</w:t>
      </w:r>
      <w:r w:rsidR="00E92571">
        <w:rPr>
          <w:rFonts w:ascii="Times New Roman" w:hAnsi="Times New Roman"/>
          <w:sz w:val="24"/>
          <w:szCs w:val="24"/>
        </w:rPr>
        <w:t xml:space="preserve"> de demeurer toujours pauvres. </w:t>
      </w:r>
      <w:r w:rsidR="00DC5B28">
        <w:rPr>
          <w:rFonts w:ascii="Times New Roman" w:hAnsi="Times New Roman"/>
          <w:sz w:val="24"/>
          <w:szCs w:val="24"/>
        </w:rPr>
        <w:t xml:space="preserve">Ce dernier résultat semble abonder dans le même sens que </w:t>
      </w:r>
      <w:r w:rsidR="007233AA">
        <w:rPr>
          <w:rFonts w:ascii="Times New Roman" w:hAnsi="Times New Roman"/>
          <w:sz w:val="24"/>
          <w:szCs w:val="24"/>
        </w:rPr>
        <w:t xml:space="preserve">celui mis en évidence par </w:t>
      </w:r>
      <w:r w:rsidR="00DC5B28" w:rsidRPr="007B43D0">
        <w:rPr>
          <w:rFonts w:ascii="Times New Roman" w:hAnsi="Times New Roman"/>
          <w:sz w:val="24"/>
          <w:szCs w:val="24"/>
        </w:rPr>
        <w:t xml:space="preserve">Bane et Ellwood (1986) </w:t>
      </w:r>
      <w:r w:rsidR="007233AA">
        <w:rPr>
          <w:rFonts w:ascii="Times New Roman" w:hAnsi="Times New Roman"/>
          <w:sz w:val="24"/>
          <w:szCs w:val="24"/>
        </w:rPr>
        <w:t xml:space="preserve">à partir d’une étude réalisée sur </w:t>
      </w:r>
      <w:r w:rsidR="00DC5B28" w:rsidRPr="007B43D0">
        <w:rPr>
          <w:rFonts w:ascii="Times New Roman" w:hAnsi="Times New Roman"/>
          <w:sz w:val="24"/>
          <w:szCs w:val="24"/>
        </w:rPr>
        <w:t xml:space="preserve">dynamique de la pauvreté </w:t>
      </w:r>
      <w:r w:rsidR="00DC5B28">
        <w:rPr>
          <w:rFonts w:ascii="Times New Roman" w:hAnsi="Times New Roman"/>
          <w:sz w:val="24"/>
          <w:szCs w:val="24"/>
        </w:rPr>
        <w:t xml:space="preserve">aux USA. Ils montrent que </w:t>
      </w:r>
      <w:r w:rsidR="00DC5B28" w:rsidRPr="007B43D0">
        <w:rPr>
          <w:rFonts w:ascii="Times New Roman" w:hAnsi="Times New Roman"/>
          <w:sz w:val="24"/>
          <w:szCs w:val="24"/>
        </w:rPr>
        <w:t xml:space="preserve">la majorité des pauvres recensés à un instant donné sont des personnes qui traversent une longue période de pauvreté et que certaines structures familiales (par exemple les familles ayant à leur tête </w:t>
      </w:r>
      <w:r w:rsidR="00B76D0A" w:rsidRPr="00B76D0A">
        <w:rPr>
          <w:rFonts w:ascii="Times New Roman" w:hAnsi="Times New Roman"/>
          <w:sz w:val="24"/>
          <w:szCs w:val="24"/>
        </w:rPr>
        <w:t>une mère isolée</w:t>
      </w:r>
      <w:r w:rsidR="00DC5B28" w:rsidRPr="00DC5B28">
        <w:rPr>
          <w:rFonts w:ascii="Times New Roman" w:hAnsi="Times New Roman"/>
          <w:sz w:val="24"/>
          <w:szCs w:val="24"/>
        </w:rPr>
        <w:t>)</w:t>
      </w:r>
      <w:r w:rsidR="00DC5B28" w:rsidRPr="007B43D0">
        <w:rPr>
          <w:rFonts w:ascii="Times New Roman" w:hAnsi="Times New Roman"/>
          <w:sz w:val="24"/>
          <w:szCs w:val="24"/>
        </w:rPr>
        <w:t xml:space="preserve"> accroissent grandement le risque de pauvreté durable</w:t>
      </w:r>
      <w:r w:rsidR="003B4EEA">
        <w:rPr>
          <w:rFonts w:ascii="Times New Roman" w:hAnsi="Times New Roman"/>
          <w:sz w:val="24"/>
          <w:szCs w:val="24"/>
        </w:rPr>
        <w:t>. Ainsi, l</w:t>
      </w:r>
      <w:r w:rsidR="00B76D0A" w:rsidRPr="00B76D0A">
        <w:rPr>
          <w:rFonts w:ascii="Times New Roman" w:hAnsi="Times New Roman"/>
          <w:sz w:val="24"/>
          <w:szCs w:val="24"/>
        </w:rPr>
        <w:t xml:space="preserve">es stratégies de réduction de la pauvreté axées sur le genre doivent être davantage orientées sur cette couche de la population. </w:t>
      </w:r>
    </w:p>
    <w:p w:rsidR="00DC5B28" w:rsidRPr="004F3012" w:rsidRDefault="00DC5B28" w:rsidP="003740B0">
      <w:pPr>
        <w:spacing w:line="276" w:lineRule="auto"/>
        <w:rPr>
          <w:rFonts w:ascii="Times New Roman" w:hAnsi="Times New Roman"/>
          <w:sz w:val="12"/>
          <w:szCs w:val="12"/>
        </w:rPr>
      </w:pPr>
    </w:p>
    <w:p w:rsidR="00585005" w:rsidRDefault="00567C5D" w:rsidP="003740B0">
      <w:pPr>
        <w:spacing w:line="276" w:lineRule="auto"/>
        <w:rPr>
          <w:rFonts w:ascii="Times New Roman" w:hAnsi="Times New Roman"/>
          <w:sz w:val="24"/>
          <w:szCs w:val="24"/>
        </w:rPr>
      </w:pPr>
      <w:r>
        <w:rPr>
          <w:rFonts w:ascii="Times New Roman" w:hAnsi="Times New Roman"/>
          <w:b/>
          <w:sz w:val="24"/>
          <w:szCs w:val="24"/>
        </w:rPr>
        <w:t>Comparés aux ménages urbains, l</w:t>
      </w:r>
      <w:r w:rsidR="003740B0" w:rsidRPr="00DE0582">
        <w:rPr>
          <w:rFonts w:ascii="Times New Roman" w:hAnsi="Times New Roman"/>
          <w:b/>
          <w:sz w:val="24"/>
          <w:szCs w:val="24"/>
        </w:rPr>
        <w:t xml:space="preserve">es ménages ruraux ont plus de chance </w:t>
      </w:r>
      <w:r w:rsidR="006D02E9" w:rsidRPr="00DE0582">
        <w:rPr>
          <w:rFonts w:ascii="Times New Roman" w:hAnsi="Times New Roman"/>
          <w:b/>
          <w:sz w:val="24"/>
          <w:szCs w:val="24"/>
        </w:rPr>
        <w:t>d</w:t>
      </w:r>
      <w:r w:rsidR="00F90DFD">
        <w:rPr>
          <w:rFonts w:ascii="Times New Roman" w:hAnsi="Times New Roman"/>
          <w:b/>
          <w:sz w:val="24"/>
          <w:szCs w:val="24"/>
        </w:rPr>
        <w:t>e rester non pauvre.</w:t>
      </w:r>
      <w:r w:rsidR="009666B5">
        <w:rPr>
          <w:rFonts w:ascii="Times New Roman" w:hAnsi="Times New Roman"/>
          <w:sz w:val="24"/>
          <w:szCs w:val="24"/>
        </w:rPr>
        <w:t xml:space="preserve"> Aussi</w:t>
      </w:r>
      <w:r w:rsidR="008054D0">
        <w:rPr>
          <w:rFonts w:ascii="Times New Roman" w:hAnsi="Times New Roman"/>
          <w:sz w:val="24"/>
          <w:szCs w:val="24"/>
        </w:rPr>
        <w:t>,</w:t>
      </w:r>
      <w:r w:rsidR="00246605">
        <w:rPr>
          <w:rFonts w:ascii="Times New Roman" w:hAnsi="Times New Roman"/>
          <w:sz w:val="24"/>
          <w:szCs w:val="24"/>
        </w:rPr>
        <w:t xml:space="preserve"> </w:t>
      </w:r>
      <w:r w:rsidR="008054D0">
        <w:rPr>
          <w:rFonts w:ascii="Times New Roman" w:hAnsi="Times New Roman"/>
          <w:sz w:val="24"/>
          <w:szCs w:val="24"/>
        </w:rPr>
        <w:t xml:space="preserve">ces </w:t>
      </w:r>
      <w:r w:rsidR="009666B5">
        <w:rPr>
          <w:rFonts w:ascii="Times New Roman" w:hAnsi="Times New Roman"/>
          <w:sz w:val="24"/>
          <w:szCs w:val="24"/>
        </w:rPr>
        <w:t>ménages ont</w:t>
      </w:r>
      <w:r w:rsidR="008054D0">
        <w:rPr>
          <w:rFonts w:ascii="Times New Roman" w:hAnsi="Times New Roman"/>
          <w:sz w:val="24"/>
          <w:szCs w:val="24"/>
        </w:rPr>
        <w:t xml:space="preserve"> relativement</w:t>
      </w:r>
      <w:r w:rsidR="009666B5">
        <w:rPr>
          <w:rFonts w:ascii="Times New Roman" w:hAnsi="Times New Roman"/>
          <w:sz w:val="24"/>
          <w:szCs w:val="24"/>
        </w:rPr>
        <w:t xml:space="preserve"> plus</w:t>
      </w:r>
      <w:r w:rsidR="008054D0">
        <w:rPr>
          <w:rFonts w:ascii="Times New Roman" w:hAnsi="Times New Roman"/>
          <w:sz w:val="24"/>
          <w:szCs w:val="24"/>
        </w:rPr>
        <w:t xml:space="preserve"> de chance</w:t>
      </w:r>
      <w:r w:rsidR="009666B5">
        <w:rPr>
          <w:rFonts w:ascii="Times New Roman" w:hAnsi="Times New Roman"/>
          <w:sz w:val="24"/>
          <w:szCs w:val="24"/>
        </w:rPr>
        <w:t xml:space="preserve"> de sortir de la pauvreté.</w:t>
      </w:r>
      <w:r w:rsidR="00246605">
        <w:rPr>
          <w:rFonts w:ascii="Times New Roman" w:hAnsi="Times New Roman"/>
          <w:sz w:val="24"/>
          <w:szCs w:val="24"/>
        </w:rPr>
        <w:t xml:space="preserve"> </w:t>
      </w:r>
      <w:r w:rsidR="00B074DC">
        <w:rPr>
          <w:rFonts w:ascii="Times New Roman" w:hAnsi="Times New Roman"/>
          <w:sz w:val="24"/>
          <w:szCs w:val="24"/>
        </w:rPr>
        <w:t>Ce résultat suggère que l</w:t>
      </w:r>
      <w:r>
        <w:rPr>
          <w:rFonts w:ascii="Times New Roman" w:hAnsi="Times New Roman"/>
          <w:sz w:val="24"/>
          <w:szCs w:val="24"/>
        </w:rPr>
        <w:t xml:space="preserve">a forte transition </w:t>
      </w:r>
      <w:r w:rsidR="00F90DFD">
        <w:rPr>
          <w:rFonts w:ascii="Times New Roman" w:hAnsi="Times New Roman"/>
          <w:sz w:val="24"/>
          <w:szCs w:val="24"/>
        </w:rPr>
        <w:t xml:space="preserve">dans la pauvreté en milieu rural </w:t>
      </w:r>
      <w:r w:rsidR="008054D0">
        <w:rPr>
          <w:rFonts w:ascii="Times New Roman" w:hAnsi="Times New Roman"/>
          <w:sz w:val="24"/>
          <w:szCs w:val="24"/>
        </w:rPr>
        <w:t xml:space="preserve"> semble davantage s’expliquer par des chocs conjoncturels</w:t>
      </w:r>
      <w:r w:rsidR="00246605">
        <w:rPr>
          <w:rFonts w:ascii="Times New Roman" w:hAnsi="Times New Roman"/>
          <w:sz w:val="24"/>
          <w:szCs w:val="24"/>
        </w:rPr>
        <w:t xml:space="preserve"> </w:t>
      </w:r>
      <w:r w:rsidR="008054D0">
        <w:rPr>
          <w:rFonts w:ascii="Times New Roman" w:hAnsi="Times New Roman"/>
          <w:sz w:val="24"/>
          <w:szCs w:val="24"/>
        </w:rPr>
        <w:t>(inondation, sécheresse, fluctuation des prix) mais aussi par la faible productivité et le sous-emploi.</w:t>
      </w:r>
      <w:r w:rsidR="00246605">
        <w:rPr>
          <w:rFonts w:ascii="Times New Roman" w:hAnsi="Times New Roman"/>
          <w:sz w:val="24"/>
          <w:szCs w:val="24"/>
        </w:rPr>
        <w:t xml:space="preserve"> </w:t>
      </w:r>
      <w:r w:rsidR="00795499">
        <w:rPr>
          <w:rFonts w:ascii="Times New Roman" w:hAnsi="Times New Roman"/>
          <w:sz w:val="24"/>
          <w:szCs w:val="24"/>
        </w:rPr>
        <w:t xml:space="preserve">Toutes actions orientées pour atténuer d’une part, la vulnérabilité des ménages ruraux </w:t>
      </w:r>
      <w:r w:rsidR="007E3ADC">
        <w:rPr>
          <w:rFonts w:ascii="Times New Roman" w:hAnsi="Times New Roman"/>
          <w:sz w:val="24"/>
          <w:szCs w:val="24"/>
        </w:rPr>
        <w:t xml:space="preserve">aux </w:t>
      </w:r>
      <w:r w:rsidR="00795499">
        <w:rPr>
          <w:rFonts w:ascii="Times New Roman" w:hAnsi="Times New Roman"/>
          <w:sz w:val="24"/>
          <w:szCs w:val="24"/>
        </w:rPr>
        <w:t>chocs et d’autre part, pour accroitre notamment leur productivité</w:t>
      </w:r>
      <w:r w:rsidR="00895521">
        <w:rPr>
          <w:rFonts w:ascii="Times New Roman" w:hAnsi="Times New Roman"/>
          <w:sz w:val="24"/>
          <w:szCs w:val="24"/>
        </w:rPr>
        <w:t>,</w:t>
      </w:r>
      <w:r w:rsidR="00795499">
        <w:rPr>
          <w:rFonts w:ascii="Times New Roman" w:hAnsi="Times New Roman"/>
          <w:sz w:val="24"/>
          <w:szCs w:val="24"/>
        </w:rPr>
        <w:t xml:space="preserve"> devraient contribuer à une réduction conséquente de la pauvreté monétaire en milieu rural. </w:t>
      </w:r>
    </w:p>
    <w:p w:rsidR="003740B0" w:rsidRPr="004F3012" w:rsidRDefault="003740B0" w:rsidP="003740B0">
      <w:pPr>
        <w:spacing w:line="276" w:lineRule="auto"/>
        <w:rPr>
          <w:rFonts w:ascii="Times New Roman" w:hAnsi="Times New Roman"/>
          <w:sz w:val="12"/>
          <w:szCs w:val="12"/>
        </w:rPr>
      </w:pPr>
    </w:p>
    <w:p w:rsidR="003740B0" w:rsidRPr="007B43D0" w:rsidRDefault="003740B0" w:rsidP="003740B0">
      <w:pPr>
        <w:spacing w:line="276" w:lineRule="auto"/>
        <w:rPr>
          <w:rFonts w:ascii="Times New Roman" w:hAnsi="Times New Roman"/>
          <w:sz w:val="24"/>
          <w:szCs w:val="24"/>
        </w:rPr>
      </w:pPr>
      <w:r w:rsidRPr="00DE0582">
        <w:rPr>
          <w:rFonts w:ascii="Times New Roman" w:hAnsi="Times New Roman"/>
          <w:b/>
          <w:sz w:val="24"/>
          <w:szCs w:val="24"/>
        </w:rPr>
        <w:t xml:space="preserve">L’accessibilité </w:t>
      </w:r>
      <w:r w:rsidR="00DE0582" w:rsidRPr="00DE0582">
        <w:rPr>
          <w:rFonts w:ascii="Times New Roman" w:hAnsi="Times New Roman"/>
          <w:b/>
          <w:sz w:val="24"/>
          <w:szCs w:val="24"/>
        </w:rPr>
        <w:t>économique</w:t>
      </w:r>
      <w:r w:rsidR="00196278">
        <w:rPr>
          <w:rStyle w:val="Appelnotedebasdep"/>
          <w:rFonts w:ascii="Times New Roman" w:hAnsi="Times New Roman"/>
          <w:b/>
          <w:sz w:val="24"/>
          <w:szCs w:val="24"/>
        </w:rPr>
        <w:footnoteReference w:id="41"/>
      </w:r>
      <w:r w:rsidRPr="00DE0582">
        <w:rPr>
          <w:rFonts w:ascii="Times New Roman" w:hAnsi="Times New Roman"/>
          <w:b/>
          <w:sz w:val="24"/>
          <w:szCs w:val="24"/>
        </w:rPr>
        <w:t xml:space="preserve">aux </w:t>
      </w:r>
      <w:r w:rsidR="00DE0582" w:rsidRPr="00DE0582">
        <w:rPr>
          <w:rFonts w:ascii="Times New Roman" w:hAnsi="Times New Roman"/>
          <w:b/>
          <w:sz w:val="24"/>
          <w:szCs w:val="24"/>
        </w:rPr>
        <w:t>infrastructures de base</w:t>
      </w:r>
      <w:r w:rsidR="00246605">
        <w:rPr>
          <w:rFonts w:ascii="Times New Roman" w:hAnsi="Times New Roman"/>
          <w:b/>
          <w:sz w:val="24"/>
          <w:szCs w:val="24"/>
        </w:rPr>
        <w:t xml:space="preserve"> </w:t>
      </w:r>
      <w:r w:rsidRPr="00DE0582">
        <w:rPr>
          <w:rFonts w:ascii="Times New Roman" w:hAnsi="Times New Roman"/>
          <w:b/>
          <w:sz w:val="24"/>
          <w:szCs w:val="24"/>
        </w:rPr>
        <w:t>(santé, communication</w:t>
      </w:r>
      <w:r w:rsidR="0019480F" w:rsidRPr="00DE0582">
        <w:rPr>
          <w:rFonts w:ascii="Times New Roman" w:hAnsi="Times New Roman"/>
          <w:b/>
          <w:sz w:val="24"/>
          <w:szCs w:val="24"/>
        </w:rPr>
        <w:t>, électricité et l</w:t>
      </w:r>
      <w:r w:rsidR="00C964B6" w:rsidRPr="00DE0582">
        <w:rPr>
          <w:rFonts w:ascii="Times New Roman" w:hAnsi="Times New Roman"/>
          <w:b/>
          <w:sz w:val="24"/>
          <w:szCs w:val="24"/>
        </w:rPr>
        <w:t>’eau potable</w:t>
      </w:r>
      <w:r w:rsidRPr="00DE0582">
        <w:rPr>
          <w:rFonts w:ascii="Times New Roman" w:hAnsi="Times New Roman"/>
          <w:b/>
          <w:sz w:val="24"/>
          <w:szCs w:val="24"/>
        </w:rPr>
        <w:t xml:space="preserve">) </w:t>
      </w:r>
      <w:r w:rsidR="00DE0582">
        <w:rPr>
          <w:rFonts w:ascii="Times New Roman" w:hAnsi="Times New Roman"/>
          <w:b/>
          <w:sz w:val="24"/>
          <w:szCs w:val="24"/>
        </w:rPr>
        <w:t>induit</w:t>
      </w:r>
      <w:r w:rsidR="00246605">
        <w:rPr>
          <w:rFonts w:ascii="Times New Roman" w:hAnsi="Times New Roman"/>
          <w:b/>
          <w:sz w:val="24"/>
          <w:szCs w:val="24"/>
        </w:rPr>
        <w:t xml:space="preserve"> </w:t>
      </w:r>
      <w:r w:rsidR="00DE0582">
        <w:rPr>
          <w:rFonts w:ascii="Times New Roman" w:hAnsi="Times New Roman"/>
          <w:b/>
          <w:sz w:val="24"/>
          <w:szCs w:val="24"/>
        </w:rPr>
        <w:t xml:space="preserve">une </w:t>
      </w:r>
      <w:r w:rsidRPr="00DE0582">
        <w:rPr>
          <w:rFonts w:ascii="Times New Roman" w:hAnsi="Times New Roman"/>
          <w:b/>
          <w:sz w:val="24"/>
          <w:szCs w:val="24"/>
        </w:rPr>
        <w:t xml:space="preserve"> transition</w:t>
      </w:r>
      <w:r w:rsidR="00DE0582">
        <w:rPr>
          <w:rFonts w:ascii="Times New Roman" w:hAnsi="Times New Roman"/>
          <w:b/>
          <w:sz w:val="24"/>
          <w:szCs w:val="24"/>
        </w:rPr>
        <w:t xml:space="preserve"> positive</w:t>
      </w:r>
      <w:r w:rsidRPr="00DE0582">
        <w:rPr>
          <w:rFonts w:ascii="Times New Roman" w:hAnsi="Times New Roman"/>
          <w:b/>
          <w:sz w:val="24"/>
          <w:szCs w:val="24"/>
        </w:rPr>
        <w:t xml:space="preserve"> des ménages</w:t>
      </w:r>
      <w:r w:rsidRPr="007B43D0">
        <w:rPr>
          <w:rFonts w:ascii="Times New Roman" w:hAnsi="Times New Roman"/>
          <w:sz w:val="24"/>
          <w:szCs w:val="24"/>
        </w:rPr>
        <w:t xml:space="preserve">. Un </w:t>
      </w:r>
      <w:r w:rsidR="00C964B6">
        <w:rPr>
          <w:rFonts w:ascii="Times New Roman" w:hAnsi="Times New Roman"/>
          <w:sz w:val="24"/>
          <w:szCs w:val="24"/>
        </w:rPr>
        <w:t>ménage ayant accès aux soins de santé et la communication a moins de chance d’entrer dans la pauvreté et plus de chance d’en sortir</w:t>
      </w:r>
      <w:r w:rsidRPr="007B43D0">
        <w:rPr>
          <w:rFonts w:ascii="Times New Roman" w:hAnsi="Times New Roman"/>
          <w:sz w:val="24"/>
          <w:szCs w:val="24"/>
        </w:rPr>
        <w:t xml:space="preserve">. </w:t>
      </w:r>
      <w:r w:rsidR="00C964B6">
        <w:rPr>
          <w:rFonts w:ascii="Times New Roman" w:hAnsi="Times New Roman"/>
          <w:sz w:val="24"/>
          <w:szCs w:val="24"/>
        </w:rPr>
        <w:t>L’accès à l’électricité</w:t>
      </w:r>
      <w:r w:rsidR="00DA7A57">
        <w:rPr>
          <w:rFonts w:ascii="Times New Roman" w:hAnsi="Times New Roman"/>
          <w:sz w:val="24"/>
          <w:szCs w:val="24"/>
        </w:rPr>
        <w:t xml:space="preserve"> et à l’eau potable ont un effet relativement moins perceptible</w:t>
      </w:r>
      <w:r w:rsidR="00DE0582">
        <w:rPr>
          <w:rFonts w:ascii="Times New Roman" w:hAnsi="Times New Roman"/>
          <w:sz w:val="24"/>
          <w:szCs w:val="24"/>
        </w:rPr>
        <w:t xml:space="preserve"> et réducteur de chance d’amélioration de niveau</w:t>
      </w:r>
      <w:r w:rsidR="00DA7A57">
        <w:rPr>
          <w:rFonts w:ascii="Times New Roman" w:hAnsi="Times New Roman"/>
          <w:sz w:val="24"/>
          <w:szCs w:val="24"/>
        </w:rPr>
        <w:t xml:space="preserve"> que les autres infrastructures de base. </w:t>
      </w:r>
      <w:r w:rsidR="00464F41">
        <w:rPr>
          <w:rFonts w:ascii="Times New Roman" w:hAnsi="Times New Roman"/>
          <w:sz w:val="24"/>
          <w:szCs w:val="24"/>
        </w:rPr>
        <w:t>Comme mentionné plus</w:t>
      </w:r>
      <w:r w:rsidR="00246605">
        <w:rPr>
          <w:rFonts w:ascii="Times New Roman" w:hAnsi="Times New Roman"/>
          <w:sz w:val="24"/>
          <w:szCs w:val="24"/>
        </w:rPr>
        <w:t xml:space="preserve"> haut</w:t>
      </w:r>
      <w:r w:rsidR="00464F41">
        <w:rPr>
          <w:rFonts w:ascii="Times New Roman" w:hAnsi="Times New Roman"/>
          <w:sz w:val="24"/>
          <w:szCs w:val="24"/>
        </w:rPr>
        <w:t>, c</w:t>
      </w:r>
      <w:r w:rsidR="00C0017C" w:rsidRPr="00951181">
        <w:rPr>
          <w:rFonts w:ascii="Times New Roman" w:hAnsi="Times New Roman"/>
          <w:sz w:val="24"/>
          <w:szCs w:val="24"/>
        </w:rPr>
        <w:t>eci pourrait s’expliquer par</w:t>
      </w:r>
      <w:r w:rsidR="00926878" w:rsidRPr="00951181">
        <w:rPr>
          <w:rFonts w:ascii="Times New Roman" w:hAnsi="Times New Roman"/>
          <w:sz w:val="24"/>
          <w:szCs w:val="24"/>
        </w:rPr>
        <w:t xml:space="preserve">le niveau </w:t>
      </w:r>
      <w:r w:rsidR="00951181" w:rsidRPr="00951181">
        <w:rPr>
          <w:rFonts w:ascii="Times New Roman" w:hAnsi="Times New Roman"/>
          <w:sz w:val="24"/>
          <w:szCs w:val="24"/>
        </w:rPr>
        <w:t xml:space="preserve">relativement faible </w:t>
      </w:r>
      <w:r w:rsidR="00926878" w:rsidRPr="00951181">
        <w:rPr>
          <w:rFonts w:ascii="Times New Roman" w:hAnsi="Times New Roman"/>
          <w:sz w:val="24"/>
          <w:szCs w:val="24"/>
        </w:rPr>
        <w:t xml:space="preserve">du taux de couverture pour ces deux biens et </w:t>
      </w:r>
      <w:r w:rsidR="00276504" w:rsidRPr="00951181">
        <w:rPr>
          <w:rFonts w:ascii="Times New Roman" w:hAnsi="Times New Roman"/>
          <w:sz w:val="24"/>
          <w:szCs w:val="24"/>
        </w:rPr>
        <w:t xml:space="preserve">par conséquent </w:t>
      </w:r>
      <w:r w:rsidR="00F63D93" w:rsidRPr="00951181">
        <w:rPr>
          <w:rFonts w:ascii="Times New Roman" w:hAnsi="Times New Roman"/>
          <w:sz w:val="24"/>
          <w:szCs w:val="24"/>
        </w:rPr>
        <w:t>d</w:t>
      </w:r>
      <w:r w:rsidR="00951181" w:rsidRPr="00951181">
        <w:rPr>
          <w:rFonts w:ascii="Times New Roman" w:hAnsi="Times New Roman"/>
          <w:sz w:val="24"/>
          <w:szCs w:val="24"/>
        </w:rPr>
        <w:t xml:space="preserve">e la faiblesse </w:t>
      </w:r>
      <w:r w:rsidR="00196278" w:rsidRPr="00951181">
        <w:rPr>
          <w:rFonts w:ascii="Times New Roman" w:hAnsi="Times New Roman"/>
          <w:sz w:val="24"/>
          <w:szCs w:val="24"/>
        </w:rPr>
        <w:t xml:space="preserve">des dépenses </w:t>
      </w:r>
      <w:r w:rsidR="00951181" w:rsidRPr="00951181">
        <w:rPr>
          <w:rFonts w:ascii="Times New Roman" w:hAnsi="Times New Roman"/>
          <w:sz w:val="24"/>
          <w:szCs w:val="24"/>
        </w:rPr>
        <w:t>que les y consacrent</w:t>
      </w:r>
      <w:r w:rsidR="00932CC2">
        <w:rPr>
          <w:rFonts w:ascii="Times New Roman" w:hAnsi="Times New Roman"/>
          <w:sz w:val="24"/>
          <w:szCs w:val="24"/>
        </w:rPr>
        <w:t>.</w:t>
      </w:r>
    </w:p>
    <w:p w:rsidR="00B029D3" w:rsidRPr="004F3012" w:rsidRDefault="00B029D3" w:rsidP="007636BF">
      <w:pPr>
        <w:spacing w:line="276" w:lineRule="auto"/>
        <w:rPr>
          <w:rFonts w:ascii="Times New Roman" w:hAnsi="Times New Roman"/>
          <w:sz w:val="12"/>
          <w:szCs w:val="12"/>
        </w:rPr>
      </w:pPr>
    </w:p>
    <w:p w:rsidR="001A4C28" w:rsidRDefault="003740B0" w:rsidP="00502699">
      <w:pPr>
        <w:spacing w:line="276" w:lineRule="auto"/>
        <w:rPr>
          <w:rFonts w:ascii="Times New Roman" w:hAnsi="Times New Roman"/>
          <w:sz w:val="24"/>
          <w:szCs w:val="24"/>
        </w:rPr>
      </w:pPr>
      <w:r w:rsidRPr="009C69D4">
        <w:rPr>
          <w:rFonts w:ascii="Times New Roman" w:hAnsi="Times New Roman"/>
          <w:sz w:val="24"/>
          <w:szCs w:val="24"/>
        </w:rPr>
        <w:t xml:space="preserve">En ce qui concerne les </w:t>
      </w:r>
      <w:r w:rsidR="00A36279" w:rsidRPr="009C69D4">
        <w:rPr>
          <w:rFonts w:ascii="Times New Roman" w:hAnsi="Times New Roman"/>
          <w:sz w:val="24"/>
          <w:szCs w:val="24"/>
        </w:rPr>
        <w:t>facteurs exogènes</w:t>
      </w:r>
      <w:r w:rsidRPr="009C69D4">
        <w:rPr>
          <w:rFonts w:ascii="Times New Roman" w:hAnsi="Times New Roman"/>
          <w:sz w:val="24"/>
          <w:szCs w:val="24"/>
        </w:rPr>
        <w:t>,</w:t>
      </w:r>
      <w:r w:rsidR="00A36279" w:rsidRPr="009C69D4">
        <w:rPr>
          <w:rFonts w:ascii="Times New Roman" w:hAnsi="Times New Roman"/>
          <w:sz w:val="24"/>
          <w:szCs w:val="24"/>
        </w:rPr>
        <w:t xml:space="preserve"> la survenance des chocs biophysiques (les inondations, les sécheresses, etc.) et </w:t>
      </w:r>
      <w:r w:rsidR="009D5BBE" w:rsidRPr="009C69D4">
        <w:rPr>
          <w:rFonts w:ascii="Times New Roman" w:hAnsi="Times New Roman"/>
          <w:sz w:val="24"/>
          <w:szCs w:val="24"/>
        </w:rPr>
        <w:t xml:space="preserve">sociaux (maladie, décès d’un membre actif pilier du ménage, etc.) </w:t>
      </w:r>
      <w:r w:rsidR="008A77FC" w:rsidRPr="009C69D4">
        <w:rPr>
          <w:rFonts w:ascii="Times New Roman" w:hAnsi="Times New Roman"/>
          <w:sz w:val="24"/>
          <w:szCs w:val="24"/>
        </w:rPr>
        <w:t>augmentent</w:t>
      </w:r>
      <w:r w:rsidR="00DA21F9" w:rsidRPr="009C69D4">
        <w:rPr>
          <w:rFonts w:ascii="Times New Roman" w:hAnsi="Times New Roman"/>
          <w:sz w:val="24"/>
          <w:szCs w:val="24"/>
        </w:rPr>
        <w:t xml:space="preserve"> l</w:t>
      </w:r>
      <w:r w:rsidR="008A77FC" w:rsidRPr="009C69D4">
        <w:rPr>
          <w:rFonts w:ascii="Times New Roman" w:hAnsi="Times New Roman"/>
          <w:sz w:val="24"/>
          <w:szCs w:val="24"/>
        </w:rPr>
        <w:t>es</w:t>
      </w:r>
      <w:r w:rsidR="00A36279" w:rsidRPr="009C69D4">
        <w:rPr>
          <w:rFonts w:ascii="Times New Roman" w:hAnsi="Times New Roman"/>
          <w:sz w:val="24"/>
          <w:szCs w:val="24"/>
        </w:rPr>
        <w:t xml:space="preserve"> chance</w:t>
      </w:r>
      <w:r w:rsidR="008A77FC" w:rsidRPr="009C69D4">
        <w:rPr>
          <w:rFonts w:ascii="Times New Roman" w:hAnsi="Times New Roman"/>
          <w:sz w:val="24"/>
          <w:szCs w:val="24"/>
        </w:rPr>
        <w:t>s</w:t>
      </w:r>
      <w:r w:rsidR="00246605">
        <w:rPr>
          <w:rFonts w:ascii="Times New Roman" w:hAnsi="Times New Roman"/>
          <w:sz w:val="24"/>
          <w:szCs w:val="24"/>
        </w:rPr>
        <w:t xml:space="preserve"> </w:t>
      </w:r>
      <w:r w:rsidR="00DA21F9" w:rsidRPr="009C69D4">
        <w:rPr>
          <w:rFonts w:ascii="Times New Roman" w:hAnsi="Times New Roman"/>
          <w:sz w:val="24"/>
          <w:szCs w:val="24"/>
        </w:rPr>
        <w:t>des</w:t>
      </w:r>
      <w:r w:rsidR="00246605">
        <w:rPr>
          <w:rFonts w:ascii="Times New Roman" w:hAnsi="Times New Roman"/>
          <w:sz w:val="24"/>
          <w:szCs w:val="24"/>
        </w:rPr>
        <w:t xml:space="preserve"> </w:t>
      </w:r>
      <w:r w:rsidR="00A36279" w:rsidRPr="009C69D4">
        <w:rPr>
          <w:rFonts w:ascii="Times New Roman" w:hAnsi="Times New Roman"/>
          <w:sz w:val="24"/>
          <w:szCs w:val="24"/>
        </w:rPr>
        <w:t xml:space="preserve">ménages d’entrer </w:t>
      </w:r>
      <w:r w:rsidR="008A77FC" w:rsidRPr="009C69D4">
        <w:rPr>
          <w:rFonts w:ascii="Times New Roman" w:hAnsi="Times New Roman"/>
          <w:sz w:val="24"/>
          <w:szCs w:val="24"/>
        </w:rPr>
        <w:t xml:space="preserve">ou de durer </w:t>
      </w:r>
      <w:r w:rsidR="00A36279" w:rsidRPr="009C69D4">
        <w:rPr>
          <w:rFonts w:ascii="Times New Roman" w:hAnsi="Times New Roman"/>
          <w:sz w:val="24"/>
          <w:szCs w:val="24"/>
        </w:rPr>
        <w:t xml:space="preserve">dans la pauvreté. </w:t>
      </w:r>
      <w:r w:rsidR="00077C6A" w:rsidRPr="009C69D4">
        <w:rPr>
          <w:rFonts w:ascii="Times New Roman" w:hAnsi="Times New Roman"/>
          <w:sz w:val="24"/>
          <w:szCs w:val="24"/>
        </w:rPr>
        <w:t xml:space="preserve">Cette tendance pourrait cependant apparaitre avec les </w:t>
      </w:r>
      <w:r w:rsidR="00D41DA3" w:rsidRPr="009C69D4">
        <w:rPr>
          <w:rFonts w:ascii="Times New Roman" w:hAnsi="Times New Roman"/>
          <w:sz w:val="24"/>
          <w:szCs w:val="24"/>
        </w:rPr>
        <w:t xml:space="preserve">chocs économiques </w:t>
      </w:r>
      <w:r w:rsidR="00DA21F9" w:rsidRPr="009C69D4">
        <w:rPr>
          <w:rFonts w:ascii="Times New Roman" w:hAnsi="Times New Roman"/>
          <w:sz w:val="24"/>
          <w:szCs w:val="24"/>
        </w:rPr>
        <w:t xml:space="preserve">(baisse des revenus, perte d’emploi, augmentation des prix à la consommation, etc.) </w:t>
      </w:r>
      <w:r w:rsidR="009C69D4" w:rsidRPr="009C69D4">
        <w:rPr>
          <w:rFonts w:ascii="Times New Roman" w:hAnsi="Times New Roman"/>
          <w:sz w:val="24"/>
          <w:szCs w:val="24"/>
        </w:rPr>
        <w:t>si ces derniers s’avéraient plus intenses.</w:t>
      </w:r>
    </w:p>
    <w:p w:rsidR="00567C5D" w:rsidRPr="004F3012" w:rsidRDefault="00567C5D" w:rsidP="00502699">
      <w:pPr>
        <w:spacing w:line="276" w:lineRule="auto"/>
        <w:rPr>
          <w:rFonts w:ascii="Times New Roman" w:hAnsi="Times New Roman"/>
          <w:sz w:val="12"/>
          <w:szCs w:val="12"/>
        </w:rPr>
      </w:pPr>
    </w:p>
    <w:p w:rsidR="00502699" w:rsidRDefault="00502699" w:rsidP="005448DB">
      <w:pPr>
        <w:spacing w:line="276" w:lineRule="auto"/>
        <w:rPr>
          <w:rFonts w:ascii="Times New Roman" w:hAnsi="Times New Roman"/>
          <w:sz w:val="24"/>
          <w:szCs w:val="24"/>
        </w:rPr>
      </w:pPr>
      <w:r>
        <w:rPr>
          <w:rFonts w:ascii="Times New Roman" w:hAnsi="Times New Roman"/>
          <w:sz w:val="24"/>
          <w:szCs w:val="24"/>
        </w:rPr>
        <w:t>L’enquête qualitative réalisée</w:t>
      </w:r>
      <w:r w:rsidR="00E47863">
        <w:rPr>
          <w:rFonts w:ascii="Times New Roman" w:hAnsi="Times New Roman"/>
          <w:sz w:val="24"/>
          <w:szCs w:val="24"/>
        </w:rPr>
        <w:t xml:space="preserve"> auprès de quelques ménages</w:t>
      </w:r>
      <w:r w:rsidR="001A4C28">
        <w:rPr>
          <w:rFonts w:ascii="Times New Roman" w:hAnsi="Times New Roman"/>
          <w:sz w:val="24"/>
          <w:szCs w:val="24"/>
        </w:rPr>
        <w:t xml:space="preserve"> a permis d’</w:t>
      </w:r>
      <w:r w:rsidR="001A4C28" w:rsidRPr="001A4C28">
        <w:rPr>
          <w:rFonts w:ascii="Times New Roman" w:hAnsi="Times New Roman"/>
          <w:sz w:val="24"/>
          <w:szCs w:val="24"/>
        </w:rPr>
        <w:t>explorer la dynamique de la pauvreté entre 2006 et 2009, dans toute sa richesse, moyennant l’analyse des liens qualitatifs entre les comportements sociologiques, les stratégies individuelles, les politiques locales/publiques et l’amélioration ou la détérioration des conditions de vie des populations sur la période 2006 et 2009. L</w:t>
      </w:r>
      <w:r w:rsidR="001A4C28">
        <w:rPr>
          <w:rFonts w:ascii="Times New Roman" w:hAnsi="Times New Roman"/>
          <w:sz w:val="24"/>
          <w:szCs w:val="24"/>
        </w:rPr>
        <w:t xml:space="preserve">es histoires de succès racontées par les ménages enquêtés ont permis de </w:t>
      </w:r>
      <w:r w:rsidR="001A4C28" w:rsidRPr="001A4C28">
        <w:rPr>
          <w:rFonts w:ascii="Times New Roman" w:hAnsi="Times New Roman"/>
          <w:sz w:val="24"/>
          <w:szCs w:val="24"/>
        </w:rPr>
        <w:t xml:space="preserve">mieux appréhender </w:t>
      </w:r>
      <w:r w:rsidR="005448DB">
        <w:rPr>
          <w:rFonts w:ascii="Times New Roman" w:hAnsi="Times New Roman"/>
          <w:sz w:val="24"/>
          <w:szCs w:val="24"/>
        </w:rPr>
        <w:t xml:space="preserve">d’une part, </w:t>
      </w:r>
      <w:r w:rsidR="001A4C28" w:rsidRPr="001A4C28">
        <w:rPr>
          <w:rFonts w:ascii="Times New Roman" w:hAnsi="Times New Roman"/>
          <w:sz w:val="24"/>
          <w:szCs w:val="24"/>
        </w:rPr>
        <w:t>les facteurs sociologiques qui pourraient expliquer la mobilité des ménages dans les différents états de pauvreté entre 2006 et 2009</w:t>
      </w:r>
      <w:r w:rsidR="005448DB">
        <w:rPr>
          <w:rFonts w:ascii="Times New Roman" w:hAnsi="Times New Roman"/>
          <w:sz w:val="24"/>
          <w:szCs w:val="24"/>
        </w:rPr>
        <w:t xml:space="preserve"> et d’autre part, l</w:t>
      </w:r>
      <w:r w:rsidR="001A4C28" w:rsidRPr="001A4C28">
        <w:rPr>
          <w:rFonts w:ascii="Times New Roman" w:hAnsi="Times New Roman"/>
          <w:sz w:val="24"/>
          <w:szCs w:val="24"/>
        </w:rPr>
        <w:t xml:space="preserve">’impact des interventions publiques et </w:t>
      </w:r>
      <w:r w:rsidR="005448DB">
        <w:rPr>
          <w:rFonts w:ascii="Times New Roman" w:hAnsi="Times New Roman"/>
          <w:sz w:val="24"/>
          <w:szCs w:val="24"/>
        </w:rPr>
        <w:t xml:space="preserve">celles </w:t>
      </w:r>
      <w:r w:rsidR="001A4C28" w:rsidRPr="001A4C28">
        <w:rPr>
          <w:rFonts w:ascii="Times New Roman" w:hAnsi="Times New Roman"/>
          <w:sz w:val="24"/>
          <w:szCs w:val="24"/>
        </w:rPr>
        <w:t>des Organisations Non Gouvernementales (ONG) et des Partenaires Techniques et Financiers (PTF) sur l’amélioration des co</w:t>
      </w:r>
      <w:r w:rsidR="005448DB">
        <w:rPr>
          <w:rFonts w:ascii="Times New Roman" w:hAnsi="Times New Roman"/>
          <w:sz w:val="24"/>
          <w:szCs w:val="24"/>
        </w:rPr>
        <w:t xml:space="preserve">nditions de vie des populations. Comme le montre l’encadré 3, les meilleurs succès présentés permettent de </w:t>
      </w:r>
      <w:r w:rsidR="001A4C28" w:rsidRPr="001A4C28">
        <w:rPr>
          <w:rFonts w:ascii="Times New Roman" w:hAnsi="Times New Roman"/>
          <w:sz w:val="24"/>
          <w:szCs w:val="24"/>
        </w:rPr>
        <w:t xml:space="preserve">fournir aux pouvoirs publics et/ou aux PTF, quelques pistes de politiques pour l’amélioration des conditions de vie des populations et d’accélération </w:t>
      </w:r>
      <w:r w:rsidR="007E3ADC">
        <w:rPr>
          <w:rFonts w:ascii="Times New Roman" w:hAnsi="Times New Roman"/>
          <w:sz w:val="24"/>
          <w:szCs w:val="24"/>
        </w:rPr>
        <w:t xml:space="preserve">de </w:t>
      </w:r>
      <w:r w:rsidR="001A4C28" w:rsidRPr="001A4C28">
        <w:rPr>
          <w:rFonts w:ascii="Times New Roman" w:hAnsi="Times New Roman"/>
          <w:sz w:val="24"/>
          <w:szCs w:val="24"/>
        </w:rPr>
        <w:t>la réalisation des OMD au Bénin.</w:t>
      </w:r>
    </w:p>
    <w:p w:rsidR="00502699" w:rsidRDefault="00502699" w:rsidP="00502699">
      <w:pPr>
        <w:spacing w:line="276" w:lineRule="auto"/>
        <w:jc w:val="left"/>
        <w:rPr>
          <w:rFonts w:ascii="Times New Roman" w:hAnsi="Times New Roman"/>
          <w:sz w:val="24"/>
          <w:szCs w:val="24"/>
        </w:rPr>
      </w:pPr>
    </w:p>
    <w:p w:rsidR="004F3012" w:rsidRDefault="004F3012" w:rsidP="00502699">
      <w:pPr>
        <w:spacing w:line="276" w:lineRule="auto"/>
        <w:jc w:val="left"/>
        <w:rPr>
          <w:rFonts w:ascii="Times New Roman" w:hAnsi="Times New Roman"/>
          <w:sz w:val="24"/>
          <w:szCs w:val="24"/>
        </w:rPr>
        <w:sectPr w:rsidR="004F3012" w:rsidSect="001B4547">
          <w:footerReference w:type="default" r:id="rId47"/>
          <w:pgSz w:w="11906" w:h="16838"/>
          <w:pgMar w:top="1081" w:right="1417" w:bottom="1417" w:left="1417" w:header="284"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567"/>
        <w:gridCol w:w="2126"/>
        <w:gridCol w:w="3935"/>
      </w:tblGrid>
      <w:tr w:rsidR="003E6F2A" w:rsidTr="003E6F2A">
        <w:trPr>
          <w:trHeight w:val="397"/>
        </w:trPr>
        <w:tc>
          <w:tcPr>
            <w:tcW w:w="9288"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832112" w:rsidRDefault="004F064D" w:rsidP="00832112">
            <w:pPr>
              <w:spacing w:after="120" w:line="240" w:lineRule="auto"/>
              <w:rPr>
                <w:rFonts w:ascii="Times New Roman" w:hAnsi="Times New Roman"/>
                <w:sz w:val="24"/>
              </w:rPr>
            </w:pPr>
            <w:r>
              <w:rPr>
                <w:rFonts w:ascii="Times New Roman" w:hAnsi="Times New Roman"/>
                <w:i/>
                <w:noProof/>
                <w:sz w:val="18"/>
                <w:szCs w:val="18"/>
                <w:lang w:val="en-US"/>
              </w:rPr>
              <w:pict>
                <v:group id="Group 49" o:spid="_x0000_s1063" style="position:absolute;left:0;text-align:left;margin-left:-3.8pt;margin-top:32.05pt;width:18.45pt;height:132.4pt;z-index:251682816" coordorigin="1341,6592" coordsize="369,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">
                  <v:shape id="AutoShape 50" o:spid="_x0000_s1065" type="#_x0000_t32" style="position:absolute;left:1342;top:6592;width:0;height:26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MY+sQAAADbAAAADwAAAGRycy9kb3ducmV2LnhtbESPzWrDMBCE74W+g9hAbo2cQtPWsRyK&#10;IdCTQ50c2ttirX+ItXIlJXHePgoUehxm5hsm20xmEGdyvresYLlIQBDXVvfcKjjst09vIHxA1jhY&#10;JgVX8rDJHx8yTLW98Bedq9CKCGGfooIuhDGV0tcdGfQLOxJHr7HOYIjStVI7vES4GeRzkqykwZ7j&#10;QocjFR3Vx+pkFNQvRSj7wpV7vfsZml9qvstKKjWfTR9rEIGm8B/+a39qBa/vcP8Sf4DM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Uxj6xAAAANsAAAAPAAAAAAAAAAAA&#10;AAAAAKECAABkcnMvZG93bnJldi54bWxQSwUGAAAAAAQABAD5AAAAkgMAAAAA&#10;" strokecolor="#31849b [2408]" strokeweight="5pt"/>
                  <v:shape id="AutoShape 51" o:spid="_x0000_s1064" type="#_x0000_t32" style="position:absolute;left:1341;top:6635;width:369;height: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yBqcAAAADbAAAADwAAAGRycy9kb3ducmV2LnhtbERPy4rCMBTdC/MP4Q7MRjSdEaRU0yKC&#10;jAgufHzApbnTlGluahNr9evNQnB5OO9lMdhG9NT52rGC72kCgrh0uuZKwfm0maQgfEDW2DgmBXfy&#10;UOQfoyVm2t34QP0xVCKGsM9QgQmhzaT0pSGLfupa4sj9uc5iiLCrpO7wFsNtI3+SZC4t1hwbDLa0&#10;NlT+H69WAe3d8Fj9mosMSb+76sd9th2vlfr6HFYLEIGG8Ba/3FutII3r45f4A2T+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78ganAAAAA2wAAAA8AAAAAAAAAAAAAAAAA&#10;oQIAAGRycy9kb3ducmV2LnhtbFBLBQYAAAAABAAEAPkAAACOAwAAAAA=&#10;" strokecolor="#31849b [2408]" strokeweight="5pt"/>
                </v:group>
              </w:pict>
            </w:r>
            <w:r w:rsidR="003E6F2A" w:rsidRPr="00F6082B">
              <w:rPr>
                <w:rFonts w:ascii="Times New Roman" w:hAnsi="Times New Roman"/>
                <w:b/>
                <w:sz w:val="24"/>
              </w:rPr>
              <w:t xml:space="preserve">Encadré </w:t>
            </w:r>
            <w:r w:rsidR="003E6F2A">
              <w:rPr>
                <w:rFonts w:ascii="Times New Roman" w:hAnsi="Times New Roman"/>
                <w:b/>
                <w:sz w:val="24"/>
              </w:rPr>
              <w:t>1.3</w:t>
            </w:r>
            <w:r w:rsidR="003E6F2A">
              <w:rPr>
                <w:rFonts w:ascii="Times New Roman" w:hAnsi="Times New Roman"/>
                <w:sz w:val="24"/>
              </w:rPr>
              <w:t xml:space="preserve"> : Perceptions des ménages sur les facteurs socio-économiques qui ont déterminé la mobilité dans la pauvreté entre 2006 et 2009 </w:t>
            </w:r>
          </w:p>
        </w:tc>
      </w:tr>
      <w:tr w:rsidR="003E6F2A" w:rsidTr="003E6F2A">
        <w:trPr>
          <w:trHeight w:val="2667"/>
        </w:trPr>
        <w:tc>
          <w:tcPr>
            <w:tcW w:w="5353" w:type="dxa"/>
            <w:gridSpan w:val="3"/>
            <w:tcBorders>
              <w:top w:val="single" w:sz="4" w:space="0" w:color="31849B" w:themeColor="accent5" w:themeShade="BF"/>
              <w:left w:val="single" w:sz="4" w:space="0" w:color="31849B" w:themeColor="accent5" w:themeShade="BF"/>
              <w:bottom w:val="nil"/>
              <w:right w:val="nil"/>
            </w:tcBorders>
            <w:shd w:val="clear" w:color="auto" w:fill="DBE5F1" w:themeFill="accent1" w:themeFillTint="33"/>
          </w:tcPr>
          <w:p w:rsidR="003E6F2A" w:rsidRDefault="003E6F2A" w:rsidP="003E6F2A">
            <w:pPr>
              <w:spacing w:line="276" w:lineRule="auto"/>
              <w:rPr>
                <w:rFonts w:ascii="Times New Roman" w:hAnsi="Times New Roman"/>
                <w:sz w:val="12"/>
                <w:szCs w:val="12"/>
              </w:rPr>
            </w:pPr>
          </w:p>
          <w:p w:rsidR="003E6F2A" w:rsidRPr="00D14B25" w:rsidRDefault="003E6F2A" w:rsidP="003E6F2A">
            <w:pPr>
              <w:spacing w:line="240" w:lineRule="auto"/>
            </w:pPr>
            <w:r>
              <w:rPr>
                <w:b/>
                <w:noProof/>
                <w:lang w:eastAsia="fr-FR"/>
              </w:rPr>
              <w:drawing>
                <wp:inline distT="0" distB="0" distL="0" distR="0" wp14:anchorId="442C13D4" wp14:editId="6A017E6F">
                  <wp:extent cx="1666133" cy="1564783"/>
                  <wp:effectExtent l="19050" t="0" r="0" b="0"/>
                  <wp:docPr id="62" name="Image 2" descr="C:\RAIMI DOCS\INSAE\DSS\OPERATIONS ENQUETES ET ETUDE DSS\BANQUE MONDIALE_ ANALYSE PAUVRETE\Success Story\Rapport de supervision\Photos illustratives\Oueme-Plateau-Atlantique-Littoral\IMAG0021.ZINDEHOU-Sort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AIMI DOCS\INSAE\DSS\OPERATIONS ENQUETES ET ETUDE DSS\BANQUE MONDIALE_ ANALYSE PAUVRETE\Success Story\Rapport de supervision\Photos illustratives\Oueme-Plateau-Atlantique-Littoral\IMAG0021.ZINDEHOU-Sortie.JPG"/>
                          <pic:cNvPicPr>
                            <a:picLocks noChangeAspect="1" noChangeArrowheads="1"/>
                          </pic:cNvPicPr>
                        </pic:nvPicPr>
                        <pic:blipFill>
                          <a:blip r:embed="rId48" cstate="print"/>
                          <a:srcRect/>
                          <a:stretch>
                            <a:fillRect/>
                          </a:stretch>
                        </pic:blipFill>
                        <pic:spPr bwMode="auto">
                          <a:xfrm>
                            <a:off x="0" y="0"/>
                            <a:ext cx="1670498" cy="1568883"/>
                          </a:xfrm>
                          <a:prstGeom prst="rect">
                            <a:avLst/>
                          </a:prstGeom>
                          <a:noFill/>
                          <a:ln w="9525">
                            <a:noFill/>
                            <a:miter lim="800000"/>
                            <a:headEnd/>
                            <a:tailEnd/>
                          </a:ln>
                        </pic:spPr>
                      </pic:pic>
                    </a:graphicData>
                  </a:graphic>
                </wp:inline>
              </w:drawing>
            </w:r>
            <w:r>
              <w:rPr>
                <w:b/>
                <w:noProof/>
                <w:lang w:eastAsia="fr-FR"/>
              </w:rPr>
              <w:drawing>
                <wp:inline distT="0" distB="0" distL="0" distR="0" wp14:anchorId="565C6108" wp14:editId="310361A6">
                  <wp:extent cx="1507097" cy="1564724"/>
                  <wp:effectExtent l="19050" t="0" r="0" b="0"/>
                  <wp:docPr id="63" name="Image 4" descr="C:\RAIMI DOCS\INSAE\DSS\OPERATIONS ENQUETES ET ETUDE DSS\BANQUE MONDIALE_ ANALYSE PAUVRETE\Success Story\Rapport de supervision\Photos illustratives\Oueme-Plateau-Atlantique-Littoral\IMAG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AIMI DOCS\INSAE\DSS\OPERATIONS ENQUETES ET ETUDE DSS\BANQUE MONDIALE_ ANALYSE PAUVRETE\Success Story\Rapport de supervision\Photos illustratives\Oueme-Plateau-Atlantique-Littoral\IMAG0020.JPG"/>
                          <pic:cNvPicPr>
                            <a:picLocks noChangeAspect="1" noChangeArrowheads="1"/>
                          </pic:cNvPicPr>
                        </pic:nvPicPr>
                        <pic:blipFill>
                          <a:blip r:embed="rId49" cstate="print"/>
                          <a:srcRect/>
                          <a:stretch>
                            <a:fillRect/>
                          </a:stretch>
                        </pic:blipFill>
                        <pic:spPr bwMode="auto">
                          <a:xfrm>
                            <a:off x="0" y="0"/>
                            <a:ext cx="1508038" cy="1565701"/>
                          </a:xfrm>
                          <a:prstGeom prst="rect">
                            <a:avLst/>
                          </a:prstGeom>
                          <a:noFill/>
                          <a:ln w="9525">
                            <a:noFill/>
                            <a:miter lim="800000"/>
                            <a:headEnd/>
                            <a:tailEnd/>
                          </a:ln>
                        </pic:spPr>
                      </pic:pic>
                    </a:graphicData>
                  </a:graphic>
                </wp:inline>
              </w:drawing>
            </w:r>
          </w:p>
        </w:tc>
        <w:tc>
          <w:tcPr>
            <w:tcW w:w="3935" w:type="dxa"/>
            <w:tcBorders>
              <w:top w:val="single" w:sz="4" w:space="0" w:color="31849B" w:themeColor="accent5" w:themeShade="BF"/>
              <w:left w:val="nil"/>
              <w:bottom w:val="nil"/>
              <w:right w:val="single" w:sz="4" w:space="0" w:color="31849B" w:themeColor="accent5" w:themeShade="BF"/>
            </w:tcBorders>
            <w:shd w:val="clear" w:color="auto" w:fill="DBE5F1" w:themeFill="accent1" w:themeFillTint="33"/>
          </w:tcPr>
          <w:p w:rsidR="003E6F2A" w:rsidRPr="00EC0912" w:rsidRDefault="003E6F2A" w:rsidP="003E6F2A">
            <w:pPr>
              <w:rPr>
                <w:rFonts w:ascii="Times New Roman" w:hAnsi="Times New Roman"/>
                <w:sz w:val="6"/>
                <w:szCs w:val="6"/>
              </w:rPr>
            </w:pPr>
          </w:p>
          <w:p w:rsidR="003E6F2A" w:rsidRPr="00AB5362" w:rsidRDefault="003E6F2A" w:rsidP="003E6F2A">
            <w:pPr>
              <w:spacing w:line="240" w:lineRule="auto"/>
              <w:rPr>
                <w:rFonts w:ascii="Times New Roman" w:hAnsi="Times New Roman"/>
                <w:sz w:val="18"/>
                <w:szCs w:val="18"/>
              </w:rPr>
            </w:pPr>
            <w:r w:rsidRPr="00AB5362">
              <w:rPr>
                <w:rFonts w:ascii="Times New Roman" w:hAnsi="Times New Roman"/>
                <w:sz w:val="18"/>
                <w:szCs w:val="18"/>
              </w:rPr>
              <w:t>Zind</w:t>
            </w:r>
            <w:r>
              <w:rPr>
                <w:rFonts w:ascii="Times New Roman" w:hAnsi="Times New Roman"/>
                <w:sz w:val="18"/>
                <w:szCs w:val="18"/>
              </w:rPr>
              <w:t>é</w:t>
            </w:r>
            <w:r w:rsidRPr="00AB5362">
              <w:rPr>
                <w:rFonts w:ascii="Times New Roman" w:hAnsi="Times New Roman"/>
                <w:sz w:val="18"/>
                <w:szCs w:val="18"/>
              </w:rPr>
              <w:t xml:space="preserve">, polygame avec 2 femmes et père de 13 enfants, est un cultivateur qui n’a jamais fréquenté </w:t>
            </w:r>
            <w:r>
              <w:rPr>
                <w:rFonts w:ascii="Times New Roman" w:hAnsi="Times New Roman"/>
                <w:sz w:val="18"/>
                <w:szCs w:val="18"/>
              </w:rPr>
              <w:t xml:space="preserve">l’école </w:t>
            </w:r>
            <w:r w:rsidRPr="00AB5362">
              <w:rPr>
                <w:rFonts w:ascii="Times New Roman" w:hAnsi="Times New Roman"/>
                <w:sz w:val="18"/>
                <w:szCs w:val="18"/>
              </w:rPr>
              <w:t xml:space="preserve">et vit à </w:t>
            </w:r>
            <w:r w:rsidR="00961895">
              <w:rPr>
                <w:rFonts w:ascii="Times New Roman" w:hAnsi="Times New Roman"/>
                <w:sz w:val="18"/>
                <w:szCs w:val="18"/>
              </w:rPr>
              <w:t>D</w:t>
            </w:r>
            <w:r w:rsidR="00961895" w:rsidRPr="00AB5362">
              <w:rPr>
                <w:rFonts w:ascii="Times New Roman" w:hAnsi="Times New Roman"/>
                <w:sz w:val="18"/>
                <w:szCs w:val="18"/>
              </w:rPr>
              <w:t xml:space="preserve">johoun-colle </w:t>
            </w:r>
            <w:r w:rsidRPr="00AB5362">
              <w:rPr>
                <w:rFonts w:ascii="Times New Roman" w:hAnsi="Times New Roman"/>
                <w:sz w:val="18"/>
                <w:szCs w:val="18"/>
              </w:rPr>
              <w:t xml:space="preserve">dans la commune de </w:t>
            </w:r>
            <w:r w:rsidR="00246605" w:rsidRPr="00AB5362">
              <w:rPr>
                <w:rFonts w:ascii="Times New Roman" w:hAnsi="Times New Roman"/>
                <w:sz w:val="18"/>
                <w:szCs w:val="18"/>
              </w:rPr>
              <w:t>Sak</w:t>
            </w:r>
            <w:r w:rsidR="00246605">
              <w:rPr>
                <w:rFonts w:ascii="Times New Roman" w:hAnsi="Times New Roman"/>
                <w:sz w:val="18"/>
                <w:szCs w:val="18"/>
              </w:rPr>
              <w:t>é</w:t>
            </w:r>
            <w:r w:rsidR="00246605" w:rsidRPr="00AB5362">
              <w:rPr>
                <w:rFonts w:ascii="Times New Roman" w:hAnsi="Times New Roman"/>
                <w:sz w:val="18"/>
                <w:szCs w:val="18"/>
              </w:rPr>
              <w:t>t</w:t>
            </w:r>
            <w:r w:rsidR="00246605">
              <w:rPr>
                <w:rFonts w:ascii="Times New Roman" w:hAnsi="Times New Roman"/>
                <w:sz w:val="18"/>
                <w:szCs w:val="18"/>
              </w:rPr>
              <w:t>é</w:t>
            </w:r>
            <w:r w:rsidRPr="00AB5362">
              <w:rPr>
                <w:rFonts w:ascii="Times New Roman" w:hAnsi="Times New Roman"/>
                <w:sz w:val="18"/>
                <w:szCs w:val="18"/>
              </w:rPr>
              <w:t>. Le ménage de Zind</w:t>
            </w:r>
            <w:r>
              <w:rPr>
                <w:rFonts w:ascii="Times New Roman" w:hAnsi="Times New Roman"/>
                <w:sz w:val="18"/>
                <w:szCs w:val="18"/>
              </w:rPr>
              <w:t>é</w:t>
            </w:r>
            <w:r w:rsidRPr="00AB5362">
              <w:rPr>
                <w:rFonts w:ascii="Times New Roman" w:hAnsi="Times New Roman"/>
                <w:sz w:val="18"/>
                <w:szCs w:val="18"/>
              </w:rPr>
              <w:t xml:space="preserve"> qui était pauvre en 2006 a connu une amélioration de ses conditions de vie et est devenu non pauvre en 2009. Il raconte son histoire par ceci : </w:t>
            </w:r>
          </w:p>
          <w:p w:rsidR="003E6F2A" w:rsidRPr="00D14B25" w:rsidRDefault="003E6F2A" w:rsidP="003E6F2A">
            <w:pPr>
              <w:pStyle w:val="Corpsdetexte2"/>
              <w:spacing w:before="120" w:after="0" w:line="240" w:lineRule="auto"/>
              <w:jc w:val="both"/>
            </w:pPr>
            <w:r w:rsidRPr="00EC0912">
              <w:rPr>
                <w:i/>
                <w:sz w:val="18"/>
                <w:szCs w:val="18"/>
              </w:rPr>
              <w:t xml:space="preserve">« Je suis cultivateur et je produis du maïs, du manioc et de l’arachide. Entre 2006 et 2009, j’ai intensifié mes activités ; je recrute des manœuvres pour m’aider à faire mon champ. </w:t>
            </w:r>
          </w:p>
        </w:tc>
      </w:tr>
      <w:tr w:rsidR="003E6F2A" w:rsidTr="003A6048">
        <w:trPr>
          <w:trHeight w:val="1556"/>
        </w:trPr>
        <w:tc>
          <w:tcPr>
            <w:tcW w:w="9288" w:type="dxa"/>
            <w:gridSpan w:val="4"/>
            <w:tcBorders>
              <w:top w:val="nil"/>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D93ED6" w:rsidRDefault="003E6F2A" w:rsidP="00D93ED6">
            <w:pPr>
              <w:spacing w:line="240" w:lineRule="auto"/>
              <w:rPr>
                <w:sz w:val="6"/>
                <w:szCs w:val="6"/>
              </w:rPr>
            </w:pPr>
            <w:r w:rsidRPr="00EC0912">
              <w:rPr>
                <w:rFonts w:ascii="Times New Roman" w:hAnsi="Times New Roman"/>
                <w:i/>
                <w:sz w:val="18"/>
                <w:szCs w:val="18"/>
              </w:rPr>
              <w:t>J’ai une plantation de palmiers à huile que j’ai commencée à exploiter sur cette période, pour la préparation artisanale de sodabi et sa commercialisation.</w:t>
            </w:r>
            <w:r w:rsidR="00246605">
              <w:rPr>
                <w:rFonts w:ascii="Times New Roman" w:hAnsi="Times New Roman"/>
                <w:i/>
                <w:sz w:val="18"/>
                <w:szCs w:val="18"/>
              </w:rPr>
              <w:t xml:space="preserve"> </w:t>
            </w:r>
            <w:r w:rsidRPr="00EC0912">
              <w:rPr>
                <w:rFonts w:ascii="Times New Roman" w:hAnsi="Times New Roman"/>
                <w:i/>
                <w:sz w:val="18"/>
                <w:szCs w:val="18"/>
              </w:rPr>
              <w:t xml:space="preserve">Une grande partie de mes revenus est utilisée pour les dépenses de mon ménage, une partie pour la scolarité de mes enfants, une partie est épargnée (tontine). C’est </w:t>
            </w:r>
            <w:r w:rsidR="00152D2B" w:rsidRPr="00EC0912">
              <w:rPr>
                <w:rFonts w:ascii="Times New Roman" w:hAnsi="Times New Roman"/>
                <w:i/>
                <w:sz w:val="18"/>
                <w:szCs w:val="18"/>
              </w:rPr>
              <w:t>grâce</w:t>
            </w:r>
            <w:r w:rsidRPr="00EC0912">
              <w:rPr>
                <w:rFonts w:ascii="Times New Roman" w:hAnsi="Times New Roman"/>
                <w:i/>
                <w:sz w:val="18"/>
                <w:szCs w:val="18"/>
              </w:rPr>
              <w:t xml:space="preserve"> à mes économies que j’ai pu réaliser progressivement cette construction en dur. Avec le mirco</w:t>
            </w:r>
            <w:r w:rsidR="00246605">
              <w:rPr>
                <w:rFonts w:ascii="Times New Roman" w:hAnsi="Times New Roman"/>
                <w:i/>
                <w:sz w:val="18"/>
                <w:szCs w:val="18"/>
              </w:rPr>
              <w:t>-</w:t>
            </w:r>
            <w:r w:rsidRPr="00EC0912">
              <w:rPr>
                <w:rFonts w:ascii="Times New Roman" w:hAnsi="Times New Roman"/>
                <w:i/>
                <w:sz w:val="18"/>
                <w:szCs w:val="18"/>
              </w:rPr>
              <w:t>crédit, mes femmes font commerce et une d’entre elles a pu créer cette boutique. Mes femmes contribuent aux dépenses de la maison et quand j’ai des difficultés financières, je fais recourt à mes femmes. Personnellement, j’ai besoin de prêts en espèces pour pouvoir renforcer d’avantage mes activités. En plus, les populations souffrent fondamentalement du problème d’énergie électrique et d’eau. »</w:t>
            </w:r>
          </w:p>
          <w:p w:rsidR="00D93ED6" w:rsidRDefault="00D93ED6" w:rsidP="003E6F2A">
            <w:pPr>
              <w:pStyle w:val="Corpsdetexte2"/>
              <w:spacing w:after="0" w:line="240" w:lineRule="auto"/>
              <w:jc w:val="both"/>
              <w:rPr>
                <w:sz w:val="6"/>
                <w:szCs w:val="6"/>
              </w:rPr>
            </w:pPr>
          </w:p>
          <w:p w:rsidR="003E6F2A" w:rsidRPr="00EC0912" w:rsidRDefault="004F064D" w:rsidP="003E6F2A">
            <w:pPr>
              <w:pStyle w:val="Corpsdetexte2"/>
              <w:spacing w:after="0" w:line="240" w:lineRule="auto"/>
              <w:jc w:val="both"/>
              <w:rPr>
                <w:sz w:val="6"/>
                <w:szCs w:val="6"/>
              </w:rPr>
            </w:pPr>
            <w:r>
              <w:rPr>
                <w:noProof/>
                <w:sz w:val="6"/>
                <w:szCs w:val="6"/>
                <w:lang w:val="en-US" w:eastAsia="en-US"/>
              </w:rPr>
              <w:pict>
                <v:group id="Group 78" o:spid="_x0000_s1032" style="position:absolute;left:0;text-align:left;margin-left:-3.8pt;margin-top:2.1pt;width:130.7pt;height:70.5pt;z-index:251689984" coordorigin="1416,10815" coordsize="249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">
                  <v:shape id="Text Box 79" o:spid="_x0000_s1033" type="#_x0000_t202" style="position:absolute;left:1416;top:10875;width:2499;height:1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W8sMA&#10;AADbAAAADwAAAGRycy9kb3ducmV2LnhtbESPzWoCQRCE74LvMLTgTWcV/FsdJQiGBOJBkwdodtrd&#10;wZ2ezU5HN2+fCQgei6r6itrsOl+rG7XRBTYwGWegiItgHZcGvj4PoyWoKMgW68Bk4Jci7Lb93gZz&#10;G+58ottZSpUgHHM0UIk0udaxqMhjHIeGOHmX0HqUJNtS2xbvCe5rPc2yufboOC1U2NC+ouJ6/vEG&#10;jvP3sHLHmX91y8W3FBLttfswZjjoXtaghDp5hh/tN2tgMYX/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dW8sMAAADbAAAADwAAAAAAAAAAAAAAAACYAgAAZHJzL2Rv&#10;d25yZXYueG1sUEsFBgAAAAAEAAQA9QAAAIgDAAAAAA==&#10;" fillcolor="#dbe5f1 [660]" stroked="f">
                    <v:textbox style="mso-next-textbox:#Text Box 79">
                      <w:txbxContent>
                        <w:p w:rsidR="008C2241" w:rsidRPr="0002446A" w:rsidRDefault="008C2241" w:rsidP="00152D2B">
                          <w:pPr>
                            <w:spacing w:line="276" w:lineRule="auto"/>
                            <w:jc w:val="left"/>
                            <w:rPr>
                              <w:rFonts w:ascii="Trebuchet MS" w:hAnsi="Trebuchet MS" w:cs="Consolas"/>
                              <w:b/>
                              <w:color w:val="0070C0"/>
                              <w:sz w:val="23"/>
                              <w:szCs w:val="23"/>
                            </w:rPr>
                          </w:pPr>
                          <w:r w:rsidRPr="00832112">
                            <w:rPr>
                              <w:rFonts w:ascii="Trebuchet MS" w:hAnsi="Trebuchet MS" w:cs="Consolas"/>
                              <w:b/>
                              <w:color w:val="0070C0"/>
                              <w:sz w:val="23"/>
                              <w:szCs w:val="23"/>
                            </w:rPr>
                            <w:t>U</w:t>
                          </w:r>
                          <w:r w:rsidRPr="0002446A">
                            <w:rPr>
                              <w:rFonts w:ascii="Trebuchet MS" w:hAnsi="Trebuchet MS" w:cs="Consolas"/>
                              <w:b/>
                              <w:color w:val="0070C0"/>
                              <w:sz w:val="23"/>
                              <w:szCs w:val="23"/>
                            </w:rPr>
                            <w:t>ne très bonne campagne agricole est un atout pour  sortie de la pauvreté</w:t>
                          </w:r>
                        </w:p>
                      </w:txbxContent>
                    </v:textbox>
                  </v:shape>
                  <v:group id="Group 80" o:spid="_x0000_s1034" style="position:absolute;left:1416;top:10815;width:369;height:1425" coordorigin="1416,10830" coordsize="579,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AutoShape 81" o:spid="_x0000_s1035" type="#_x0000_t32" style="position:absolute;left:1416;top:10830;width:1;height:1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3ZMQAAADbAAAADwAAAGRycy9kb3ducmV2LnhtbESPzWrDMBCE74W+g9hAbo2c0rTFsRyK&#10;IdCTQ50c2ttirX+ItXIlJXHePgoUehxm5hsm20xmEGdyvresYLlIQBDXVvfcKjjst0/vIHxA1jhY&#10;JgVX8rDJHx8yTLW98Bedq9CKCGGfooIuhDGV0tcdGfQLOxJHr7HOYIjStVI7vES4GeRzkrxKgz3H&#10;hQ5HKjqqj9XJKKhXRSj7wpV7vfsZml9qvstKKjWfTR9rEIGm8B/+a39qBW8vcP8Sf4DM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UrdkxAAAANsAAAAPAAAAAAAAAAAA&#10;AAAAAKECAABkcnMvZG93bnJldi54bWxQSwUGAAAAAAQABAD5AAAAkgMAAAAA&#10;" strokecolor="#31849b [2408]" strokeweight="5pt"/>
                    <v:shape id="AutoShape 82" o:spid="_x0000_s1036" type="#_x0000_t32" style="position:absolute;left:1416;top:10873;width:57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5SFsMAAADbAAAADwAAAGRycy9kb3ducmV2LnhtbESP3YrCMBSE7xd8h3AEb2RNddGVahQR&#10;RBH2wp8HODTHptic1CbW6tNvhIW9HGbmG2a+bG0pGqp94VjBcJCAIM6cLjhXcD5tPqcgfEDWWDom&#10;BU/ysFx0PuaYavfgAzXHkIsIYZ+iAhNClUrpM0MW/cBVxNG7uNpiiLLOpa7xEeG2lKMkmUiLBccF&#10;gxWtDWXX490qoB/XvlZbc5MhafZ3/Xp+7fprpXrddjUDEagN/+G/9k4r+B7D+0v8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eUhbDAAAA2wAAAA8AAAAAAAAAAAAA&#10;AAAAoQIAAGRycy9kb3ducmV2LnhtbFBLBQYAAAAABAAEAPkAAACRAwAAAAA=&#10;" strokecolor="#31849b [2408]" strokeweight="5pt"/>
                  </v:group>
                </v:group>
              </w:pict>
            </w:r>
          </w:p>
        </w:tc>
      </w:tr>
      <w:tr w:rsidR="003E6F2A" w:rsidTr="003E6F2A">
        <w:trPr>
          <w:trHeight w:val="2532"/>
        </w:trPr>
        <w:tc>
          <w:tcPr>
            <w:tcW w:w="9288"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3E6F2A" w:rsidRDefault="003E6F2A" w:rsidP="003E6F2A">
            <w:pPr>
              <w:rPr>
                <w:rFonts w:ascii="Times New Roman" w:hAnsi="Times New Roman"/>
                <w:sz w:val="6"/>
                <w:szCs w:val="6"/>
              </w:rPr>
            </w:pPr>
          </w:p>
          <w:p w:rsidR="003E6F2A" w:rsidRPr="00211134" w:rsidRDefault="003E6F2A" w:rsidP="003E6F2A">
            <w:pPr>
              <w:spacing w:line="240" w:lineRule="auto"/>
              <w:ind w:firstLine="2127"/>
              <w:rPr>
                <w:rFonts w:ascii="Times New Roman" w:hAnsi="Times New Roman"/>
                <w:sz w:val="6"/>
                <w:szCs w:val="6"/>
              </w:rPr>
            </w:pPr>
          </w:p>
          <w:p w:rsidR="003E6F2A" w:rsidRPr="00857F7D" w:rsidRDefault="003E6F2A" w:rsidP="003E6F2A">
            <w:pPr>
              <w:spacing w:line="240" w:lineRule="auto"/>
              <w:ind w:left="2694"/>
              <w:rPr>
                <w:rFonts w:ascii="Times New Roman" w:hAnsi="Times New Roman"/>
                <w:sz w:val="18"/>
                <w:szCs w:val="18"/>
              </w:rPr>
            </w:pPr>
            <w:r>
              <w:rPr>
                <w:rFonts w:ascii="Times New Roman" w:hAnsi="Times New Roman"/>
                <w:sz w:val="18"/>
                <w:szCs w:val="18"/>
              </w:rPr>
              <w:t>Bio</w:t>
            </w:r>
            <w:r w:rsidRPr="00857F7D">
              <w:rPr>
                <w:rFonts w:ascii="Times New Roman" w:hAnsi="Times New Roman"/>
                <w:sz w:val="18"/>
                <w:szCs w:val="18"/>
              </w:rPr>
              <w:t>, veuf et père 8 enfants, est un agricult</w:t>
            </w:r>
            <w:r w:rsidR="007E3ADC">
              <w:rPr>
                <w:rFonts w:ascii="Times New Roman" w:hAnsi="Times New Roman"/>
                <w:sz w:val="18"/>
                <w:szCs w:val="18"/>
              </w:rPr>
              <w:t>e</w:t>
            </w:r>
            <w:r w:rsidRPr="00857F7D">
              <w:rPr>
                <w:rFonts w:ascii="Times New Roman" w:hAnsi="Times New Roman"/>
                <w:sz w:val="18"/>
                <w:szCs w:val="18"/>
              </w:rPr>
              <w:t xml:space="preserve">ur qui n’a jamais fréquenté l’école et vit à </w:t>
            </w:r>
            <w:r w:rsidR="00961895">
              <w:rPr>
                <w:rFonts w:ascii="Times New Roman" w:hAnsi="Times New Roman"/>
                <w:sz w:val="18"/>
                <w:szCs w:val="18"/>
              </w:rPr>
              <w:t>D</w:t>
            </w:r>
            <w:r w:rsidR="00961895" w:rsidRPr="00857F7D">
              <w:rPr>
                <w:rFonts w:ascii="Times New Roman" w:hAnsi="Times New Roman"/>
                <w:sz w:val="18"/>
                <w:szCs w:val="18"/>
              </w:rPr>
              <w:t>jougou centre</w:t>
            </w:r>
            <w:r w:rsidRPr="00857F7D">
              <w:rPr>
                <w:rFonts w:ascii="Times New Roman" w:hAnsi="Times New Roman"/>
                <w:sz w:val="18"/>
                <w:szCs w:val="18"/>
              </w:rPr>
              <w:t xml:space="preserve">. Effectivement en 2006, la situation du ménage de </w:t>
            </w:r>
            <w:r>
              <w:rPr>
                <w:rFonts w:ascii="Times New Roman" w:hAnsi="Times New Roman"/>
                <w:sz w:val="18"/>
                <w:szCs w:val="18"/>
              </w:rPr>
              <w:t>Bio</w:t>
            </w:r>
            <w:r w:rsidRPr="00857F7D">
              <w:rPr>
                <w:rFonts w:ascii="Times New Roman" w:hAnsi="Times New Roman"/>
                <w:sz w:val="18"/>
                <w:szCs w:val="18"/>
              </w:rPr>
              <w:t xml:space="preserve"> était critique mais entre 2006 et 2009, les conditions de vie se sont améliorées ; si bien que son ménage est sorti de la pauvreté. Pour comprendre les raison de cet état de cause, il nous raconte sa vie : </w:t>
            </w:r>
          </w:p>
          <w:p w:rsidR="003E6F2A" w:rsidRPr="00857F7D" w:rsidRDefault="003E6F2A" w:rsidP="003E6F2A">
            <w:pPr>
              <w:spacing w:before="120" w:line="240" w:lineRule="auto"/>
              <w:ind w:firstLine="2268"/>
              <w:rPr>
                <w:rFonts w:ascii="Times New Roman" w:hAnsi="Times New Roman"/>
                <w:i/>
                <w:sz w:val="18"/>
                <w:szCs w:val="18"/>
              </w:rPr>
            </w:pPr>
            <w:r w:rsidRPr="00857F7D">
              <w:rPr>
                <w:rFonts w:ascii="Times New Roman" w:hAnsi="Times New Roman"/>
                <w:i/>
                <w:sz w:val="18"/>
                <w:szCs w:val="18"/>
              </w:rPr>
              <w:t>«Je suis cultivateur. A la fin de 2005, ma situation était déplorable parce que tout ce que je produisais, je ne récoltais rien pratiquement. En 2009, j’ai connu une campagne agricole très bonne. J’ai récolté beaucoup de maïs et j’en ai assez vendu. C’est  ce qui m’a permis de sortir de la pauvreté. En dépit de ceci, j’ai associé l’agriculture à l’élevage des poulets, pintades juste pour accroître mon revenu. Je suis né dans ce village et je n’ai jamais rêvé d’aller en exode. Je suis là avec les membres de ma famille. Je me sens à l’aise. Je cultive le maïs, l’igname pour  vendre. Je suis assisté d’un enfant. Nous sommes donc deux personnes à produire pour nourrir dix personnes. L’argent issu de cette activité est utilisé pour la scolarisation des enfants, la santé et les cérémonies funéraires. Pour faire face à cette charge, j’ai emprunté de l’argent dans une institution de micro finance afin d</w:t>
            </w:r>
            <w:r w:rsidR="007E3ADC">
              <w:rPr>
                <w:rFonts w:ascii="Times New Roman" w:hAnsi="Times New Roman"/>
                <w:i/>
                <w:sz w:val="18"/>
                <w:szCs w:val="18"/>
              </w:rPr>
              <w:t>’</w:t>
            </w:r>
            <w:r w:rsidRPr="00857F7D">
              <w:rPr>
                <w:rFonts w:ascii="Times New Roman" w:hAnsi="Times New Roman"/>
                <w:i/>
                <w:sz w:val="18"/>
                <w:szCs w:val="18"/>
              </w:rPr>
              <w:t xml:space="preserve">étendre la superficie de nos champs et faire l’élevage des poulets et cabris. </w:t>
            </w:r>
          </w:p>
          <w:p w:rsidR="003E6F2A" w:rsidRDefault="003E6F2A" w:rsidP="003E6F2A">
            <w:pPr>
              <w:spacing w:before="120" w:line="240" w:lineRule="auto"/>
              <w:rPr>
                <w:rFonts w:ascii="Times New Roman" w:hAnsi="Times New Roman"/>
                <w:i/>
                <w:sz w:val="18"/>
                <w:szCs w:val="18"/>
              </w:rPr>
            </w:pPr>
            <w:r w:rsidRPr="00857F7D">
              <w:rPr>
                <w:rFonts w:ascii="Times New Roman" w:hAnsi="Times New Roman"/>
                <w:i/>
                <w:sz w:val="18"/>
                <w:szCs w:val="18"/>
              </w:rPr>
              <w:t>Pour améliorer la situation de mon ménage, l’Etat doit nous emprunter de l’argent ou nous envoyer des intrants pour cultiver beaucoup de maïs, sorgho, igname. Avec cet argent, on peut engager des manœuvres et les payer.»</w:t>
            </w:r>
          </w:p>
          <w:p w:rsidR="00D93ED6" w:rsidRPr="00EC0912" w:rsidRDefault="004F064D" w:rsidP="003E6F2A">
            <w:pPr>
              <w:spacing w:before="120" w:line="240" w:lineRule="auto"/>
              <w:rPr>
                <w:rFonts w:ascii="Times New Roman" w:hAnsi="Times New Roman"/>
                <w:sz w:val="6"/>
                <w:szCs w:val="6"/>
              </w:rPr>
            </w:pPr>
            <w:r>
              <w:rPr>
                <w:rFonts w:ascii="Times New Roman" w:hAnsi="Times New Roman"/>
                <w:noProof/>
                <w:sz w:val="18"/>
                <w:szCs w:val="18"/>
                <w:lang w:val="en-US"/>
              </w:rPr>
              <w:pict>
                <v:group id="Group 91" o:spid="_x0000_s1037" style="position:absolute;left:0;text-align:left;margin-left:-3.55pt;margin-top:7.85pt;width:154.5pt;height:78.6pt;z-index:251692032" coordorigin="1416,10815" coordsize="249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">
                  <v:shape id="Text Box 92" o:spid="_x0000_s1038" type="#_x0000_t202" style="position:absolute;left:1416;top:10875;width:2499;height:1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KksQA&#10;AADbAAAADwAAAGRycy9kb3ducmV2LnhtbESPzWrDMBCE74W8g9hAb42cQH7qRg6l0NJCcsjPAyzW&#10;xha2Vq61Tdy3rwqBHIeZ+YZZbwbfqgv10QU2MJ1koIjLYB1XBk7H96cVqCjIFtvAZOCXImyK0cMa&#10;cxuuvKfLQSqVIBxzNFCLdLnWsazJY5yEjjh559B7lCT7StserwnuWz3LsoX26Dgt1NjRW01lc/jx&#10;BnaLr/DsdnP/4VbLbykl2mbYGvM4Hl5fQAkNcg/f2p/WwHwG/1/SD9D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SCpLEAAAA2wAAAA8AAAAAAAAAAAAAAAAAmAIAAGRycy9k&#10;b3ducmV2LnhtbFBLBQYAAAAABAAEAPUAAACJAwAAAAA=&#10;" fillcolor="#dbe5f1 [660]" stroked="f">
                    <v:textbox style="mso-next-textbox:#Text Box 92">
                      <w:txbxContent>
                        <w:p w:rsidR="008C2241" w:rsidRPr="0002446A" w:rsidRDefault="008C2241" w:rsidP="00152D2B">
                          <w:pPr>
                            <w:spacing w:line="276" w:lineRule="auto"/>
                            <w:jc w:val="left"/>
                            <w:rPr>
                              <w:rFonts w:ascii="Trebuchet MS" w:hAnsi="Trebuchet MS" w:cs="Consolas"/>
                              <w:b/>
                              <w:color w:val="0070C0"/>
                              <w:sz w:val="23"/>
                              <w:szCs w:val="23"/>
                            </w:rPr>
                          </w:pPr>
                          <w:r>
                            <w:rPr>
                              <w:rFonts w:ascii="Trebuchet MS" w:hAnsi="Trebuchet MS" w:cs="Consolas"/>
                              <w:b/>
                              <w:color w:val="0070C0"/>
                              <w:sz w:val="23"/>
                              <w:szCs w:val="23"/>
                            </w:rPr>
                            <w:t>Les c</w:t>
                          </w:r>
                          <w:r w:rsidRPr="0002446A">
                            <w:rPr>
                              <w:rFonts w:ascii="Trebuchet MS" w:hAnsi="Trebuchet MS" w:cs="Consolas"/>
                              <w:b/>
                              <w:color w:val="0070C0"/>
                              <w:sz w:val="23"/>
                              <w:szCs w:val="23"/>
                            </w:rPr>
                            <w:t>hocs biophysiques et sociaux : facteurs qui sont à la base d’entrée dans la pauvreté !</w:t>
                          </w:r>
                        </w:p>
                      </w:txbxContent>
                    </v:textbox>
                  </v:shape>
                  <v:group id="Group 93" o:spid="_x0000_s1039" style="position:absolute;left:1416;top:10815;width:369;height:1425" coordorigin="1416,10830" coordsize="579,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AutoShape 94" o:spid="_x0000_s1040" type="#_x0000_t32" style="position:absolute;left:1416;top:10830;width:1;height:1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tOn8MAAADbAAAADwAAAGRycy9kb3ducmV2LnhtbESPT2vCQBTE7wW/w/IEb82mQkpJXaUE&#10;BE8RYw96e2Rf/tDs27i7avz2bqHQ4zAzv2FWm8kM4kbO95YVvCUpCOLa6p5bBd/H7esHCB+QNQ6W&#10;ScGDPGzWs5cV5tre+UC3KrQiQtjnqKALYcyl9HVHBn1iR+LoNdYZDFG6VmqH9wg3g1ym6bs02HNc&#10;6HCkoqP6p7oaBXVWhLIvXHnU+/PQXKg5lZVUajGfvj5BBJrCf/ivvdMKsgx+v8QfIN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rTp/DAAAA2wAAAA8AAAAAAAAAAAAA&#10;AAAAoQIAAGRycy9kb3ducmV2LnhtbFBLBQYAAAAABAAEAPkAAACRAwAAAAA=&#10;" strokecolor="#31849b [2408]" strokeweight="5pt"/>
                    <v:shape id="AutoShape 95" o:spid="_x0000_s1041" type="#_x0000_t32" style="position:absolute;left:1416;top:10873;width:57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qh6MAAAADbAAAADwAAAGRycy9kb3ducmV2LnhtbERPzYrCMBC+C/sOYRa8iKYqytJtKiKI&#10;suBB3QcYmrEp20xqE2v16TcHwePH95+teluLjlpfOVYwnSQgiAunKy4V/J634y8QPiBrrB2Tggd5&#10;WOUfgwxT7e58pO4UShFD2KeowITQpFL6wpBFP3ENceQurrUYImxLqVu8x3Bby1mSLKXFimODwYY2&#10;hoq/080qoIPrn+uducqQdD83/XzM96ONUsPPfv0NIlAf3uKXe68VLOLY+CX+A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7qoejAAAAA2wAAAA8AAAAAAAAAAAAAAAAA&#10;oQIAAGRycy9kb3ducmV2LnhtbFBLBQYAAAAABAAEAPkAAACOAwAAAAA=&#10;" strokecolor="#31849b [2408]" strokeweight="5pt"/>
                  </v:group>
                </v:group>
              </w:pict>
            </w:r>
          </w:p>
        </w:tc>
      </w:tr>
      <w:tr w:rsidR="00152D2B" w:rsidTr="003A6048">
        <w:trPr>
          <w:trHeight w:val="347"/>
        </w:trPr>
        <w:tc>
          <w:tcPr>
            <w:tcW w:w="9288"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152D2B" w:rsidRPr="006A2D28" w:rsidRDefault="00152D2B" w:rsidP="0016388F">
            <w:pPr>
              <w:spacing w:before="160" w:line="240" w:lineRule="auto"/>
              <w:ind w:left="3119"/>
              <w:rPr>
                <w:rFonts w:ascii="Times New Roman" w:hAnsi="Times New Roman"/>
                <w:sz w:val="18"/>
                <w:szCs w:val="18"/>
              </w:rPr>
            </w:pPr>
            <w:r w:rsidRPr="006A2D28">
              <w:rPr>
                <w:rFonts w:ascii="Times New Roman" w:hAnsi="Times New Roman"/>
                <w:sz w:val="18"/>
                <w:szCs w:val="18"/>
              </w:rPr>
              <w:t>Adodjo, marié avec 5 person</w:t>
            </w:r>
            <w:r w:rsidR="00D33AF6">
              <w:rPr>
                <w:rFonts w:ascii="Times New Roman" w:hAnsi="Times New Roman"/>
                <w:sz w:val="18"/>
                <w:szCs w:val="18"/>
              </w:rPr>
              <w:t xml:space="preserve">nes en charge, est </w:t>
            </w:r>
            <w:r w:rsidR="00D33AF6" w:rsidRPr="00E7006F">
              <w:rPr>
                <w:rFonts w:ascii="Times New Roman" w:hAnsi="Times New Roman"/>
                <w:sz w:val="18"/>
                <w:szCs w:val="18"/>
              </w:rPr>
              <w:t>un agriculteur</w:t>
            </w:r>
            <w:r w:rsidRPr="006A2D28">
              <w:rPr>
                <w:rFonts w:ascii="Times New Roman" w:hAnsi="Times New Roman"/>
                <w:sz w:val="18"/>
                <w:szCs w:val="18"/>
              </w:rPr>
              <w:t xml:space="preserve"> qui a atteint le niveau Secondaire et vit à </w:t>
            </w:r>
            <w:r w:rsidR="00961895">
              <w:rPr>
                <w:rFonts w:ascii="Times New Roman" w:hAnsi="Times New Roman"/>
                <w:sz w:val="18"/>
                <w:szCs w:val="18"/>
              </w:rPr>
              <w:t>Z</w:t>
            </w:r>
            <w:r w:rsidR="00961895" w:rsidRPr="006A2D28">
              <w:rPr>
                <w:rFonts w:ascii="Times New Roman" w:hAnsi="Times New Roman"/>
                <w:sz w:val="18"/>
                <w:szCs w:val="18"/>
              </w:rPr>
              <w:t>a-kpota</w:t>
            </w:r>
            <w:r w:rsidR="00246605">
              <w:rPr>
                <w:rFonts w:ascii="Times New Roman" w:hAnsi="Times New Roman"/>
                <w:sz w:val="18"/>
                <w:szCs w:val="18"/>
              </w:rPr>
              <w:t xml:space="preserve"> c</w:t>
            </w:r>
            <w:r w:rsidR="00246605" w:rsidRPr="006A2D28">
              <w:rPr>
                <w:rFonts w:ascii="Times New Roman" w:hAnsi="Times New Roman"/>
                <w:sz w:val="18"/>
                <w:szCs w:val="18"/>
              </w:rPr>
              <w:t>entre</w:t>
            </w:r>
            <w:r w:rsidR="00246605">
              <w:rPr>
                <w:rFonts w:ascii="Times New Roman" w:hAnsi="Times New Roman"/>
                <w:sz w:val="18"/>
                <w:szCs w:val="18"/>
              </w:rPr>
              <w:t xml:space="preserve"> </w:t>
            </w:r>
            <w:r>
              <w:rPr>
                <w:rFonts w:ascii="Times New Roman" w:hAnsi="Times New Roman"/>
                <w:sz w:val="18"/>
                <w:szCs w:val="18"/>
              </w:rPr>
              <w:t>dans le département du Zou</w:t>
            </w:r>
            <w:r w:rsidRPr="006A2D28">
              <w:rPr>
                <w:rFonts w:ascii="Times New Roman" w:hAnsi="Times New Roman"/>
                <w:sz w:val="18"/>
                <w:szCs w:val="18"/>
              </w:rPr>
              <w:t xml:space="preserve">. </w:t>
            </w:r>
            <w:r>
              <w:rPr>
                <w:rFonts w:ascii="Times New Roman" w:hAnsi="Times New Roman"/>
                <w:sz w:val="18"/>
                <w:szCs w:val="18"/>
              </w:rPr>
              <w:t xml:space="preserve">Les conditions de vie </w:t>
            </w:r>
            <w:r w:rsidRPr="006A2D28">
              <w:rPr>
                <w:rFonts w:ascii="Times New Roman" w:hAnsi="Times New Roman"/>
                <w:sz w:val="18"/>
                <w:szCs w:val="18"/>
              </w:rPr>
              <w:t xml:space="preserve">de son  ménage </w:t>
            </w:r>
            <w:r>
              <w:rPr>
                <w:rFonts w:ascii="Times New Roman" w:hAnsi="Times New Roman"/>
                <w:sz w:val="18"/>
                <w:szCs w:val="18"/>
              </w:rPr>
              <w:t>n’</w:t>
            </w:r>
            <w:r w:rsidRPr="006A2D28">
              <w:rPr>
                <w:rFonts w:ascii="Times New Roman" w:hAnsi="Times New Roman"/>
                <w:sz w:val="18"/>
                <w:szCs w:val="18"/>
              </w:rPr>
              <w:t>étai</w:t>
            </w:r>
            <w:r>
              <w:rPr>
                <w:rFonts w:ascii="Times New Roman" w:hAnsi="Times New Roman"/>
                <w:sz w:val="18"/>
                <w:szCs w:val="18"/>
              </w:rPr>
              <w:t>ent</w:t>
            </w:r>
            <w:r w:rsidR="00246605">
              <w:rPr>
                <w:rFonts w:ascii="Times New Roman" w:hAnsi="Times New Roman"/>
                <w:sz w:val="18"/>
                <w:szCs w:val="18"/>
              </w:rPr>
              <w:t xml:space="preserve"> </w:t>
            </w:r>
            <w:r>
              <w:rPr>
                <w:rFonts w:ascii="Times New Roman" w:hAnsi="Times New Roman"/>
                <w:sz w:val="18"/>
                <w:szCs w:val="18"/>
              </w:rPr>
              <w:t>pas mal</w:t>
            </w:r>
            <w:r w:rsidR="00246605">
              <w:rPr>
                <w:rFonts w:ascii="Times New Roman" w:hAnsi="Times New Roman"/>
                <w:sz w:val="18"/>
                <w:szCs w:val="18"/>
              </w:rPr>
              <w:t xml:space="preserve"> </w:t>
            </w:r>
            <w:r>
              <w:rPr>
                <w:rFonts w:ascii="Times New Roman" w:hAnsi="Times New Roman"/>
                <w:sz w:val="18"/>
                <w:szCs w:val="18"/>
              </w:rPr>
              <w:t>en 2006 mais en 2009</w:t>
            </w:r>
            <w:r w:rsidRPr="006A2D28">
              <w:rPr>
                <w:rFonts w:ascii="Times New Roman" w:hAnsi="Times New Roman"/>
                <w:sz w:val="18"/>
                <w:szCs w:val="18"/>
              </w:rPr>
              <w:t>,</w:t>
            </w:r>
            <w:r>
              <w:rPr>
                <w:rFonts w:ascii="Times New Roman" w:hAnsi="Times New Roman"/>
                <w:sz w:val="18"/>
                <w:szCs w:val="18"/>
              </w:rPr>
              <w:t xml:space="preserve"> son</w:t>
            </w:r>
            <w:r w:rsidRPr="006A2D28">
              <w:rPr>
                <w:rFonts w:ascii="Times New Roman" w:hAnsi="Times New Roman"/>
                <w:sz w:val="18"/>
                <w:szCs w:val="18"/>
              </w:rPr>
              <w:t xml:space="preserve"> ménage est entré dans la pauvreté. Il explique </w:t>
            </w:r>
            <w:r>
              <w:rPr>
                <w:rFonts w:ascii="Times New Roman" w:hAnsi="Times New Roman"/>
                <w:sz w:val="18"/>
                <w:szCs w:val="18"/>
              </w:rPr>
              <w:t>cette</w:t>
            </w:r>
            <w:r w:rsidRPr="006A2D28">
              <w:rPr>
                <w:rFonts w:ascii="Times New Roman" w:hAnsi="Times New Roman"/>
                <w:sz w:val="18"/>
                <w:szCs w:val="18"/>
              </w:rPr>
              <w:t xml:space="preserve"> situation par </w:t>
            </w:r>
            <w:r>
              <w:rPr>
                <w:rFonts w:ascii="Times New Roman" w:hAnsi="Times New Roman"/>
                <w:sz w:val="18"/>
                <w:szCs w:val="18"/>
              </w:rPr>
              <w:t>les propos suivants</w:t>
            </w:r>
            <w:r w:rsidRPr="006A2D28">
              <w:rPr>
                <w:rFonts w:ascii="Times New Roman" w:hAnsi="Times New Roman"/>
                <w:sz w:val="18"/>
                <w:szCs w:val="18"/>
              </w:rPr>
              <w:t xml:space="preserve">: </w:t>
            </w:r>
          </w:p>
          <w:p w:rsidR="00152D2B" w:rsidRPr="006A2D28" w:rsidRDefault="00152D2B" w:rsidP="0016388F">
            <w:pPr>
              <w:spacing w:before="120" w:line="240" w:lineRule="auto"/>
              <w:ind w:firstLine="3119"/>
              <w:rPr>
                <w:rFonts w:ascii="Times New Roman" w:hAnsi="Times New Roman"/>
                <w:i/>
                <w:sz w:val="18"/>
                <w:szCs w:val="18"/>
              </w:rPr>
            </w:pPr>
            <w:r w:rsidRPr="006A2D28">
              <w:rPr>
                <w:rFonts w:ascii="Times New Roman" w:hAnsi="Times New Roman"/>
                <w:i/>
                <w:sz w:val="18"/>
                <w:szCs w:val="18"/>
              </w:rPr>
              <w:t>« Je suis cultivateur de maïs et du haricot ; je vais souvent travailler seul au champ pour ramener de vivres dans le ménage mais par moment ma femme m’aide. Pour dire la vérité c’est le manque d’argent dans le pays qui a fait que nous avons vécu cette situation. Aussi j’avais eu des problèmes dans le temps. Les pluies étaient rares et nos rendements champêtres étaient faibles. Je n’avais plus vendu beaucoup de vivres or c’est l’argent qui règle les problèmes. C’est l’origine de la pauvreté de mon ménage entre 2006-2009. Je ne reçois l’argent de nulle part, je me débrouille seul pour subvenir aux besoins du ménage. Je dépense l’argent pour les vivres de même qu’aux autres choses sans oublier l’habillement du ménage. Je n’effectue pas d’épargne. Aussi l’eau à utiliser dans le ménage est payée. Par ailleurs, j’ai perdu mes deux jumeaux ; ce qui avait pesé à partir de 2006. J’essaie de les surmonter les difficultés en faisant des prêts d’argent auprès de certains de mes frères  et quand je me retrouve, je les rembourse tout pour que prochainement ils gardent de bonnes impressions sur moi. J’ai souvent peur de l’argent des micro-finances car souvent les taux d’intérêt nous font peur car c’est l’argent de l’Etat qui ne pardonne pas. Nous voulons des prêts sans intérêt. Sur ce, ma femme peut faire correctement le commerce et être libre.</w:t>
            </w:r>
          </w:p>
          <w:p w:rsidR="00152D2B" w:rsidRPr="003A6048" w:rsidRDefault="00152D2B" w:rsidP="003A6048">
            <w:pPr>
              <w:spacing w:before="120" w:after="120" w:line="240" w:lineRule="auto"/>
              <w:rPr>
                <w:rFonts w:ascii="Times New Roman" w:hAnsi="Times New Roman"/>
                <w:i/>
                <w:sz w:val="18"/>
                <w:szCs w:val="18"/>
              </w:rPr>
            </w:pPr>
            <w:r w:rsidRPr="006A2D28">
              <w:rPr>
                <w:rFonts w:ascii="Times New Roman" w:hAnsi="Times New Roman"/>
                <w:i/>
                <w:sz w:val="18"/>
                <w:szCs w:val="18"/>
              </w:rPr>
              <w:t>Comme aide nous voulons que les autorités nous envoient de l’argent sous forme de prêt sans intérêt pour soulager les peines de mon ménage. Je souhaite que le Chef de l’Etat trouve beaucoup pour aider la population pour que la paix règne dans les ménages. Nous serons entrain de prier Dieu pour que tout aille de l’avant tout en travaillant toujours sans mettre de la paresse dedans car c’est notre avenir qui est en jeu.»</w:t>
            </w:r>
          </w:p>
        </w:tc>
      </w:tr>
      <w:tr w:rsidR="003E6F2A" w:rsidTr="00152D2B">
        <w:trPr>
          <w:trHeight w:val="2532"/>
        </w:trPr>
        <w:tc>
          <w:tcPr>
            <w:tcW w:w="2660" w:type="dxa"/>
            <w:tcBorders>
              <w:top w:val="single" w:sz="4" w:space="0" w:color="31849B" w:themeColor="accent5" w:themeShade="BF"/>
              <w:left w:val="single" w:sz="4" w:space="0" w:color="31849B" w:themeColor="accent5" w:themeShade="BF"/>
              <w:bottom w:val="nil"/>
              <w:right w:val="nil"/>
            </w:tcBorders>
            <w:shd w:val="clear" w:color="auto" w:fill="DBE5F1" w:themeFill="accent1" w:themeFillTint="33"/>
          </w:tcPr>
          <w:p w:rsidR="003E6F2A" w:rsidRPr="00AB5362" w:rsidRDefault="004F064D" w:rsidP="003E6F2A">
            <w:pPr>
              <w:spacing w:line="276" w:lineRule="auto"/>
              <w:rPr>
                <w:rFonts w:ascii="Times New Roman" w:hAnsi="Times New Roman"/>
                <w:sz w:val="6"/>
                <w:szCs w:val="6"/>
              </w:rPr>
            </w:pPr>
            <w:r>
              <w:rPr>
                <w:rFonts w:ascii="Times New Roman" w:hAnsi="Times New Roman"/>
                <w:noProof/>
                <w:sz w:val="6"/>
                <w:szCs w:val="6"/>
                <w:lang w:val="en-US"/>
              </w:rPr>
              <w:pict>
                <v:group id="Group 52" o:spid="_x0000_s1060" style="position:absolute;left:0;text-align:left;margin-left:-3.55pt;margin-top:-2.5pt;width:18.45pt;height:132.4pt;z-index:251683840;mso-position-horizontal-relative:text;mso-position-vertical-relative:text" coordorigin="1341,6592" coordsize="369,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">
                  <v:shape id="AutoShape 53" o:spid="_x0000_s1062" type="#_x0000_t32" style="position:absolute;left:1342;top:6592;width:0;height:26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V72sAAAADbAAAADwAAAGRycy9kb3ducmV2LnhtbERPu2rDMBTdC/kHcQPZajklLcW1EoKh&#10;kMmlToZ2u0jXD2JdOZKSuH9fDYWOh/Mud7MdxY18GBwrWGc5CGLtzMCdgtPx/fEVRIjIBkfHpOCH&#10;Auy2i4cSC+Pu/Em3JnYihXAoUEEf41RIGXRPFkPmJuLEtc5bjAn6ThqP9xRuR/mU5y/S4sCpoceJ&#10;qp70ublaBfq5ivVQ+fpoPr7H9kLtV91IpVbLef8GItIc/8V/7oNRsEnr05f0A+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Fe9rAAAAA2wAAAA8AAAAAAAAAAAAAAAAA&#10;oQIAAGRycy9kb3ducmV2LnhtbFBLBQYAAAAABAAEAPkAAACOAwAAAAA=&#10;" strokecolor="#31849b [2408]" strokeweight="5pt"/>
                  <v:shape id="AutoShape 54" o:spid="_x0000_s1061" type="#_x0000_t32" style="position:absolute;left:1341;top:6635;width:369;height: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AG3MMAAADbAAAADwAAAGRycy9kb3ducmV2LnhtbESP3YrCMBSE7xd8h3CEvVk0dRWRahQR&#10;ZEXwwp8HODTHptic1CbW6tNvBMHLYWa+YWaL1paiodoXjhUM+gkI4szpgnMFp+O6NwHhA7LG0jEp&#10;eJCHxbzzNcNUuzvvqTmEXEQI+xQVmBCqVEqfGbLo+64ijt7Z1RZDlHUudY33CLel/E2SsbRYcFww&#10;WNHKUHY53KwC2rn2ufwzVxmSZnvTz8dw87NS6rvbLqcgArXhE363N1rBaAyv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gBtzDAAAA2wAAAA8AAAAAAAAAAAAA&#10;AAAAoQIAAGRycy9kb3ducmV2LnhtbFBLBQYAAAAABAAEAPkAAACRAwAAAAA=&#10;" strokecolor="#31849b [2408]" strokeweight="5pt"/>
                </v:group>
              </w:pict>
            </w:r>
          </w:p>
          <w:p w:rsidR="003E6F2A" w:rsidRPr="00D14B25" w:rsidRDefault="003E6F2A" w:rsidP="003E6F2A">
            <w:pPr>
              <w:spacing w:before="60" w:line="240" w:lineRule="auto"/>
            </w:pPr>
            <w:r w:rsidRPr="00AB5362">
              <w:rPr>
                <w:b/>
                <w:noProof/>
                <w:lang w:eastAsia="fr-FR"/>
              </w:rPr>
              <w:drawing>
                <wp:inline distT="0" distB="0" distL="0" distR="0" wp14:anchorId="69C5ECCD" wp14:editId="691A69F5">
                  <wp:extent cx="1481339" cy="1500389"/>
                  <wp:effectExtent l="19050" t="0" r="4561" b="0"/>
                  <wp:docPr id="66" name="Image 5" descr="C:\RAIMI DOCS\INSAE\DSS\OPERATIONS ENQUETES ET ETUDE DSS\BANQUE MONDIALE_ ANALYSE PAUVRETE\Success Story\Rapport de supervision\Photos illustratives\Oueme-Plateau-Atlantique-Littoral\IMAG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IMI DOCS\INSAE\DSS\OPERATIONS ENQUETES ET ETUDE DSS\BANQUE MONDIALE_ ANALYSE PAUVRETE\Success Story\Rapport de supervision\Photos illustratives\Oueme-Plateau-Atlantique-Littoral\IMAG0026.JPG"/>
                          <pic:cNvPicPr>
                            <a:picLocks noChangeAspect="1" noChangeArrowheads="1"/>
                          </pic:cNvPicPr>
                        </pic:nvPicPr>
                        <pic:blipFill>
                          <a:blip r:embed="rId50" cstate="print"/>
                          <a:srcRect/>
                          <a:stretch>
                            <a:fillRect/>
                          </a:stretch>
                        </pic:blipFill>
                        <pic:spPr bwMode="auto">
                          <a:xfrm>
                            <a:off x="0" y="0"/>
                            <a:ext cx="1483847" cy="1502929"/>
                          </a:xfrm>
                          <a:prstGeom prst="rect">
                            <a:avLst/>
                          </a:prstGeom>
                          <a:noFill/>
                          <a:ln w="9525">
                            <a:noFill/>
                            <a:miter lim="800000"/>
                            <a:headEnd/>
                            <a:tailEnd/>
                          </a:ln>
                        </pic:spPr>
                      </pic:pic>
                    </a:graphicData>
                  </a:graphic>
                </wp:inline>
              </w:drawing>
            </w:r>
          </w:p>
        </w:tc>
        <w:tc>
          <w:tcPr>
            <w:tcW w:w="6628" w:type="dxa"/>
            <w:gridSpan w:val="3"/>
            <w:tcBorders>
              <w:top w:val="single" w:sz="4" w:space="0" w:color="31849B" w:themeColor="accent5" w:themeShade="BF"/>
              <w:left w:val="nil"/>
              <w:bottom w:val="nil"/>
              <w:right w:val="single" w:sz="4" w:space="0" w:color="31849B" w:themeColor="accent5" w:themeShade="BF"/>
            </w:tcBorders>
            <w:shd w:val="clear" w:color="auto" w:fill="DBE5F1" w:themeFill="accent1" w:themeFillTint="33"/>
          </w:tcPr>
          <w:p w:rsidR="003E6F2A" w:rsidRPr="00EC0912" w:rsidRDefault="003E6F2A" w:rsidP="003E6F2A">
            <w:pPr>
              <w:rPr>
                <w:rFonts w:ascii="Times New Roman" w:hAnsi="Times New Roman"/>
                <w:sz w:val="6"/>
                <w:szCs w:val="6"/>
              </w:rPr>
            </w:pPr>
          </w:p>
          <w:p w:rsidR="003E6F2A" w:rsidRPr="00AB5362" w:rsidRDefault="003E6F2A" w:rsidP="003E6F2A">
            <w:pPr>
              <w:spacing w:before="60" w:line="240" w:lineRule="auto"/>
              <w:rPr>
                <w:rFonts w:ascii="Times New Roman" w:hAnsi="Times New Roman"/>
                <w:sz w:val="18"/>
                <w:szCs w:val="18"/>
              </w:rPr>
            </w:pPr>
            <w:r w:rsidRPr="00AB5362">
              <w:rPr>
                <w:rFonts w:ascii="Times New Roman" w:hAnsi="Times New Roman"/>
                <w:sz w:val="18"/>
                <w:szCs w:val="18"/>
              </w:rPr>
              <w:t>B</w:t>
            </w:r>
            <w:r w:rsidR="00DD043F">
              <w:rPr>
                <w:rFonts w:ascii="Times New Roman" w:hAnsi="Times New Roman"/>
                <w:sz w:val="18"/>
                <w:szCs w:val="18"/>
              </w:rPr>
              <w:t>iossi</w:t>
            </w:r>
            <w:r w:rsidRPr="00AB5362">
              <w:rPr>
                <w:rFonts w:ascii="Times New Roman" w:hAnsi="Times New Roman"/>
                <w:sz w:val="18"/>
                <w:szCs w:val="18"/>
              </w:rPr>
              <w:t xml:space="preserve">, veuf avec 6 personnes en charge, est un agriculture qui n’a jamais fréquenté et vit à DANNOU, un village lacustre dans la commune de DANGBO depuis sa naissance. En 2006, la situation de son  ménage était plus ou moins bonne mais entre 2006 et 2009, les conditions de vie se sont dégradées ; si bien que ce ménage est entré dans la pauvreté. Il explique sa situation par : </w:t>
            </w:r>
          </w:p>
          <w:p w:rsidR="003E6F2A" w:rsidRPr="00AB5362" w:rsidRDefault="003E6F2A" w:rsidP="00886E00">
            <w:pPr>
              <w:spacing w:before="120" w:line="240" w:lineRule="auto"/>
              <w:rPr>
                <w:rFonts w:ascii="Times New Roman" w:hAnsi="Times New Roman"/>
                <w:b/>
                <w:i/>
                <w:sz w:val="18"/>
                <w:szCs w:val="18"/>
              </w:rPr>
            </w:pPr>
            <w:r w:rsidRPr="00AB5362">
              <w:rPr>
                <w:rFonts w:ascii="Times New Roman" w:hAnsi="Times New Roman"/>
                <w:i/>
                <w:sz w:val="18"/>
                <w:szCs w:val="18"/>
              </w:rPr>
              <w:t>« Je suis un agriculteur, je produis souvent du maïs et des produits maraîchers. Entre 2006 et 2009,  notre village a connu un excès de pluies et aussi des insectes qui ont détruit toutes mes productions. Je n’arrivais même plus à trouver de quoi se nourrir. Parfois il faut que mes enfants aillent</w:t>
            </w:r>
            <w:r w:rsidR="00886E00">
              <w:rPr>
                <w:rFonts w:ascii="Times New Roman" w:hAnsi="Times New Roman"/>
                <w:i/>
                <w:sz w:val="18"/>
                <w:szCs w:val="18"/>
              </w:rPr>
              <w:t xml:space="preserve"> travailler comme des manœuvres </w:t>
            </w:r>
            <w:r w:rsidRPr="00AB5362">
              <w:rPr>
                <w:rFonts w:ascii="Times New Roman" w:hAnsi="Times New Roman"/>
                <w:i/>
                <w:sz w:val="18"/>
                <w:szCs w:val="18"/>
              </w:rPr>
              <w:t xml:space="preserve"> </w:t>
            </w:r>
            <w:r w:rsidR="00886E00">
              <w:rPr>
                <w:rFonts w:ascii="Times New Roman" w:hAnsi="Times New Roman"/>
                <w:i/>
                <w:sz w:val="18"/>
                <w:szCs w:val="18"/>
              </w:rPr>
              <w:t xml:space="preserve">dans les </w:t>
            </w:r>
            <w:r w:rsidRPr="00AB5362">
              <w:rPr>
                <w:rFonts w:ascii="Times New Roman" w:hAnsi="Times New Roman"/>
                <w:i/>
                <w:sz w:val="18"/>
                <w:szCs w:val="18"/>
              </w:rPr>
              <w:t>champ</w:t>
            </w:r>
            <w:r w:rsidR="00886E00">
              <w:rPr>
                <w:rFonts w:ascii="Times New Roman" w:hAnsi="Times New Roman"/>
                <w:i/>
                <w:sz w:val="18"/>
                <w:szCs w:val="18"/>
              </w:rPr>
              <w:t>s</w:t>
            </w:r>
            <w:r w:rsidRPr="00AB5362">
              <w:rPr>
                <w:rFonts w:ascii="Times New Roman" w:hAnsi="Times New Roman"/>
                <w:i/>
                <w:sz w:val="18"/>
                <w:szCs w:val="18"/>
              </w:rPr>
              <w:t xml:space="preserve"> d’autrui avant que ma famille ne trouve un peu d’argent pour la consommation. Même le cour d’eau au bord duquel nous vivons ne renfermait pas beaucoup de poissons pour que l’on </w:t>
            </w:r>
          </w:p>
        </w:tc>
      </w:tr>
      <w:tr w:rsidR="003E6F2A" w:rsidTr="003E6F2A">
        <w:trPr>
          <w:trHeight w:val="542"/>
        </w:trPr>
        <w:tc>
          <w:tcPr>
            <w:tcW w:w="9288" w:type="dxa"/>
            <w:gridSpan w:val="4"/>
            <w:tcBorders>
              <w:top w:val="nil"/>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3E6F2A" w:rsidRPr="00EC0912" w:rsidRDefault="004F064D" w:rsidP="003E6F2A">
            <w:pPr>
              <w:spacing w:after="240" w:line="240" w:lineRule="auto"/>
              <w:rPr>
                <w:rFonts w:ascii="Times New Roman" w:hAnsi="Times New Roman"/>
                <w:sz w:val="6"/>
                <w:szCs w:val="6"/>
              </w:rPr>
            </w:pPr>
            <w:r>
              <w:rPr>
                <w:rFonts w:ascii="Times New Roman" w:hAnsi="Times New Roman"/>
                <w:noProof/>
                <w:sz w:val="18"/>
                <w:szCs w:val="18"/>
                <w:lang w:val="en-US"/>
              </w:rPr>
              <w:pict>
                <v:group id="Group 114" o:spid="_x0000_s1042" style="position:absolute;left:0;text-align:left;margin-left:-3.55pt;margin-top:32.05pt;width:129.75pt;height:60.45pt;z-index:251694080;mso-position-horizontal-relative:text;mso-position-vertical-relative:text" coordorigin="1416,10815" coordsize="249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">
                  <v:shape id="Text Box 115" o:spid="_x0000_s1043" type="#_x0000_t202" style="position:absolute;left:1416;top:10875;width:2499;height:1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9xRcQA&#10;AADbAAAADwAAAGRycy9kb3ducmV2LnhtbESP3WrCQBSE7wXfYTmF3ulGS/1JXUUKLS3ohWkf4JA9&#10;JovZszF7qunbdwuCl8PMfMOsNr1v1IW66AIbmIwzUMRlsI4rA99fb6MFqCjIFpvAZOCXImzWw8EK&#10;cxuufKBLIZVKEI45GqhF2lzrWNbkMY5DS5y8Y+g8SpJdpW2H1wT3jZ5m2Ux7dJwWamzptabyVPx4&#10;A/vZZ1i6/bN/d4v5WUqJ9tTvjHl86LcvoIR6uYdv7Q9r4GkC/1/SD9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fcUXEAAAA2wAAAA8AAAAAAAAAAAAAAAAAmAIAAGRycy9k&#10;b3ducmV2LnhtbFBLBQYAAAAABAAEAPUAAACJAwAAAAA=&#10;" fillcolor="#dbe5f1 [660]" stroked="f">
                    <v:textbox style="mso-next-textbox:#Text Box 115">
                      <w:txbxContent>
                        <w:p w:rsidR="008C2241" w:rsidRPr="00C939F5" w:rsidRDefault="008C2241" w:rsidP="003A6048">
                          <w:pPr>
                            <w:spacing w:line="276" w:lineRule="auto"/>
                            <w:jc w:val="left"/>
                            <w:rPr>
                              <w:rFonts w:ascii="Trebuchet MS" w:hAnsi="Trebuchet MS" w:cs="Consolas"/>
                              <w:b/>
                              <w:color w:val="0070C0"/>
                              <w:sz w:val="24"/>
                              <w:szCs w:val="24"/>
                            </w:rPr>
                          </w:pPr>
                          <w:r w:rsidRPr="00676B75">
                            <w:rPr>
                              <w:rFonts w:ascii="Trebuchet MS" w:hAnsi="Trebuchet MS" w:cs="Consolas"/>
                              <w:b/>
                              <w:color w:val="0070C0"/>
                              <w:sz w:val="28"/>
                              <w:szCs w:val="28"/>
                            </w:rPr>
                            <w:t>L</w:t>
                          </w:r>
                          <w:r w:rsidRPr="00676B75">
                            <w:rPr>
                              <w:rFonts w:ascii="Trebuchet MS" w:hAnsi="Trebuchet MS" w:cs="Consolas"/>
                              <w:b/>
                              <w:color w:val="0070C0"/>
                              <w:sz w:val="23"/>
                              <w:szCs w:val="23"/>
                            </w:rPr>
                            <w:t>a</w:t>
                          </w:r>
                          <w:r>
                            <w:rPr>
                              <w:rFonts w:ascii="Trebuchet MS" w:hAnsi="Trebuchet MS" w:cs="Consolas"/>
                              <w:b/>
                              <w:color w:val="0070C0"/>
                              <w:sz w:val="23"/>
                              <w:szCs w:val="23"/>
                            </w:rPr>
                            <w:t xml:space="preserve"> </w:t>
                          </w:r>
                          <w:r w:rsidRPr="00676B75">
                            <w:rPr>
                              <w:rFonts w:ascii="Trebuchet MS" w:hAnsi="Trebuchet MS" w:cs="Consolas"/>
                              <w:b/>
                              <w:color w:val="0070C0"/>
                              <w:sz w:val="23"/>
                              <w:szCs w:val="23"/>
                            </w:rPr>
                            <w:t>pluriactivité semble être une bonne stratégie !</w:t>
                          </w:r>
                        </w:p>
                      </w:txbxContent>
                    </v:textbox>
                  </v:shape>
                  <v:group id="Group 116" o:spid="_x0000_s1044" style="position:absolute;left:1416;top:10815;width:369;height:1425" coordorigin="1416,10830" coordsize="579,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AutoShape 117" o:spid="_x0000_s1045" type="#_x0000_t32" style="position:absolute;left:1416;top:10830;width:1;height:1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GW0MMAAADbAAAADwAAAGRycy9kb3ducmV2LnhtbESPT2vCQBTE70K/w/IK3nTTBqWkrqEE&#10;Cp5SjB7a2yP78odm36a7q8Zv3xUEj8PM/IbZ5JMZxJmc7y0reFkmIIhrq3tuFRwPn4s3ED4gaxws&#10;k4Ireci3T7MNZtpeeE/nKrQiQthnqKALYcyk9HVHBv3SjsTRa6wzGKJ0rdQOLxFuBvmaJGtpsOe4&#10;0OFIRUf1b3UyCupVEcq+cOVBf/0MzR8132UllZo/Tx/vIAJN4RG+t3daQZrC7Uv8AXL7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RltDDAAAA2wAAAA8AAAAAAAAAAAAA&#10;AAAAoQIAAGRycy9kb3ducmV2LnhtbFBLBQYAAAAABAAEAPkAAACRAwAAAAA=&#10;" strokecolor="#31849b [2408]" strokeweight="5pt"/>
                    <v:shape id="AutoShape 118" o:spid="_x0000_s1046" type="#_x0000_t32" style="position:absolute;left:1416;top:10873;width:57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rQOsQAAADbAAAADwAAAGRycy9kb3ducmV2LnhtbESP0WrCQBRE3wv+w3IFX0qzUaGVmFVE&#10;EEOhD7V+wCV7mw1m78bsmkS/vlso9HGYmTNMvh1tI3rqfO1YwTxJQRCXTtdcKTh/HV5WIHxA1tg4&#10;JgV38rDdTJ5yzLQb+JP6U6hEhLDPUIEJoc2k9KUhiz5xLXH0vl1nMUTZVVJ3OES4beQiTV+lxZrj&#10;gsGW9obKy+lmFdCHGx+7o7nKkPbvN/24L4vnvVKz6bhbgwg0hv/wX7vQCpZv8Psl/g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qtA6xAAAANsAAAAPAAAAAAAAAAAA&#10;AAAAAKECAABkcnMvZG93bnJldi54bWxQSwUGAAAAAAQABAD5AAAAkgMAAAAA&#10;" strokecolor="#31849b [2408]" strokeweight="5pt"/>
                  </v:group>
                </v:group>
              </w:pict>
            </w:r>
            <w:r w:rsidR="003E6F2A" w:rsidRPr="00AB5362">
              <w:rPr>
                <w:rFonts w:ascii="Times New Roman" w:hAnsi="Times New Roman"/>
                <w:i/>
                <w:sz w:val="18"/>
                <w:szCs w:val="18"/>
              </w:rPr>
              <w:t>pratique la pêche.</w:t>
            </w:r>
            <w:r w:rsidR="00246605">
              <w:rPr>
                <w:rFonts w:ascii="Times New Roman" w:hAnsi="Times New Roman"/>
                <w:i/>
                <w:sz w:val="18"/>
                <w:szCs w:val="18"/>
              </w:rPr>
              <w:t xml:space="preserve"> </w:t>
            </w:r>
            <w:r w:rsidR="003E6F2A" w:rsidRPr="00AB5362">
              <w:rPr>
                <w:rFonts w:ascii="Times New Roman" w:hAnsi="Times New Roman"/>
                <w:i/>
                <w:sz w:val="18"/>
                <w:szCs w:val="18"/>
              </w:rPr>
              <w:t>Je demande à l’Etat de m’aider à trouver un insecticide pouvant lutter contre ces insectes, aussi qu’on m’apporte des vivres. Notre village a également d’un centre de santé ainsi que l’eau potable. »</w:t>
            </w:r>
          </w:p>
        </w:tc>
      </w:tr>
      <w:tr w:rsidR="003A6048" w:rsidTr="0016388F">
        <w:trPr>
          <w:trHeight w:val="550"/>
        </w:trPr>
        <w:tc>
          <w:tcPr>
            <w:tcW w:w="9288"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3A6048" w:rsidRPr="000040EF" w:rsidRDefault="003A6048" w:rsidP="0016388F">
            <w:pPr>
              <w:spacing w:before="120" w:line="240" w:lineRule="auto"/>
              <w:ind w:left="2694"/>
              <w:rPr>
                <w:rFonts w:ascii="Times New Roman" w:hAnsi="Times New Roman"/>
                <w:sz w:val="18"/>
                <w:szCs w:val="18"/>
              </w:rPr>
            </w:pPr>
            <w:r w:rsidRPr="000040EF">
              <w:rPr>
                <w:rFonts w:ascii="Times New Roman" w:hAnsi="Times New Roman"/>
                <w:sz w:val="18"/>
                <w:szCs w:val="18"/>
              </w:rPr>
              <w:t>Claudine est une femme célibataire avec une seule fille en charge. Elle a atteint le niveau d’instruction primaire et vit à Cotonou depuis plusieurs années. Son  ménage est resté jamais pauvre sur la période 2006-2009. Elle fait par</w:t>
            </w:r>
            <w:r>
              <w:rPr>
                <w:rFonts w:ascii="Times New Roman" w:hAnsi="Times New Roman"/>
                <w:sz w:val="18"/>
                <w:szCs w:val="18"/>
              </w:rPr>
              <w:t>t</w:t>
            </w:r>
            <w:r w:rsidRPr="000040EF">
              <w:rPr>
                <w:rFonts w:ascii="Times New Roman" w:hAnsi="Times New Roman"/>
                <w:sz w:val="18"/>
                <w:szCs w:val="18"/>
              </w:rPr>
              <w:t xml:space="preserve"> de son expérience </w:t>
            </w:r>
            <w:r>
              <w:rPr>
                <w:rFonts w:ascii="Times New Roman" w:hAnsi="Times New Roman"/>
                <w:sz w:val="18"/>
                <w:szCs w:val="18"/>
              </w:rPr>
              <w:t>en ses termes</w:t>
            </w:r>
            <w:r w:rsidRPr="000040EF">
              <w:rPr>
                <w:rFonts w:ascii="Times New Roman" w:hAnsi="Times New Roman"/>
                <w:sz w:val="18"/>
                <w:szCs w:val="18"/>
              </w:rPr>
              <w:t xml:space="preserve"> : </w:t>
            </w:r>
          </w:p>
          <w:p w:rsidR="003A6048" w:rsidRPr="000040EF" w:rsidRDefault="003A6048" w:rsidP="0016388F">
            <w:pPr>
              <w:spacing w:before="120" w:line="240" w:lineRule="auto"/>
              <w:ind w:firstLine="2694"/>
              <w:rPr>
                <w:rFonts w:ascii="Times New Roman" w:hAnsi="Times New Roman"/>
                <w:i/>
                <w:sz w:val="18"/>
                <w:szCs w:val="18"/>
              </w:rPr>
            </w:pPr>
            <w:r w:rsidRPr="000040EF">
              <w:rPr>
                <w:rFonts w:ascii="Times New Roman" w:hAnsi="Times New Roman"/>
                <w:i/>
                <w:sz w:val="18"/>
                <w:szCs w:val="18"/>
              </w:rPr>
              <w:t xml:space="preserve">« Je suis couturière de formation mais depuis longtemps je fais du commerce ; je </w:t>
            </w:r>
            <w:r w:rsidR="00860280" w:rsidRPr="000040EF">
              <w:rPr>
                <w:rFonts w:ascii="Times New Roman" w:hAnsi="Times New Roman"/>
                <w:i/>
                <w:sz w:val="18"/>
                <w:szCs w:val="18"/>
              </w:rPr>
              <w:t>ven</w:t>
            </w:r>
            <w:r w:rsidR="00860280">
              <w:rPr>
                <w:rFonts w:ascii="Times New Roman" w:hAnsi="Times New Roman"/>
                <w:i/>
                <w:sz w:val="18"/>
                <w:szCs w:val="18"/>
              </w:rPr>
              <w:t>d</w:t>
            </w:r>
            <w:r w:rsidR="00860280" w:rsidRPr="000040EF">
              <w:rPr>
                <w:rFonts w:ascii="Times New Roman" w:hAnsi="Times New Roman"/>
                <w:i/>
                <w:sz w:val="18"/>
                <w:szCs w:val="18"/>
              </w:rPr>
              <w:t xml:space="preserve">s </w:t>
            </w:r>
            <w:r w:rsidRPr="000040EF">
              <w:rPr>
                <w:rFonts w:ascii="Times New Roman" w:hAnsi="Times New Roman"/>
                <w:i/>
                <w:sz w:val="18"/>
                <w:szCs w:val="18"/>
              </w:rPr>
              <w:t>d</w:t>
            </w:r>
            <w:r w:rsidR="00860280">
              <w:rPr>
                <w:rFonts w:ascii="Times New Roman" w:hAnsi="Times New Roman"/>
                <w:i/>
                <w:sz w:val="18"/>
                <w:szCs w:val="18"/>
              </w:rPr>
              <w:t>u</w:t>
            </w:r>
            <w:r w:rsidRPr="000040EF">
              <w:rPr>
                <w:rFonts w:ascii="Times New Roman" w:hAnsi="Times New Roman"/>
                <w:i/>
                <w:sz w:val="18"/>
                <w:szCs w:val="18"/>
              </w:rPr>
              <w:t xml:space="preserve"> charbon en détail et je fais du "moyo" et "akassa" pour vendre les dimanches en face de l’église "Sacre cœur".  Je fais d’économie c’est-à-dire qu’elle épargne l’argent que je gagne pour subvenir aux besoins de ma fille et aux besoins pour la nourriture à la maison.  Quand j’ai des difficultés parfois, j’utilise toujours mes revenus épargnés ; je ne sollicite l’aide de personne. Parfois mes sœurs et d’autres personnes me demandent comment je fais pour bien gérer mon argent et je m’en sors toujours. Avant, je prêtais de l’argent aux gens malheureusement, je n’arrivais pas à tout récupérer. Mais, depuis 2006, je ne prête plus mon argent aux gens car si tu as des difficultés tu ne trouveras personne pour t’aider. L’argent que </w:t>
            </w:r>
            <w:r w:rsidR="00860280">
              <w:rPr>
                <w:rFonts w:ascii="Times New Roman" w:hAnsi="Times New Roman"/>
                <w:i/>
                <w:sz w:val="18"/>
                <w:szCs w:val="18"/>
              </w:rPr>
              <w:t xml:space="preserve">je </w:t>
            </w:r>
            <w:r w:rsidRPr="000040EF">
              <w:rPr>
                <w:rFonts w:ascii="Times New Roman" w:hAnsi="Times New Roman"/>
                <w:i/>
                <w:sz w:val="18"/>
                <w:szCs w:val="18"/>
              </w:rPr>
              <w:t>trouve, je dépense pour mes besoins et j’épargne un peu.</w:t>
            </w:r>
          </w:p>
          <w:p w:rsidR="003A6048" w:rsidRPr="000040EF" w:rsidRDefault="003A6048" w:rsidP="0016388F">
            <w:pPr>
              <w:spacing w:before="120" w:line="240" w:lineRule="auto"/>
              <w:rPr>
                <w:rFonts w:ascii="Times New Roman" w:hAnsi="Times New Roman"/>
                <w:i/>
                <w:sz w:val="18"/>
                <w:szCs w:val="18"/>
              </w:rPr>
            </w:pPr>
            <w:r w:rsidRPr="000040EF">
              <w:rPr>
                <w:rFonts w:ascii="Times New Roman" w:hAnsi="Times New Roman"/>
                <w:i/>
                <w:sz w:val="18"/>
                <w:szCs w:val="18"/>
              </w:rPr>
              <w:t>Mon souhait, c’est de trouver un emploi pour travailler dans un bureau. Malheureusement, depuis longtemps, je cherche un emploi et je ne trouve pas. Comme aide, je souhaite que l’Etat me trouve du travail de quoi m’épanouir.  »</w:t>
            </w:r>
          </w:p>
          <w:p w:rsidR="003A6048" w:rsidRDefault="004F064D" w:rsidP="0016388F">
            <w:pPr>
              <w:spacing w:line="240" w:lineRule="auto"/>
              <w:rPr>
                <w:rFonts w:ascii="Times New Roman" w:hAnsi="Times New Roman"/>
                <w:noProof/>
                <w:sz w:val="18"/>
                <w:szCs w:val="18"/>
                <w:lang w:eastAsia="fr-FR"/>
              </w:rPr>
            </w:pPr>
            <w:r>
              <w:rPr>
                <w:rFonts w:ascii="Times New Roman" w:hAnsi="Times New Roman"/>
                <w:noProof/>
                <w:sz w:val="6"/>
                <w:szCs w:val="6"/>
                <w:lang w:val="en-US"/>
              </w:rPr>
              <w:pict>
                <v:group id="Group 55" o:spid="_x0000_s1057" style="position:absolute;left:0;text-align:left;margin-left:-3.55pt;margin-top:8.75pt;width:18.45pt;height:132.4pt;z-index:251684864" coordorigin="1341,6592" coordsize="369,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">
                  <v:shape id="AutoShape 56" o:spid="_x0000_s1059" type="#_x0000_t32" style="position:absolute;left:1342;top:6592;width:0;height:26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ySfMAAAADbAAAADwAAAGRycy9kb3ducmV2LnhtbERPu2rDMBTdC/0HcQvdarmGhuBaNsEQ&#10;yORSJ0O6XazrB7GuXElN3L+vhkLGw3kX1WpmcSXnJ8sKXpMUBHFn9cSDgtNx/7IF4QOyxtkyKfgl&#10;D1X5+FBgru2NP+nahkHEEPY5KhhDWHIpfTeSQZ/YhThyvXUGQ4RukNrhLYabWWZpupEGJ44NIy5U&#10;j9Rd2h+joHurQzPVrjnqj6+5/6b+3LRSqeendfcOItAa7uJ/90EryOLY+CX+AF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sknzAAAAA2wAAAA8AAAAAAAAAAAAAAAAA&#10;oQIAAGRycy9kb3ducmV2LnhtbFBLBQYAAAAABAAEAPkAAACOAwAAAAA=&#10;" strokecolor="#31849b [2408]" strokeweight="5pt"/>
                  <v:shape id="AutoShape 57" o:spid="_x0000_s1058" type="#_x0000_t32" style="position:absolute;left:1341;top:6635;width:369;height: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B3DsQAAADbAAAADwAAAGRycy9kb3ducmV2LnhtbESP0WrCQBRE3wv+w3KFvpRmYwqlxqwi&#10;giiFPtT6AZfsbTaYvRuza0z8+m5B8HGYmTNMsRpsI3rqfO1YwSxJQRCXTtdcKTj+bF8/QPiArLFx&#10;TApG8rBaTp4KzLW78jf1h1CJCGGfowITQptL6UtDFn3iWuLo/brOYoiyq6Tu8BrhtpFZmr5LizXH&#10;BYMtbQyVp8PFKqAvN9zWO3OWIe0/L/o2vu1fNko9T4f1AkSgITzC9/ZeK8j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oHcOxAAAANsAAAAPAAAAAAAAAAAA&#10;AAAAAKECAABkcnMvZG93bnJldi54bWxQSwUGAAAAAAQABAD5AAAAkgMAAAAA&#10;" strokecolor="#31849b [2408]" strokeweight="5pt"/>
                </v:group>
              </w:pict>
            </w:r>
          </w:p>
        </w:tc>
      </w:tr>
      <w:tr w:rsidR="003E6F2A" w:rsidTr="00152D2B">
        <w:trPr>
          <w:trHeight w:val="2532"/>
        </w:trPr>
        <w:tc>
          <w:tcPr>
            <w:tcW w:w="3227" w:type="dxa"/>
            <w:gridSpan w:val="2"/>
            <w:tcBorders>
              <w:top w:val="single" w:sz="4" w:space="0" w:color="31849B" w:themeColor="accent5" w:themeShade="BF"/>
              <w:left w:val="single" w:sz="4" w:space="0" w:color="31849B" w:themeColor="accent5" w:themeShade="BF"/>
              <w:bottom w:val="nil"/>
              <w:right w:val="nil"/>
            </w:tcBorders>
            <w:shd w:val="clear" w:color="auto" w:fill="DBE5F1" w:themeFill="accent1" w:themeFillTint="33"/>
          </w:tcPr>
          <w:p w:rsidR="003E6F2A" w:rsidRPr="00AB5362" w:rsidRDefault="003E6F2A" w:rsidP="003E6F2A">
            <w:pPr>
              <w:spacing w:line="276" w:lineRule="auto"/>
              <w:rPr>
                <w:rFonts w:ascii="Times New Roman" w:hAnsi="Times New Roman"/>
                <w:sz w:val="6"/>
                <w:szCs w:val="6"/>
              </w:rPr>
            </w:pPr>
          </w:p>
          <w:p w:rsidR="003E6F2A" w:rsidRPr="00D14B25" w:rsidRDefault="003E6F2A" w:rsidP="003E6F2A">
            <w:pPr>
              <w:spacing w:before="120" w:line="240" w:lineRule="auto"/>
            </w:pPr>
            <w:r w:rsidRPr="00A33632">
              <w:rPr>
                <w:b/>
                <w:noProof/>
                <w:lang w:eastAsia="fr-FR"/>
              </w:rPr>
              <w:drawing>
                <wp:inline distT="0" distB="0" distL="0" distR="0" wp14:anchorId="355FD504" wp14:editId="387BBB58">
                  <wp:extent cx="1842672" cy="1616299"/>
                  <wp:effectExtent l="19050" t="0" r="5178" b="0"/>
                  <wp:docPr id="68" name="Image 3" descr="C:\RAIMI DOCS\INSAE\DSS\OPERATIONS ENQUETES ET ETUDE DSS\BANQUE MONDIALE_ ANALYSE PAUVRETE\Success Story\Rapport de supervision\Photos illustratives\Oueme-Plateau-Atlantique-Littoral\IMAG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IMI DOCS\INSAE\DSS\OPERATIONS ENQUETES ET ETUDE DSS\BANQUE MONDIALE_ ANALYSE PAUVRETE\Success Story\Rapport de supervision\Photos illustratives\Oueme-Plateau-Atlantique-Littoral\IMAG0017.JPG"/>
                          <pic:cNvPicPr>
                            <a:picLocks noChangeAspect="1" noChangeArrowheads="1"/>
                          </pic:cNvPicPr>
                        </pic:nvPicPr>
                        <pic:blipFill>
                          <a:blip r:embed="rId51" cstate="print"/>
                          <a:srcRect/>
                          <a:stretch>
                            <a:fillRect/>
                          </a:stretch>
                        </pic:blipFill>
                        <pic:spPr bwMode="auto">
                          <a:xfrm>
                            <a:off x="0" y="0"/>
                            <a:ext cx="1844101" cy="1617552"/>
                          </a:xfrm>
                          <a:prstGeom prst="rect">
                            <a:avLst/>
                          </a:prstGeom>
                          <a:noFill/>
                          <a:ln w="9525">
                            <a:noFill/>
                            <a:miter lim="800000"/>
                            <a:headEnd/>
                            <a:tailEnd/>
                          </a:ln>
                        </pic:spPr>
                      </pic:pic>
                    </a:graphicData>
                  </a:graphic>
                </wp:inline>
              </w:drawing>
            </w:r>
          </w:p>
        </w:tc>
        <w:tc>
          <w:tcPr>
            <w:tcW w:w="6061" w:type="dxa"/>
            <w:gridSpan w:val="2"/>
            <w:tcBorders>
              <w:top w:val="single" w:sz="4" w:space="0" w:color="31849B" w:themeColor="accent5" w:themeShade="BF"/>
              <w:left w:val="nil"/>
              <w:bottom w:val="nil"/>
              <w:right w:val="single" w:sz="4" w:space="0" w:color="31849B" w:themeColor="accent5" w:themeShade="BF"/>
            </w:tcBorders>
            <w:shd w:val="clear" w:color="auto" w:fill="DBE5F1" w:themeFill="accent1" w:themeFillTint="33"/>
          </w:tcPr>
          <w:p w:rsidR="003E6F2A" w:rsidRPr="00EC0912" w:rsidRDefault="003E6F2A" w:rsidP="003E6F2A">
            <w:pPr>
              <w:spacing w:before="120"/>
              <w:rPr>
                <w:rFonts w:ascii="Times New Roman" w:hAnsi="Times New Roman"/>
                <w:sz w:val="6"/>
                <w:szCs w:val="6"/>
              </w:rPr>
            </w:pPr>
          </w:p>
          <w:p w:rsidR="003E6F2A" w:rsidRPr="00A33632" w:rsidRDefault="003E6F2A" w:rsidP="003E6F2A">
            <w:pPr>
              <w:spacing w:line="240" w:lineRule="auto"/>
              <w:rPr>
                <w:rFonts w:ascii="Times New Roman" w:hAnsi="Times New Roman"/>
                <w:sz w:val="18"/>
                <w:szCs w:val="18"/>
              </w:rPr>
            </w:pPr>
            <w:r w:rsidRPr="00A33632">
              <w:rPr>
                <w:rFonts w:ascii="Times New Roman" w:hAnsi="Times New Roman"/>
                <w:sz w:val="18"/>
                <w:szCs w:val="18"/>
              </w:rPr>
              <w:t>A</w:t>
            </w:r>
            <w:r>
              <w:rPr>
                <w:rFonts w:ascii="Times New Roman" w:hAnsi="Times New Roman"/>
                <w:sz w:val="18"/>
                <w:szCs w:val="18"/>
              </w:rPr>
              <w:t>k</w:t>
            </w:r>
            <w:r w:rsidRPr="00A33632">
              <w:rPr>
                <w:rFonts w:ascii="Times New Roman" w:hAnsi="Times New Roman"/>
                <w:sz w:val="18"/>
                <w:szCs w:val="18"/>
              </w:rPr>
              <w:t>étayo</w:t>
            </w:r>
            <w:r w:rsidR="00DD043F">
              <w:rPr>
                <w:rFonts w:ascii="Times New Roman" w:hAnsi="Times New Roman"/>
                <w:sz w:val="18"/>
                <w:szCs w:val="18"/>
              </w:rPr>
              <w:t>mi</w:t>
            </w:r>
            <w:r w:rsidRPr="00A33632">
              <w:rPr>
                <w:rFonts w:ascii="Times New Roman" w:hAnsi="Times New Roman"/>
                <w:sz w:val="18"/>
                <w:szCs w:val="18"/>
              </w:rPr>
              <w:t xml:space="preserve">, marié avec 12 personnes en charge, est un Agriculteur qui n’a jamais fréquenté et vit à Djohoun-Collé, dans la commune de </w:t>
            </w:r>
            <w:r w:rsidR="00246605" w:rsidRPr="00A33632">
              <w:rPr>
                <w:rFonts w:ascii="Times New Roman" w:hAnsi="Times New Roman"/>
                <w:sz w:val="18"/>
                <w:szCs w:val="18"/>
              </w:rPr>
              <w:t>Sak</w:t>
            </w:r>
            <w:r w:rsidR="00246605">
              <w:rPr>
                <w:rFonts w:ascii="Times New Roman" w:hAnsi="Times New Roman"/>
                <w:sz w:val="18"/>
                <w:szCs w:val="18"/>
              </w:rPr>
              <w:t>é</w:t>
            </w:r>
            <w:r w:rsidR="00246605" w:rsidRPr="00A33632">
              <w:rPr>
                <w:rFonts w:ascii="Times New Roman" w:hAnsi="Times New Roman"/>
                <w:sz w:val="18"/>
                <w:szCs w:val="18"/>
              </w:rPr>
              <w:t>t</w:t>
            </w:r>
            <w:r w:rsidR="00246605">
              <w:rPr>
                <w:rFonts w:ascii="Times New Roman" w:hAnsi="Times New Roman"/>
                <w:sz w:val="18"/>
                <w:szCs w:val="18"/>
              </w:rPr>
              <w:t>é</w:t>
            </w:r>
            <w:r w:rsidRPr="00A33632">
              <w:rPr>
                <w:rFonts w:ascii="Times New Roman" w:hAnsi="Times New Roman"/>
                <w:sz w:val="18"/>
                <w:szCs w:val="18"/>
              </w:rPr>
              <w:t xml:space="preserve">. Son  ménage est resté jamais pauvre sur la période 2006-2009. Il explique cette situation par ce qui suit : </w:t>
            </w:r>
          </w:p>
          <w:p w:rsidR="003E6F2A" w:rsidRPr="00A33632" w:rsidRDefault="003E6F2A" w:rsidP="003E6F2A">
            <w:pPr>
              <w:spacing w:before="120" w:line="240" w:lineRule="auto"/>
              <w:rPr>
                <w:rFonts w:ascii="Times New Roman" w:hAnsi="Times New Roman"/>
                <w:i/>
                <w:sz w:val="18"/>
                <w:szCs w:val="18"/>
              </w:rPr>
            </w:pPr>
            <w:r w:rsidRPr="00A33632">
              <w:rPr>
                <w:rFonts w:ascii="Times New Roman" w:hAnsi="Times New Roman"/>
                <w:i/>
                <w:sz w:val="18"/>
                <w:szCs w:val="18"/>
              </w:rPr>
              <w:t>« Je suis marié et j’ai 9 enfants. Je ne sors juste pour aller au marché. Je suis un agriculteur et je produis de l’huile rouge, je fais l’extraction du vin de palme et aussi de l’élevage. J’emploie des manœuvres pour m’aider dans l’exercice de mes activités. En plus de mes propres palmiers à huile et les noix de palme j’en achète aussi. Mes revenus me permettaient de m’approvisionner en matières premières telles que le palmier à huile et les noix de palme ; aussi, j’arrivais à faire face aux charges du ménage et j’arrivais à faire de l’épargne.</w:t>
            </w:r>
          </w:p>
        </w:tc>
      </w:tr>
      <w:tr w:rsidR="003E6F2A" w:rsidTr="003E6F2A">
        <w:trPr>
          <w:trHeight w:val="550"/>
        </w:trPr>
        <w:tc>
          <w:tcPr>
            <w:tcW w:w="9288" w:type="dxa"/>
            <w:gridSpan w:val="4"/>
            <w:tcBorders>
              <w:top w:val="nil"/>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3E6F2A" w:rsidRPr="00227793" w:rsidRDefault="004F064D" w:rsidP="003E6F2A">
            <w:pPr>
              <w:spacing w:line="240" w:lineRule="auto"/>
              <w:rPr>
                <w:rFonts w:ascii="Times New Roman" w:hAnsi="Times New Roman"/>
                <w:i/>
                <w:sz w:val="18"/>
                <w:szCs w:val="18"/>
              </w:rPr>
            </w:pPr>
            <w:r>
              <w:rPr>
                <w:rFonts w:ascii="Times New Roman" w:hAnsi="Times New Roman"/>
                <w:noProof/>
                <w:sz w:val="18"/>
                <w:szCs w:val="18"/>
                <w:lang w:val="en-US"/>
              </w:rPr>
              <w:pict>
                <v:group id="Group 63" o:spid="_x0000_s1047" style="position:absolute;left:0;text-align:left;margin-left:-3.55pt;margin-top:25.45pt;width:143.8pt;height:64.35pt;z-index:251686912;mso-position-horizontal-relative:text;mso-position-vertical-relative:text" coordorigin="1416,10815" coordsize="249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">
                  <v:shape id="Text Box 64" o:spid="_x0000_s1048" type="#_x0000_t202" style="position:absolute;left:1416;top:10875;width:2499;height:1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578MA&#10;AADbAAAADwAAAGRycy9kb3ducmV2LnhtbESPUWvCQBCE34X+h2OFvunFQDVGTymFlhb0odYfsOTW&#10;5DC3l+a2mv77XkHwcZiZb5j1dvCtulAfXWADs2kGirgK1nFt4Pj1OilARUG22AYmA78UYbt5GK2x&#10;tOHKn3Q5SK0ShGOJBhqRrtQ6Vg15jNPQESfvFHqPkmRfa9vjNcF9q/Msm2uPjtNCgx29NFSdDz/e&#10;wH7+EZZu/+TfXLH4lkqiPQ87Yx7Hw/MKlNAg9/Ct/W4N5Dn8f0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R578MAAADbAAAADwAAAAAAAAAAAAAAAACYAgAAZHJzL2Rv&#10;d25yZXYueG1sUEsFBgAAAAAEAAQA9QAAAIgDAAAAAA==&#10;" fillcolor="#dbe5f1 [660]" stroked="f">
                    <v:textbox style="mso-next-textbox:#Text Box 64">
                      <w:txbxContent>
                        <w:p w:rsidR="008C2241" w:rsidRPr="00C939F5" w:rsidRDefault="008C2241" w:rsidP="003E6F2A">
                          <w:pPr>
                            <w:spacing w:line="240" w:lineRule="auto"/>
                            <w:jc w:val="left"/>
                            <w:rPr>
                              <w:rFonts w:ascii="Trebuchet MS" w:hAnsi="Trebuchet MS" w:cs="Consolas"/>
                              <w:b/>
                              <w:color w:val="0070C0"/>
                              <w:sz w:val="24"/>
                              <w:szCs w:val="24"/>
                            </w:rPr>
                          </w:pPr>
                          <w:r>
                            <w:rPr>
                              <w:rFonts w:ascii="Trebuchet MS" w:hAnsi="Trebuchet MS" w:cs="Consolas"/>
                              <w:b/>
                              <w:color w:val="0070C0"/>
                              <w:sz w:val="28"/>
                              <w:szCs w:val="28"/>
                            </w:rPr>
                            <w:t>U</w:t>
                          </w:r>
                          <w:r>
                            <w:rPr>
                              <w:rFonts w:ascii="Trebuchet MS" w:hAnsi="Trebuchet MS" w:cs="Consolas"/>
                              <w:b/>
                              <w:color w:val="0070C0"/>
                              <w:sz w:val="23"/>
                              <w:szCs w:val="23"/>
                            </w:rPr>
                            <w:t xml:space="preserve">n actif occupé de plus dans le ménage ne suffit pas pour sortir de la pauvreté </w:t>
                          </w:r>
                        </w:p>
                      </w:txbxContent>
                    </v:textbox>
                  </v:shape>
                  <v:group id="Group 65" o:spid="_x0000_s1049" style="position:absolute;left:1416;top:10815;width:369;height:1425" coordorigin="1416,10830" coordsize="579,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utoShape 66" o:spid="_x0000_s1050" type="#_x0000_t32" style="position:absolute;left:1416;top:10830;width:1;height:1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094sIAAADbAAAADwAAAGRycy9kb3ducmV2LnhtbESPT4vCMBTE78J+h/CEvWmqoEjXKFIQ&#10;PFW2enBvj+b1DzYv3SRq99tvBMHjMDO/YdbbwXTiTs63lhXMpgkI4tLqlmsF59N+sgLhA7LGzjIp&#10;+CMP283HaI2ptg/+pnsRahEh7FNU0ITQp1L6siGDfmp74uhV1hkMUbpaaoePCDednCfJUhpsOS40&#10;2FPWUHktbkZBuchC3mYuP+njT1f9UnXJC6nU53jYfYEINIR3+NU+aAXzBTy/xB8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094sIAAADbAAAADwAAAAAAAAAAAAAA&#10;AAChAgAAZHJzL2Rvd25yZXYueG1sUEsFBgAAAAAEAAQA+QAAAJADAAAAAA==&#10;" strokecolor="#31849b [2408]" strokeweight="5pt"/>
                    <v:shape id="AutoShape 67" o:spid="_x0000_s1051" type="#_x0000_t32" style="position:absolute;left:1416;top:10873;width:57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jfMQAAADbAAAADwAAAGRycy9kb3ducmV2LnhtbESP0WrCQBRE3wv+w3IFX4rZ1IJIdCMi&#10;FIPQh9p+wCV7zQazd2N2TaJf7xYKfRxm5gyz2Y62ET11vnas4C1JQRCXTtdcKfj5/pivQPiArLFx&#10;TAru5GGbT142mGk38Bf1p1CJCGGfoQITQptJ6UtDFn3iWuLonV1nMUTZVVJ3OES4beQiTZfSYs1x&#10;wWBLe0Pl5XSzCujTjY/dwVxlSPvjTT/u78XrXqnZdNytQQQaw3/4r11oBYsl/H6JP0Dm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P+N8xAAAANsAAAAPAAAAAAAAAAAA&#10;AAAAAKECAABkcnMvZG93bnJldi54bWxQSwUGAAAAAAQABAD5AAAAkgMAAAAA&#10;" strokecolor="#31849b [2408]" strokeweight="5pt"/>
                  </v:group>
                </v:group>
              </w:pict>
            </w:r>
            <w:r w:rsidR="003E6F2A" w:rsidRPr="00A33632">
              <w:rPr>
                <w:rFonts w:ascii="Times New Roman" w:hAnsi="Times New Roman"/>
                <w:i/>
                <w:sz w:val="18"/>
                <w:szCs w:val="18"/>
              </w:rPr>
              <w:t>Je voudrais qu’on m’appuie en m’accordant un prêt car jusqu’à présent, je n’ai jamais eu de crédit auprès d’une institution de micro finance. Les femmes du village ont besoin aussi du micro-crédit. »</w:t>
            </w:r>
          </w:p>
        </w:tc>
      </w:tr>
      <w:tr w:rsidR="003E6F2A" w:rsidTr="003E6F2A">
        <w:trPr>
          <w:trHeight w:val="550"/>
        </w:trPr>
        <w:tc>
          <w:tcPr>
            <w:tcW w:w="9288"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3E6F2A" w:rsidRPr="00887E34" w:rsidRDefault="003E6F2A" w:rsidP="00224582">
            <w:pPr>
              <w:spacing w:before="120" w:line="240" w:lineRule="auto"/>
              <w:ind w:left="3119"/>
              <w:rPr>
                <w:rFonts w:ascii="Times New Roman" w:hAnsi="Times New Roman"/>
                <w:sz w:val="18"/>
                <w:szCs w:val="18"/>
              </w:rPr>
            </w:pPr>
            <w:r w:rsidRPr="00887E34">
              <w:rPr>
                <w:rFonts w:ascii="Times New Roman" w:hAnsi="Times New Roman"/>
                <w:sz w:val="18"/>
                <w:szCs w:val="18"/>
              </w:rPr>
              <w:t>Monsui, Célibataire avec 7 personnes en charge, est un agriculture qui n’a jamais fréquenté et vit à K</w:t>
            </w:r>
            <w:r w:rsidR="00961895" w:rsidRPr="00887E34">
              <w:rPr>
                <w:rFonts w:ascii="Times New Roman" w:hAnsi="Times New Roman"/>
                <w:sz w:val="18"/>
                <w:szCs w:val="18"/>
              </w:rPr>
              <w:t>ossodji</w:t>
            </w:r>
            <w:r w:rsidRPr="00887E34">
              <w:rPr>
                <w:rFonts w:ascii="Times New Roman" w:hAnsi="Times New Roman"/>
                <w:sz w:val="18"/>
                <w:szCs w:val="18"/>
              </w:rPr>
              <w:t>, dans la commune de D</w:t>
            </w:r>
            <w:r w:rsidR="00961895" w:rsidRPr="00887E34">
              <w:rPr>
                <w:rFonts w:ascii="Times New Roman" w:hAnsi="Times New Roman"/>
                <w:sz w:val="18"/>
                <w:szCs w:val="18"/>
              </w:rPr>
              <w:t>assa-</w:t>
            </w:r>
            <w:r w:rsidR="0002446A" w:rsidRPr="00887E34">
              <w:rPr>
                <w:rFonts w:ascii="Times New Roman" w:hAnsi="Times New Roman"/>
                <w:sz w:val="18"/>
                <w:szCs w:val="18"/>
              </w:rPr>
              <w:t>zoum</w:t>
            </w:r>
            <w:r w:rsidR="0002446A">
              <w:rPr>
                <w:rFonts w:ascii="Times New Roman" w:hAnsi="Times New Roman"/>
                <w:sz w:val="18"/>
                <w:szCs w:val="18"/>
              </w:rPr>
              <w:t>é</w:t>
            </w:r>
            <w:r w:rsidRPr="00887E34">
              <w:rPr>
                <w:rFonts w:ascii="Times New Roman" w:hAnsi="Times New Roman"/>
                <w:sz w:val="18"/>
                <w:szCs w:val="18"/>
              </w:rPr>
              <w:t xml:space="preserve">. Entre 2006 et 2009,  son  ménage  vivait dans de mauvaises conditions qui n’ont fait qu’empirer. Pour comprendre, il explique par ce qui suit : </w:t>
            </w:r>
          </w:p>
          <w:p w:rsidR="003E6F2A" w:rsidRPr="00887E34" w:rsidRDefault="0002446A" w:rsidP="003E6F2A">
            <w:pPr>
              <w:spacing w:before="120" w:line="240" w:lineRule="auto"/>
              <w:ind w:firstLine="2694"/>
              <w:rPr>
                <w:rFonts w:ascii="Times New Roman" w:hAnsi="Times New Roman"/>
                <w:i/>
                <w:sz w:val="18"/>
                <w:szCs w:val="18"/>
              </w:rPr>
            </w:pPr>
            <w:r>
              <w:rPr>
                <w:rFonts w:ascii="Times New Roman" w:hAnsi="Times New Roman"/>
                <w:i/>
                <w:sz w:val="18"/>
                <w:szCs w:val="18"/>
              </w:rPr>
              <w:t xml:space="preserve">   </w:t>
            </w:r>
            <w:r w:rsidR="003E6F2A" w:rsidRPr="00887E34">
              <w:rPr>
                <w:rFonts w:ascii="Times New Roman" w:hAnsi="Times New Roman"/>
                <w:i/>
                <w:sz w:val="18"/>
                <w:szCs w:val="18"/>
              </w:rPr>
              <w:t>« Nous sommes ici ça fait longtemps, personne n’a quitté le village dans mon ménage sur période</w:t>
            </w:r>
            <w:r w:rsidR="003E6F2A">
              <w:rPr>
                <w:rFonts w:ascii="Times New Roman" w:hAnsi="Times New Roman"/>
                <w:i/>
                <w:sz w:val="18"/>
                <w:szCs w:val="18"/>
              </w:rPr>
              <w:t xml:space="preserve"> 2006-2009</w:t>
            </w:r>
            <w:r w:rsidR="003E6F2A" w:rsidRPr="00887E34">
              <w:rPr>
                <w:rFonts w:ascii="Times New Roman" w:hAnsi="Times New Roman"/>
                <w:i/>
                <w:sz w:val="18"/>
                <w:szCs w:val="18"/>
              </w:rPr>
              <w:t xml:space="preserve">. Mon activité principale est l’agriculture ; je produis souvent du maïs. J’élève aussi des poulets, pintades, des moutons et chèvres. Nous persistons dans la pauvreté car, je travaille mais dans mon ménage tout le monde tombe malade fréquemment et c’est les maladies qui bouffent tous nos revenus. Maux de ventre, diarrhée, ulcère, aussi les funérailles. Mon père est tombé malade dans la période, mon frère aussi, ma femme a accouché difficilement. J’ai beaucoup dépensé. Nous étions dans un groupement avec ma femme. Mais on a quitté vers 2009 car, plutôt que nous progressions avec les prêts qu’on nous octroyait, nous sommes devenus plus pauvres. Ils nous ont trahi et emporté nos sous. Nous nous aimons dans le village. On s’entraide. Les gens aiment ma famille. Je n’ai pas de problème avec quelqu’un. Ma femme est aussi couturière mais m’aide dans le champ parfois ; elle me vient en aide aussi financièrement. C’est moi qui prends les dépenses de ménage en charge. Nous ne recevons pas d’argent de quelqu’un. Mais j’envoie d’argent à mes enfants, mes cousins, mes neveux et mes beaux-parents qui sont à Bohicon selon le besoin de chacun. Parfois je vends mes animaux que j’élève pour avoir d’argent. Je fais aussi de prêt de main à main qui me revient cher. Car parfois il faut payer le double de ce que tu as pris. Nous avons aussi eu accès aux microcrédits au plus pauvres qui m’a beaucoup soulagé dans la période. Mes revenus sont souvent utilisés dans le manger du ménage, les habillements des membres, la scolarité des enfants, les fournitures, le carburant, les manœuvres dans mon champ. Mes revenus sont très loin de couvrir ma consommation car j’ai beaucoup de gens à ma charge. </w:t>
            </w:r>
          </w:p>
          <w:p w:rsidR="00DD043F" w:rsidRPr="00887E34" w:rsidRDefault="003E6F2A" w:rsidP="003E6F2A">
            <w:pPr>
              <w:spacing w:before="120" w:line="240" w:lineRule="auto"/>
              <w:rPr>
                <w:rFonts w:ascii="Times New Roman" w:hAnsi="Times New Roman"/>
                <w:i/>
                <w:sz w:val="18"/>
                <w:szCs w:val="18"/>
              </w:rPr>
            </w:pPr>
            <w:r w:rsidRPr="00887E34">
              <w:rPr>
                <w:rFonts w:ascii="Times New Roman" w:hAnsi="Times New Roman"/>
                <w:i/>
                <w:sz w:val="18"/>
                <w:szCs w:val="18"/>
              </w:rPr>
              <w:t>Nos besoins en équipements communautaires sont nombreux. La voie de notre village est inaccessible, nous n’avons pas de maîtres dans notre école. Il n’y a pas de maternité pour nos femmes. Nous n’avons pas accès à l’eau potable.  Si j’ai quelque chose à demander au Chef de l’Etat, c’est de m’aider à développer mon élevage en me finançant. Je voudrais qu’il me fasse un gros prêt pour pouvoir m’acheter les matériels dont j’ai besoin pour l’élevage. Pour mon village, nous avons besoin des pompes, des puits, une unité de santé, une école avec des maîtres pour nos enfants. Des fournitures. Que l’Etat vienne assister nos femmes avec les microcrédits qu’on donne aujourd’hui aux femmes béninoises. »</w:t>
            </w:r>
          </w:p>
          <w:p w:rsidR="003E6F2A" w:rsidRPr="00A33632" w:rsidRDefault="004F064D" w:rsidP="003E6F2A">
            <w:pPr>
              <w:spacing w:line="240" w:lineRule="auto"/>
              <w:rPr>
                <w:rFonts w:ascii="Times New Roman" w:hAnsi="Times New Roman"/>
                <w:i/>
                <w:sz w:val="18"/>
                <w:szCs w:val="18"/>
              </w:rPr>
            </w:pPr>
            <w:r>
              <w:rPr>
                <w:rFonts w:ascii="Times New Roman" w:hAnsi="Times New Roman"/>
                <w:noProof/>
                <w:sz w:val="18"/>
                <w:szCs w:val="18"/>
                <w:lang w:val="en-US"/>
              </w:rPr>
              <w:pict>
                <v:group id="Group 73" o:spid="_x0000_s1052" style="position:absolute;left:0;text-align:left;margin-left:-3.65pt;margin-top:8.6pt;width:129.75pt;height:55.95pt;z-index:251688960" coordorigin="1416,10815" coordsize="249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">
                  <v:shape id="Text Box 74" o:spid="_x0000_s1053" type="#_x0000_t202" style="position:absolute;left:1416;top:10875;width:2499;height:1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rJsEA&#10;AADbAAAADwAAAGRycy9kb3ducmV2LnhtbERPzWrCQBC+F/oOyxR6azYVtBqzShEsFeqh1gcYsmOy&#10;mJ2N2anGt3eFQm/z8f1OuRx8q87URxfYwGuWgyKugnVcG9j/rF+moKIgW2wDk4ErRVguHh9KLGy4&#10;8Dedd1KrFMKxQAONSFdoHauGPMYsdMSJO4TeoyTY19r2eEnhvtWjPJ9oj45TQ4MdrRqqjrtfb2A7&#10;2YSZ2479h5u+naSSaI/DlzHPT8P7HJTQIP/iP/enTfPHcP8lHaA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RKybBAAAA2wAAAA8AAAAAAAAAAAAAAAAAmAIAAGRycy9kb3du&#10;cmV2LnhtbFBLBQYAAAAABAAEAPUAAACGAwAAAAA=&#10;" fillcolor="#dbe5f1 [660]" stroked="f">
                    <v:textbox style="mso-next-textbox:#Text Box 74">
                      <w:txbxContent>
                        <w:p w:rsidR="008C2241" w:rsidRPr="00C33CB5" w:rsidRDefault="008C2241" w:rsidP="003E6F2A">
                          <w:pPr>
                            <w:spacing w:line="240" w:lineRule="auto"/>
                            <w:jc w:val="left"/>
                            <w:rPr>
                              <w:sz w:val="23"/>
                              <w:szCs w:val="23"/>
                            </w:rPr>
                          </w:pPr>
                          <w:r w:rsidRPr="00C33CB5">
                            <w:rPr>
                              <w:rFonts w:ascii="Trebuchet MS" w:hAnsi="Trebuchet MS" w:cs="Consolas"/>
                              <w:b/>
                              <w:color w:val="0070C0"/>
                              <w:sz w:val="28"/>
                              <w:szCs w:val="28"/>
                            </w:rPr>
                            <w:t>U</w:t>
                          </w:r>
                          <w:r w:rsidRPr="00C33CB5">
                            <w:rPr>
                              <w:rFonts w:ascii="Trebuchet MS" w:hAnsi="Trebuchet MS" w:cs="Consolas"/>
                              <w:b/>
                              <w:color w:val="0070C0"/>
                              <w:sz w:val="23"/>
                              <w:szCs w:val="23"/>
                            </w:rPr>
                            <w:t>n ménage de grande taille est plus exposé à la pauvreté</w:t>
                          </w:r>
                        </w:p>
                      </w:txbxContent>
                    </v:textbox>
                  </v:shape>
                  <v:group id="Group 75" o:spid="_x0000_s1054" style="position:absolute;left:1416;top:10815;width:369;height:1425" coordorigin="1416,10830" coordsize="579,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AutoShape 76" o:spid="_x0000_s1055" type="#_x0000_t32" style="position:absolute;left:1416;top:10830;width:1;height:14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z9WsEAAADbAAAADwAAAGRycy9kb3ducmV2LnhtbERPS2vCQBC+C/0PyxR6042C0qauQQIF&#10;TxGjB3sbspMHzc6mu2tM/71bKPQ2H99zttlkejGS851lBctFAoK4srrjRsHl/DF/BeEDssbeMin4&#10;IQ/Z7mm2xVTbO59oLEMjYgj7FBW0IQyplL5qyaBf2IE4crV1BkOErpHa4T2Gm16ukmQjDXYcG1oc&#10;KG+p+ipvRkG1zkPR5a446+NnX39TfS1KqdTL87R/BxFoCv/iP/dBx/lv8PtLPED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jP1awQAAANsAAAAPAAAAAAAAAAAAAAAA&#10;AKECAABkcnMvZG93bnJldi54bWxQSwUGAAAAAAQABAD5AAAAjwMAAAAA&#10;" strokecolor="#31849b [2408]" strokeweight="5pt"/>
                    <v:shape id="AutoShape 77" o:spid="_x0000_s1056" type="#_x0000_t32" style="position:absolute;left:1416;top:10873;width:57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rek8EAAADbAAAADwAAAGRycy9kb3ducmV2LnhtbERP3WrCMBS+H/gO4Qy8GTNdB2NU0yLC&#10;UIRdzO0BDs2xKWtOahPb6NObC8HLj+9/VUXbiZEG3zpW8LbIQBDXTrfcKPj7/Xr9BOEDssbOMSm4&#10;kIeqnD2tsNBu4h8aD6ERKYR9gQpMCH0hpa8NWfQL1xMn7ugGiyHBoZF6wCmF207mWfYhLbacGgz2&#10;tDFU/x/OVgF9u3hdb81Jhmzcn/X18r572Sg1f47rJYhAMTzEd/dOK8jT+vQl/QBZ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mt6TwQAAANsAAAAPAAAAAAAAAAAAAAAA&#10;AKECAABkcnMvZG93bnJldi54bWxQSwUGAAAAAAQABAD5AAAAjwMAAAAA&#10;" strokecolor="#31849b [2408]" strokeweight="5pt"/>
                  </v:group>
                </v:group>
              </w:pict>
            </w:r>
          </w:p>
        </w:tc>
      </w:tr>
      <w:tr w:rsidR="003E6F2A" w:rsidTr="00DD043F">
        <w:trPr>
          <w:trHeight w:val="550"/>
        </w:trPr>
        <w:tc>
          <w:tcPr>
            <w:tcW w:w="9288"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tcPr>
          <w:p w:rsidR="003E6F2A" w:rsidRPr="00227793" w:rsidRDefault="003E6F2A" w:rsidP="003E6F2A">
            <w:pPr>
              <w:spacing w:before="120" w:line="240" w:lineRule="auto"/>
              <w:ind w:left="2835"/>
              <w:rPr>
                <w:rFonts w:ascii="Times New Roman" w:hAnsi="Times New Roman"/>
                <w:sz w:val="18"/>
                <w:szCs w:val="18"/>
              </w:rPr>
            </w:pPr>
            <w:r w:rsidRPr="00227793">
              <w:rPr>
                <w:rFonts w:ascii="Times New Roman" w:hAnsi="Times New Roman"/>
                <w:sz w:val="18"/>
                <w:szCs w:val="18"/>
              </w:rPr>
              <w:t>Raymond, marié avec 14 personnes en charge, est un Instituteur qui a atteint le niveau Secondaire et vit à Z</w:t>
            </w:r>
            <w:r w:rsidR="00961895" w:rsidRPr="00227793">
              <w:rPr>
                <w:rFonts w:ascii="Times New Roman" w:hAnsi="Times New Roman"/>
                <w:sz w:val="18"/>
                <w:szCs w:val="18"/>
              </w:rPr>
              <w:t>a-kpota</w:t>
            </w:r>
            <w:r w:rsidR="00246605">
              <w:rPr>
                <w:rFonts w:ascii="Times New Roman" w:hAnsi="Times New Roman"/>
                <w:sz w:val="18"/>
                <w:szCs w:val="18"/>
              </w:rPr>
              <w:t xml:space="preserve"> c</w:t>
            </w:r>
            <w:r w:rsidRPr="00227793">
              <w:rPr>
                <w:rFonts w:ascii="Times New Roman" w:hAnsi="Times New Roman"/>
                <w:sz w:val="18"/>
                <w:szCs w:val="18"/>
              </w:rPr>
              <w:t>entre, dans la commune de Z</w:t>
            </w:r>
            <w:r w:rsidR="00961895" w:rsidRPr="00227793">
              <w:rPr>
                <w:rFonts w:ascii="Times New Roman" w:hAnsi="Times New Roman"/>
                <w:sz w:val="18"/>
                <w:szCs w:val="18"/>
              </w:rPr>
              <w:t>a-kpota</w:t>
            </w:r>
            <w:r w:rsidRPr="00227793">
              <w:rPr>
                <w:rFonts w:ascii="Times New Roman" w:hAnsi="Times New Roman"/>
                <w:sz w:val="18"/>
                <w:szCs w:val="18"/>
              </w:rPr>
              <w:t xml:space="preserve">. Son  ménage est resté pauvre sur la période 2006-2009. Il explique cette situation par ce qui suit : </w:t>
            </w:r>
          </w:p>
          <w:p w:rsidR="003E6F2A" w:rsidRPr="00227793" w:rsidRDefault="003E6F2A" w:rsidP="003E6F2A">
            <w:pPr>
              <w:spacing w:before="120" w:line="240" w:lineRule="auto"/>
              <w:ind w:firstLine="2694"/>
              <w:rPr>
                <w:rFonts w:ascii="Times New Roman" w:hAnsi="Times New Roman"/>
                <w:i/>
                <w:sz w:val="18"/>
                <w:szCs w:val="18"/>
              </w:rPr>
            </w:pPr>
            <w:r w:rsidRPr="00227793">
              <w:rPr>
                <w:rFonts w:ascii="Times New Roman" w:hAnsi="Times New Roman"/>
                <w:i/>
                <w:sz w:val="18"/>
                <w:szCs w:val="18"/>
              </w:rPr>
              <w:t xml:space="preserve">« Il y a ce phénomène parce que vous savez que dans un ménage il faut conjuguer les efforts. Moi je suis polygame et en </w:t>
            </w:r>
            <w:r>
              <w:rPr>
                <w:rFonts w:ascii="Times New Roman" w:hAnsi="Times New Roman"/>
                <w:i/>
                <w:sz w:val="18"/>
                <w:szCs w:val="18"/>
              </w:rPr>
              <w:t>2006</w:t>
            </w:r>
            <w:r w:rsidRPr="00227793">
              <w:rPr>
                <w:rFonts w:ascii="Times New Roman" w:hAnsi="Times New Roman"/>
                <w:i/>
                <w:sz w:val="18"/>
                <w:szCs w:val="18"/>
              </w:rPr>
              <w:t>, mes cinq femmes ne faisaient rien pour m’aider à subvenir aux besoins du ménage. De ce fait, rien n’allait et mon problème c’est de veiller sur le ménage. Aussi je venais fraîchement d’être affecté du Nord vers Za-Kpota et le milieu a eu d’influence. Aussi le nombre d’enfants que j’ai à ma charge est aussi beaucoup. Le déménagement m’avait coûté cher et j’étais avide d’argent. La période de 2006 à 2009 m’a été catastrophique, car je n’avais plus les mêmes comportements que ceux de mon village.  Toutes les dépenses du ménage étaient à ma seule charge. En tant qu’instituteur, mon salaire ne nous couvrait pas tous les besoins du ménage. Mes femmes n’avaient pas compris qu’il faut aider leur mari. Pour elles, elles ont épousé un fonctionnaire et elles peuvent rester bras croisés et bénéficier de tout.  Pour faire face aux difficultés des dépenses du ménage, je me suis donné parallèlement aux travaux champêtres pour mieux couvrir les charges. Les revenus de ces travaux champêtres me reviennent au moins à trois cent mille francs (300 000F) par an. J’ai fait des hectares d’agrumes. Et aussi mon activité principale me générait deux cent cinquante mille francs (250 000F) par moi</w:t>
            </w:r>
            <w:r w:rsidR="00860280">
              <w:rPr>
                <w:rFonts w:ascii="Times New Roman" w:hAnsi="Times New Roman"/>
                <w:i/>
                <w:sz w:val="18"/>
                <w:szCs w:val="18"/>
              </w:rPr>
              <w:t>s</w:t>
            </w:r>
            <w:r w:rsidRPr="00227793">
              <w:rPr>
                <w:rFonts w:ascii="Times New Roman" w:hAnsi="Times New Roman"/>
                <w:i/>
                <w:sz w:val="18"/>
                <w:szCs w:val="18"/>
              </w:rPr>
              <w:t xml:space="preserve">. Tous ces revenus n’arrivaient pas à couvrir les charges du ménage. Etant donné que je m’adonne aussi aux champs, ma famille n’achète plus les vivres. Je n’arrivais pas à faire des prêts ici parce que je n’avais les issus pour le faire, et c’est surtout cela qui m’a orienté vers le champ et ça m’a beaucoup aidé. En moyenne j’envoyais 20 000F ailleurs par mois mais rien ne quitte l’extérieur. </w:t>
            </w:r>
          </w:p>
          <w:p w:rsidR="003E6F2A" w:rsidRPr="00227793" w:rsidRDefault="003E6F2A" w:rsidP="003E6F2A">
            <w:pPr>
              <w:spacing w:before="120" w:line="240" w:lineRule="auto"/>
              <w:rPr>
                <w:rFonts w:ascii="Times New Roman" w:hAnsi="Times New Roman"/>
                <w:i/>
                <w:sz w:val="18"/>
                <w:szCs w:val="18"/>
              </w:rPr>
            </w:pPr>
            <w:r w:rsidRPr="00227793">
              <w:rPr>
                <w:rFonts w:ascii="Times New Roman" w:hAnsi="Times New Roman"/>
                <w:i/>
                <w:sz w:val="18"/>
                <w:szCs w:val="18"/>
              </w:rPr>
              <w:t>J’ai des hectares d’agrumes actuellement. Si je veux, je peux vendre environ deux millions de francs (2 000 000 F) d’agrumes et aussi j’ai des champs de manioc. Je souhaiterais que les microcrédits aux plus pauvres soient encouragés et pérennes pour que les femmes soient libérées pour que nous les hommes soyons libres. J’invite les autorités à mieux traiter les fonctionnaires qu’auparavant pour qu’à la retraite les retraités soient un peu à l’aise. Mon intégration aujourd’hui dans la société de Za-Kpota est totale et je dirige plusieurs structures dans la commune et même la population me sollicite pour aller aux élections communales. Je souhaiterais que les autorités écoutent bien la population pour que le pays soit bien géré. Que les autorités épousent de bonnes idées pour accompagner le développement, j’ai aussi constaté que mes enfants sont sur de bonnes voies et peuvent s’autonomiser demain même s’ils ne trouvent pas de travail, car c’est le sort qui guide. »</w:t>
            </w:r>
          </w:p>
          <w:p w:rsidR="003E6F2A" w:rsidRDefault="003E6F2A" w:rsidP="003E6F2A">
            <w:pPr>
              <w:spacing w:line="240" w:lineRule="auto"/>
              <w:rPr>
                <w:rFonts w:ascii="Times New Roman" w:hAnsi="Times New Roman"/>
                <w:i/>
                <w:sz w:val="18"/>
                <w:szCs w:val="18"/>
              </w:rPr>
            </w:pPr>
          </w:p>
        </w:tc>
      </w:tr>
      <w:tr w:rsidR="00DD043F" w:rsidRPr="00DD043F" w:rsidTr="00DD043F">
        <w:trPr>
          <w:trHeight w:val="316"/>
        </w:trPr>
        <w:tc>
          <w:tcPr>
            <w:tcW w:w="9288" w:type="dxa"/>
            <w:gridSpan w:val="4"/>
            <w:tcBorders>
              <w:top w:val="single" w:sz="4" w:space="0" w:color="31849B" w:themeColor="accent5" w:themeShade="BF"/>
              <w:left w:val="nil"/>
              <w:bottom w:val="nil"/>
              <w:right w:val="nil"/>
            </w:tcBorders>
            <w:shd w:val="clear" w:color="auto" w:fill="DBE5F1" w:themeFill="accent1" w:themeFillTint="33"/>
          </w:tcPr>
          <w:p w:rsidR="00DD043F" w:rsidRPr="00DD043F" w:rsidRDefault="00DD043F" w:rsidP="009171B4">
            <w:pPr>
              <w:spacing w:line="240" w:lineRule="auto"/>
              <w:rPr>
                <w:rFonts w:ascii="Times New Roman" w:hAnsi="Times New Roman"/>
                <w:noProof/>
                <w:sz w:val="20"/>
                <w:szCs w:val="20"/>
                <w:lang w:eastAsia="fr-FR"/>
              </w:rPr>
            </w:pPr>
            <w:r w:rsidRPr="00DD043F">
              <w:rPr>
                <w:rFonts w:ascii="Times New Roman" w:hAnsi="Times New Roman"/>
                <w:noProof/>
                <w:sz w:val="20"/>
                <w:szCs w:val="20"/>
                <w:lang w:eastAsia="fr-FR"/>
              </w:rPr>
              <w:t xml:space="preserve">Source : </w:t>
            </w:r>
            <w:r>
              <w:rPr>
                <w:rFonts w:ascii="Times New Roman" w:hAnsi="Times New Roman"/>
                <w:noProof/>
                <w:sz w:val="20"/>
                <w:szCs w:val="20"/>
                <w:lang w:eastAsia="fr-FR"/>
              </w:rPr>
              <w:t>E</w:t>
            </w:r>
            <w:r w:rsidRPr="00DD043F">
              <w:rPr>
                <w:rFonts w:ascii="Times New Roman" w:hAnsi="Times New Roman"/>
                <w:sz w:val="20"/>
                <w:szCs w:val="20"/>
              </w:rPr>
              <w:t>nquête qualitative</w:t>
            </w:r>
            <w:r>
              <w:rPr>
                <w:rFonts w:ascii="Times New Roman" w:hAnsi="Times New Roman"/>
                <w:sz w:val="20"/>
                <w:szCs w:val="20"/>
              </w:rPr>
              <w:t xml:space="preserve"> 2013 sur le panel ménage 2006-2009</w:t>
            </w:r>
            <w:r w:rsidR="00C30EB1">
              <w:rPr>
                <w:rFonts w:ascii="Times New Roman" w:hAnsi="Times New Roman"/>
                <w:sz w:val="20"/>
                <w:szCs w:val="20"/>
              </w:rPr>
              <w:t xml:space="preserve">. Les interviewés ont donné leur accord pour l’exploitation des photos et les résultats de l’interview. </w:t>
            </w:r>
          </w:p>
        </w:tc>
      </w:tr>
    </w:tbl>
    <w:p w:rsidR="003E6F2A" w:rsidRDefault="003E6F2A" w:rsidP="003E6F2A">
      <w:pPr>
        <w:spacing w:line="276" w:lineRule="auto"/>
        <w:rPr>
          <w:rFonts w:ascii="Times New Roman" w:hAnsi="Times New Roman"/>
          <w:sz w:val="24"/>
          <w:szCs w:val="24"/>
        </w:rPr>
      </w:pPr>
    </w:p>
    <w:p w:rsidR="00B02824" w:rsidRDefault="00B02824" w:rsidP="00954048">
      <w:pPr>
        <w:pStyle w:val="Titre2"/>
        <w:rPr>
          <w:rFonts w:ascii="Times New Roman" w:hAnsi="Times New Roman"/>
          <w:i w:val="0"/>
          <w:color w:val="31849B" w:themeColor="accent5" w:themeShade="BF"/>
        </w:rPr>
      </w:pPr>
    </w:p>
    <w:p w:rsidR="00B02824" w:rsidRDefault="00B02824" w:rsidP="00954048">
      <w:pPr>
        <w:pStyle w:val="Titre2"/>
        <w:rPr>
          <w:rFonts w:ascii="Times New Roman" w:hAnsi="Times New Roman"/>
          <w:i w:val="0"/>
          <w:color w:val="31849B" w:themeColor="accent5" w:themeShade="BF"/>
        </w:rPr>
      </w:pPr>
    </w:p>
    <w:p w:rsidR="00B02824" w:rsidRDefault="00B02824" w:rsidP="00954048">
      <w:pPr>
        <w:pStyle w:val="Titre2"/>
        <w:rPr>
          <w:rFonts w:ascii="Times New Roman" w:hAnsi="Times New Roman"/>
          <w:i w:val="0"/>
          <w:color w:val="31849B" w:themeColor="accent5" w:themeShade="BF"/>
        </w:rPr>
        <w:sectPr w:rsidR="00B02824" w:rsidSect="001B4547">
          <w:pgSz w:w="11906" w:h="16838"/>
          <w:pgMar w:top="1081" w:right="1417" w:bottom="1417" w:left="1417" w:header="284" w:footer="708" w:gutter="0"/>
          <w:cols w:space="708"/>
          <w:docGrid w:linePitch="360"/>
        </w:sectPr>
      </w:pPr>
    </w:p>
    <w:p w:rsidR="003740B0" w:rsidRPr="00CC312E" w:rsidRDefault="001064B7" w:rsidP="00B02824">
      <w:pPr>
        <w:pStyle w:val="Titre2"/>
        <w:spacing w:before="0" w:after="0" w:line="240" w:lineRule="auto"/>
        <w:rPr>
          <w:rFonts w:ascii="Times New Roman" w:hAnsi="Times New Roman" w:cs="Times New Roman"/>
          <w:i w:val="0"/>
          <w:color w:val="31849B" w:themeColor="accent5" w:themeShade="BF"/>
        </w:rPr>
      </w:pPr>
      <w:bookmarkStart w:id="58" w:name="_Toc382322919"/>
      <w:r w:rsidRPr="00CC312E">
        <w:rPr>
          <w:rFonts w:ascii="Times New Roman" w:hAnsi="Times New Roman"/>
          <w:i w:val="0"/>
          <w:color w:val="31849B" w:themeColor="accent5" w:themeShade="BF"/>
        </w:rPr>
        <w:t>1</w:t>
      </w:r>
      <w:r w:rsidRPr="00CC312E">
        <w:rPr>
          <w:rFonts w:ascii="Times New Roman" w:hAnsi="Times New Roman" w:cs="Times New Roman"/>
          <w:i w:val="0"/>
          <w:color w:val="31849B" w:themeColor="accent5" w:themeShade="BF"/>
        </w:rPr>
        <w:t>.5</w:t>
      </w:r>
      <w:r w:rsidR="0002446A">
        <w:rPr>
          <w:rFonts w:ascii="Times New Roman" w:hAnsi="Times New Roman" w:cs="Times New Roman"/>
          <w:i w:val="0"/>
          <w:color w:val="31849B" w:themeColor="accent5" w:themeShade="BF"/>
        </w:rPr>
        <w:t xml:space="preserve"> </w:t>
      </w:r>
      <w:r w:rsidR="003B4EEA" w:rsidRPr="00CC312E">
        <w:rPr>
          <w:rFonts w:ascii="Times New Roman" w:hAnsi="Times New Roman" w:cs="Times New Roman"/>
          <w:i w:val="0"/>
          <w:color w:val="31849B" w:themeColor="accent5" w:themeShade="BF"/>
        </w:rPr>
        <w:t>Conclusion</w:t>
      </w:r>
      <w:bookmarkEnd w:id="58"/>
    </w:p>
    <w:p w:rsidR="00B02824" w:rsidRDefault="00B02824" w:rsidP="00604F48">
      <w:pPr>
        <w:spacing w:line="276" w:lineRule="auto"/>
        <w:rPr>
          <w:rFonts w:ascii="Times New Roman" w:eastAsia="Arial Unicode MS" w:hAnsi="Times New Roman"/>
          <w:sz w:val="24"/>
          <w:szCs w:val="24"/>
        </w:rPr>
      </w:pPr>
    </w:p>
    <w:p w:rsidR="00604F48" w:rsidRPr="00F80B5F" w:rsidRDefault="00604F48" w:rsidP="00604F48">
      <w:pPr>
        <w:spacing w:line="276" w:lineRule="auto"/>
        <w:rPr>
          <w:rFonts w:ascii="Times New Roman" w:eastAsia="Arial Unicode MS" w:hAnsi="Times New Roman"/>
          <w:sz w:val="24"/>
          <w:szCs w:val="24"/>
        </w:rPr>
      </w:pPr>
      <w:r w:rsidRPr="00F80B5F">
        <w:rPr>
          <w:rFonts w:ascii="Times New Roman" w:eastAsia="Arial Unicode MS" w:hAnsi="Times New Roman"/>
          <w:sz w:val="24"/>
          <w:szCs w:val="24"/>
        </w:rPr>
        <w:t>L’analyse comparative du profil de pauvreté montre</w:t>
      </w:r>
      <w:r>
        <w:rPr>
          <w:rFonts w:ascii="Times New Roman" w:eastAsia="Arial Unicode MS" w:hAnsi="Times New Roman"/>
          <w:sz w:val="24"/>
          <w:szCs w:val="24"/>
        </w:rPr>
        <w:t xml:space="preserve"> au niveau national,</w:t>
      </w:r>
      <w:r w:rsidR="0002446A">
        <w:rPr>
          <w:rFonts w:ascii="Times New Roman" w:eastAsia="Arial Unicode MS" w:hAnsi="Times New Roman"/>
          <w:sz w:val="24"/>
          <w:szCs w:val="24"/>
        </w:rPr>
        <w:t xml:space="preserve"> </w:t>
      </w:r>
      <w:r>
        <w:rPr>
          <w:rFonts w:ascii="Times New Roman" w:eastAsia="Arial Unicode MS" w:hAnsi="Times New Roman"/>
          <w:sz w:val="24"/>
          <w:szCs w:val="24"/>
        </w:rPr>
        <w:t>une évolution erratique de la pauvreté monétaire, contrairement à la pauvreté non monétaire</w:t>
      </w:r>
      <w:r w:rsidR="00DB3B3B">
        <w:rPr>
          <w:rFonts w:ascii="Times New Roman" w:eastAsia="Arial Unicode MS" w:hAnsi="Times New Roman"/>
          <w:sz w:val="24"/>
          <w:szCs w:val="24"/>
        </w:rPr>
        <w:t xml:space="preserve"> focalisée sur les conditions d’existence</w:t>
      </w:r>
      <w:r>
        <w:rPr>
          <w:rFonts w:ascii="Times New Roman" w:eastAsia="Arial Unicode MS" w:hAnsi="Times New Roman"/>
          <w:sz w:val="24"/>
          <w:szCs w:val="24"/>
        </w:rPr>
        <w:t xml:space="preserve"> qui connait une tendance à la baisse continue et conséquente depuis 2006. Ce dernier résultat semble traduire</w:t>
      </w:r>
      <w:r w:rsidR="0002446A">
        <w:rPr>
          <w:rFonts w:ascii="Times New Roman" w:eastAsia="Arial Unicode MS" w:hAnsi="Times New Roman"/>
          <w:sz w:val="24"/>
          <w:szCs w:val="24"/>
        </w:rPr>
        <w:t xml:space="preserve"> </w:t>
      </w:r>
      <w:r>
        <w:rPr>
          <w:rFonts w:ascii="Times New Roman" w:eastAsia="Arial Unicode MS" w:hAnsi="Times New Roman"/>
          <w:sz w:val="24"/>
          <w:szCs w:val="24"/>
        </w:rPr>
        <w:t>l’effort du gouvernement dans l’amélioration de l’accessibilité aux infrastructures de base</w:t>
      </w:r>
      <w:r w:rsidRPr="00220D8B">
        <w:rPr>
          <w:rFonts w:ascii="Times New Roman" w:eastAsia="Arial Unicode MS" w:hAnsi="Times New Roman"/>
          <w:sz w:val="24"/>
          <w:szCs w:val="24"/>
        </w:rPr>
        <w:t>. Il semble aussi traduire la prédisposition des ménages à accumuler des actifs physiques comme stratégies de survie face aux chocs exogènes.</w:t>
      </w:r>
    </w:p>
    <w:p w:rsidR="00604F48" w:rsidRPr="00B02824" w:rsidRDefault="00604F48" w:rsidP="00604F48">
      <w:pPr>
        <w:autoSpaceDE w:val="0"/>
        <w:autoSpaceDN w:val="0"/>
        <w:adjustRightInd w:val="0"/>
        <w:spacing w:line="276" w:lineRule="auto"/>
        <w:rPr>
          <w:rFonts w:ascii="Times New Roman" w:eastAsia="Arial Unicode MS" w:hAnsi="Times New Roman"/>
          <w:b/>
          <w:sz w:val="12"/>
          <w:szCs w:val="12"/>
        </w:rPr>
      </w:pPr>
    </w:p>
    <w:p w:rsidR="00604F48" w:rsidRPr="00B9640E" w:rsidRDefault="00604F48" w:rsidP="00604F48">
      <w:pPr>
        <w:autoSpaceDE w:val="0"/>
        <w:autoSpaceDN w:val="0"/>
        <w:adjustRightInd w:val="0"/>
        <w:spacing w:line="276" w:lineRule="auto"/>
        <w:rPr>
          <w:rFonts w:ascii="Times New Roman" w:hAnsi="Times New Roman"/>
          <w:sz w:val="24"/>
          <w:szCs w:val="24"/>
        </w:rPr>
      </w:pPr>
      <w:r w:rsidRPr="00294FF6">
        <w:rPr>
          <w:rFonts w:ascii="Times New Roman" w:eastAsia="Arial Unicode MS" w:hAnsi="Times New Roman"/>
          <w:sz w:val="24"/>
          <w:szCs w:val="24"/>
        </w:rPr>
        <w:t>Les résultats de cette analyse</w:t>
      </w:r>
      <w:r w:rsidR="0002446A">
        <w:rPr>
          <w:rFonts w:ascii="Times New Roman" w:eastAsia="Arial Unicode MS" w:hAnsi="Times New Roman"/>
          <w:sz w:val="24"/>
          <w:szCs w:val="24"/>
        </w:rPr>
        <w:t xml:space="preserve"> </w:t>
      </w:r>
      <w:r>
        <w:rPr>
          <w:rFonts w:ascii="Times New Roman" w:hAnsi="Times New Roman"/>
          <w:sz w:val="24"/>
        </w:rPr>
        <w:t xml:space="preserve">ont </w:t>
      </w:r>
      <w:r>
        <w:rPr>
          <w:rFonts w:ascii="Times New Roman" w:hAnsi="Times New Roman"/>
          <w:sz w:val="24"/>
          <w:szCs w:val="24"/>
        </w:rPr>
        <w:t xml:space="preserve">réaffirmé </w:t>
      </w:r>
      <w:r w:rsidR="00D35AD4">
        <w:rPr>
          <w:rFonts w:ascii="Times New Roman" w:hAnsi="Times New Roman"/>
          <w:sz w:val="24"/>
          <w:szCs w:val="24"/>
        </w:rPr>
        <w:t>la</w:t>
      </w:r>
      <w:r w:rsidRPr="00B9640E">
        <w:rPr>
          <w:rFonts w:ascii="Times New Roman" w:hAnsi="Times New Roman"/>
          <w:sz w:val="24"/>
          <w:szCs w:val="24"/>
        </w:rPr>
        <w:t xml:space="preserve"> forte corrélation de la pauvreté </w:t>
      </w:r>
      <w:r>
        <w:rPr>
          <w:rFonts w:ascii="Times New Roman" w:hAnsi="Times New Roman"/>
          <w:sz w:val="24"/>
          <w:szCs w:val="24"/>
        </w:rPr>
        <w:t xml:space="preserve">avec les différents attributs de la population tels que </w:t>
      </w:r>
      <w:r w:rsidRPr="00B9640E">
        <w:rPr>
          <w:rFonts w:ascii="Times New Roman" w:hAnsi="Times New Roman"/>
          <w:sz w:val="24"/>
          <w:szCs w:val="24"/>
        </w:rPr>
        <w:t>la localisation spatiale (urbain</w:t>
      </w:r>
      <w:r>
        <w:rPr>
          <w:rFonts w:ascii="Times New Roman" w:hAnsi="Times New Roman"/>
          <w:sz w:val="24"/>
          <w:szCs w:val="24"/>
        </w:rPr>
        <w:t>/rural), les formes d’emplois,</w:t>
      </w:r>
      <w:r w:rsidRPr="00B9640E">
        <w:rPr>
          <w:rFonts w:ascii="Times New Roman" w:hAnsi="Times New Roman"/>
          <w:sz w:val="24"/>
          <w:szCs w:val="24"/>
        </w:rPr>
        <w:t xml:space="preserve"> les statuts socioprofessionnels</w:t>
      </w:r>
      <w:r>
        <w:rPr>
          <w:rFonts w:ascii="Times New Roman" w:hAnsi="Times New Roman"/>
          <w:sz w:val="24"/>
          <w:szCs w:val="24"/>
        </w:rPr>
        <w:t xml:space="preserve">, la composition du ménage, le niveau d’instruction, le sexe du chef de ménage. </w:t>
      </w:r>
    </w:p>
    <w:p w:rsidR="00972D68" w:rsidRPr="00B02824" w:rsidRDefault="00972D68" w:rsidP="00604F48">
      <w:pPr>
        <w:spacing w:line="240" w:lineRule="auto"/>
        <w:rPr>
          <w:rFonts w:ascii="Times New Roman" w:eastAsia="Arial Unicode MS" w:hAnsi="Times New Roman"/>
          <w:sz w:val="12"/>
          <w:szCs w:val="12"/>
        </w:rPr>
      </w:pPr>
    </w:p>
    <w:p w:rsidR="00604F48" w:rsidRDefault="00604F48" w:rsidP="00604F48">
      <w:pPr>
        <w:autoSpaceDE w:val="0"/>
        <w:autoSpaceDN w:val="0"/>
        <w:adjustRightInd w:val="0"/>
        <w:spacing w:line="276" w:lineRule="auto"/>
        <w:rPr>
          <w:rFonts w:ascii="Times New Roman" w:eastAsia="Arial Unicode MS" w:hAnsi="Times New Roman"/>
          <w:sz w:val="24"/>
          <w:szCs w:val="24"/>
        </w:rPr>
      </w:pPr>
      <w:r w:rsidRPr="00A95602">
        <w:rPr>
          <w:rFonts w:ascii="Times New Roman" w:eastAsia="Arial Unicode MS" w:hAnsi="Times New Roman"/>
          <w:sz w:val="24"/>
          <w:szCs w:val="24"/>
        </w:rPr>
        <w:t xml:space="preserve">Ainsi, </w:t>
      </w:r>
      <w:r>
        <w:rPr>
          <w:rFonts w:ascii="Times New Roman" w:eastAsia="Arial Unicode MS" w:hAnsi="Times New Roman"/>
          <w:sz w:val="24"/>
          <w:szCs w:val="24"/>
        </w:rPr>
        <w:t xml:space="preserve">la pauvreté monétaire est plus répandue et prononcée en milieu rural. La situation inverse est notée en ce qui concerne la pauvreté non monétaire. </w:t>
      </w:r>
      <w:r w:rsidRPr="00F32785">
        <w:rPr>
          <w:rFonts w:ascii="Times New Roman" w:eastAsia="Arial Unicode MS" w:hAnsi="Times New Roman"/>
          <w:sz w:val="24"/>
          <w:szCs w:val="24"/>
        </w:rPr>
        <w:t>Au niveau régional, l’existence de fortes disparités est encore persistante.</w:t>
      </w:r>
      <w:r>
        <w:rPr>
          <w:rFonts w:ascii="Times New Roman" w:eastAsia="Arial Unicode MS" w:hAnsi="Times New Roman"/>
          <w:sz w:val="24"/>
          <w:szCs w:val="24"/>
        </w:rPr>
        <w:t xml:space="preserve"> Dans 25% des départements</w:t>
      </w:r>
      <w:r w:rsidR="00D35AD4">
        <w:rPr>
          <w:rFonts w:ascii="Times New Roman" w:eastAsia="Arial Unicode MS" w:hAnsi="Times New Roman"/>
          <w:sz w:val="24"/>
          <w:szCs w:val="24"/>
        </w:rPr>
        <w:t>,</w:t>
      </w:r>
      <w:r>
        <w:rPr>
          <w:rFonts w:ascii="Times New Roman" w:eastAsia="Arial Unicode MS" w:hAnsi="Times New Roman"/>
          <w:sz w:val="24"/>
          <w:szCs w:val="24"/>
        </w:rPr>
        <w:t xml:space="preserve"> la pauvreté </w:t>
      </w:r>
      <w:r w:rsidRPr="007B43D0">
        <w:rPr>
          <w:rFonts w:ascii="Times New Roman" w:eastAsia="Arial Unicode MS" w:hAnsi="Times New Roman"/>
          <w:sz w:val="24"/>
          <w:szCs w:val="24"/>
        </w:rPr>
        <w:t>a augmenté de 2006 à 2011</w:t>
      </w:r>
      <w:r>
        <w:rPr>
          <w:rFonts w:ascii="Times New Roman" w:eastAsia="Arial Unicode MS" w:hAnsi="Times New Roman"/>
          <w:sz w:val="24"/>
          <w:szCs w:val="24"/>
        </w:rPr>
        <w:t xml:space="preserve">. Dans le reste des cas, l’évolution a été plutôt erratique. Cette tendance peut en partie s’expliquer par les chocs auxquels les populations de ces différentes régions ont été exposées. </w:t>
      </w:r>
      <w:r w:rsidRPr="007B43D0">
        <w:rPr>
          <w:rFonts w:ascii="Times New Roman" w:eastAsia="Arial Unicode MS" w:hAnsi="Times New Roman"/>
          <w:sz w:val="24"/>
          <w:szCs w:val="24"/>
        </w:rPr>
        <w:t xml:space="preserve">Pour ce qui de la pauvreté non monétaire, malgré la baisse constatée au niveau national entre 2009 et 2011, certains départements ont connu néanmoins une aggravation de leurs conditions d’existence. En 2011, les départements de l’Atacora (58,1%), de l’Alibori (41,1%) et du Mono (40,9%) affichent les incidences de pauvreté non monétaire inquiétants.   </w:t>
      </w:r>
    </w:p>
    <w:p w:rsidR="00604F48" w:rsidRPr="00B02824" w:rsidRDefault="00604F48" w:rsidP="00604F48">
      <w:pPr>
        <w:spacing w:line="276" w:lineRule="auto"/>
        <w:rPr>
          <w:rFonts w:ascii="Times New Roman" w:eastAsia="Arial Unicode MS" w:hAnsi="Times New Roman"/>
          <w:sz w:val="12"/>
          <w:szCs w:val="12"/>
        </w:rPr>
      </w:pPr>
    </w:p>
    <w:p w:rsidR="00B02824" w:rsidRDefault="00604F48" w:rsidP="00B02824">
      <w:pPr>
        <w:autoSpaceDE w:val="0"/>
        <w:autoSpaceDN w:val="0"/>
        <w:adjustRightInd w:val="0"/>
        <w:spacing w:line="276" w:lineRule="auto"/>
        <w:rPr>
          <w:rFonts w:ascii="Times New Roman" w:eastAsia="Arial Unicode MS" w:hAnsi="Times New Roman"/>
          <w:sz w:val="24"/>
          <w:szCs w:val="24"/>
        </w:rPr>
      </w:pPr>
      <w:r w:rsidRPr="008B7B0D">
        <w:rPr>
          <w:rFonts w:ascii="Times New Roman" w:eastAsia="Arial Unicode MS" w:hAnsi="Times New Roman"/>
          <w:sz w:val="24"/>
          <w:szCs w:val="24"/>
        </w:rPr>
        <w:t xml:space="preserve">L’analyse selon le sexe du chef de ménage, montre que les ménages dirigés par les femmes semblent connaître moins la pauvreté monétaire. </w:t>
      </w:r>
      <w:r w:rsidR="00D257C6">
        <w:rPr>
          <w:rFonts w:ascii="Times New Roman" w:eastAsia="Arial Unicode MS" w:hAnsi="Times New Roman"/>
          <w:sz w:val="24"/>
          <w:szCs w:val="24"/>
        </w:rPr>
        <w:t>En plus des raisons</w:t>
      </w:r>
      <w:r w:rsidRPr="008B7B0D">
        <w:rPr>
          <w:rFonts w:ascii="Times New Roman" w:eastAsia="Arial Unicode MS" w:hAnsi="Times New Roman"/>
          <w:sz w:val="24"/>
          <w:szCs w:val="24"/>
        </w:rPr>
        <w:t xml:space="preserve"> liées </w:t>
      </w:r>
      <w:r w:rsidR="00D257C6">
        <w:rPr>
          <w:rFonts w:ascii="Times New Roman" w:eastAsia="Arial Unicode MS" w:hAnsi="Times New Roman"/>
          <w:sz w:val="24"/>
          <w:szCs w:val="24"/>
        </w:rPr>
        <w:t>à</w:t>
      </w:r>
      <w:r w:rsidR="0002446A">
        <w:rPr>
          <w:rFonts w:ascii="Times New Roman" w:eastAsia="Arial Unicode MS" w:hAnsi="Times New Roman"/>
          <w:sz w:val="24"/>
          <w:szCs w:val="24"/>
        </w:rPr>
        <w:t xml:space="preserve"> </w:t>
      </w:r>
      <w:r w:rsidR="00D257C6">
        <w:rPr>
          <w:rFonts w:ascii="Times New Roman" w:eastAsia="Arial Unicode MS" w:hAnsi="Times New Roman"/>
          <w:sz w:val="24"/>
          <w:szCs w:val="24"/>
        </w:rPr>
        <w:t>l’</w:t>
      </w:r>
      <w:r w:rsidRPr="008B7B0D">
        <w:rPr>
          <w:rFonts w:ascii="Times New Roman" w:eastAsia="Arial Unicode MS" w:hAnsi="Times New Roman"/>
          <w:sz w:val="24"/>
          <w:szCs w:val="24"/>
        </w:rPr>
        <w:t xml:space="preserve">autonomie économique suffisante </w:t>
      </w:r>
      <w:r w:rsidR="00D257C6">
        <w:rPr>
          <w:rFonts w:ascii="Times New Roman" w:eastAsia="Arial Unicode MS" w:hAnsi="Times New Roman"/>
          <w:sz w:val="24"/>
          <w:szCs w:val="24"/>
        </w:rPr>
        <w:t>de ces femmes et à leur statut matrimonial, il faut souligner le fait qu’a</w:t>
      </w:r>
      <w:r w:rsidRPr="008B7B0D">
        <w:rPr>
          <w:rFonts w:ascii="Times New Roman" w:eastAsia="Arial Unicode MS" w:hAnsi="Times New Roman"/>
          <w:sz w:val="24"/>
          <w:szCs w:val="24"/>
        </w:rPr>
        <w:t xml:space="preserve">ujourd’hui, </w:t>
      </w:r>
      <w:r w:rsidR="00D257C6">
        <w:rPr>
          <w:rFonts w:ascii="Times New Roman" w:eastAsia="Arial Unicode MS" w:hAnsi="Times New Roman"/>
          <w:sz w:val="24"/>
          <w:szCs w:val="24"/>
        </w:rPr>
        <w:t>elles</w:t>
      </w:r>
      <w:r w:rsidRPr="008B7B0D">
        <w:rPr>
          <w:rFonts w:ascii="Times New Roman" w:eastAsia="Arial Unicode MS" w:hAnsi="Times New Roman"/>
          <w:sz w:val="24"/>
          <w:szCs w:val="24"/>
        </w:rPr>
        <w:t xml:space="preserve"> bénéficient de plusieurs initiatives telles que le Micro Crédit aux Plus Pauvres qui pourraient </w:t>
      </w:r>
      <w:r w:rsidR="00737EEF">
        <w:rPr>
          <w:rFonts w:ascii="Times New Roman" w:eastAsia="Arial Unicode MS" w:hAnsi="Times New Roman"/>
          <w:sz w:val="24"/>
          <w:szCs w:val="24"/>
        </w:rPr>
        <w:t xml:space="preserve">leur permettre </w:t>
      </w:r>
      <w:r w:rsidRPr="008B7B0D">
        <w:rPr>
          <w:rFonts w:ascii="Times New Roman" w:eastAsia="Arial Unicode MS" w:hAnsi="Times New Roman"/>
          <w:sz w:val="24"/>
          <w:szCs w:val="24"/>
        </w:rPr>
        <w:t>de mener des ac</w:t>
      </w:r>
      <w:r w:rsidR="00D35AD4">
        <w:rPr>
          <w:rFonts w:ascii="Times New Roman" w:eastAsia="Arial Unicode MS" w:hAnsi="Times New Roman"/>
          <w:sz w:val="24"/>
          <w:szCs w:val="24"/>
        </w:rPr>
        <w:t>tivités génératrices de revenu</w:t>
      </w:r>
      <w:r w:rsidRPr="008B7B0D">
        <w:rPr>
          <w:rFonts w:ascii="Times New Roman" w:eastAsia="Arial Unicode MS" w:hAnsi="Times New Roman"/>
          <w:sz w:val="24"/>
          <w:szCs w:val="24"/>
        </w:rPr>
        <w:t xml:space="preserve"> susceptibles de contribuer à l’</w:t>
      </w:r>
      <w:r w:rsidR="00D35AD4">
        <w:rPr>
          <w:rFonts w:ascii="Times New Roman" w:eastAsia="Arial Unicode MS" w:hAnsi="Times New Roman"/>
          <w:sz w:val="24"/>
          <w:szCs w:val="24"/>
        </w:rPr>
        <w:t>amélioration de leur</w:t>
      </w:r>
      <w:r w:rsidRPr="008B7B0D">
        <w:rPr>
          <w:rFonts w:ascii="Times New Roman" w:eastAsia="Arial Unicode MS" w:hAnsi="Times New Roman"/>
          <w:sz w:val="24"/>
          <w:szCs w:val="24"/>
        </w:rPr>
        <w:t xml:space="preserve"> niveau de vie.</w:t>
      </w:r>
      <w:r w:rsidR="0002446A">
        <w:rPr>
          <w:rFonts w:ascii="Times New Roman" w:eastAsia="Arial Unicode MS" w:hAnsi="Times New Roman"/>
          <w:sz w:val="24"/>
          <w:szCs w:val="24"/>
        </w:rPr>
        <w:t xml:space="preserve"> </w:t>
      </w:r>
      <w:r w:rsidRPr="00D2633B">
        <w:rPr>
          <w:rFonts w:ascii="Times New Roman" w:eastAsia="Arial Unicode MS" w:hAnsi="Times New Roman"/>
          <w:sz w:val="24"/>
          <w:szCs w:val="24"/>
        </w:rPr>
        <w:t>Quant à la pauvreté non monétaire, elle touche plus les ménages dirigés par des femmes que ceux dirigés par des hommes.</w:t>
      </w:r>
    </w:p>
    <w:p w:rsidR="00B02824" w:rsidRPr="00B02824" w:rsidRDefault="00B02824" w:rsidP="00B02824">
      <w:pPr>
        <w:autoSpaceDE w:val="0"/>
        <w:autoSpaceDN w:val="0"/>
        <w:adjustRightInd w:val="0"/>
        <w:spacing w:line="276" w:lineRule="auto"/>
        <w:rPr>
          <w:rFonts w:ascii="Times New Roman" w:eastAsia="Arial Unicode MS" w:hAnsi="Times New Roman"/>
          <w:sz w:val="12"/>
          <w:szCs w:val="12"/>
        </w:rPr>
      </w:pPr>
    </w:p>
    <w:p w:rsidR="00604F48" w:rsidRDefault="00604F48" w:rsidP="00B02824">
      <w:pPr>
        <w:autoSpaceDE w:val="0"/>
        <w:autoSpaceDN w:val="0"/>
        <w:adjustRightInd w:val="0"/>
        <w:spacing w:line="276" w:lineRule="auto"/>
        <w:rPr>
          <w:rFonts w:ascii="Times New Roman" w:eastAsia="Arial Unicode MS" w:hAnsi="Times New Roman"/>
          <w:sz w:val="24"/>
          <w:szCs w:val="24"/>
        </w:rPr>
      </w:pPr>
      <w:r w:rsidRPr="0072002F">
        <w:rPr>
          <w:rFonts w:ascii="Times New Roman" w:hAnsi="Times New Roman"/>
          <w:sz w:val="24"/>
          <w:szCs w:val="24"/>
        </w:rPr>
        <w:t xml:space="preserve">Les résultats confirment également que la grande taille du ménage, </w:t>
      </w:r>
      <w:r w:rsidRPr="0072002F">
        <w:rPr>
          <w:rFonts w:ascii="Times New Roman" w:eastAsia="Arial Unicode MS" w:hAnsi="Times New Roman"/>
          <w:sz w:val="24"/>
          <w:szCs w:val="24"/>
        </w:rPr>
        <w:t>le faible niveau d’instruction du chef de ménage prédisposent les ménages  à la pauvreté. En 2011</w:t>
      </w:r>
      <w:r w:rsidR="00961895" w:rsidRPr="0072002F">
        <w:rPr>
          <w:rFonts w:ascii="Times New Roman" w:eastAsia="Arial Unicode MS" w:hAnsi="Times New Roman"/>
          <w:sz w:val="24"/>
          <w:szCs w:val="24"/>
        </w:rPr>
        <w:t>,</w:t>
      </w:r>
      <w:r w:rsidR="00961895">
        <w:rPr>
          <w:rFonts w:ascii="Times New Roman" w:eastAsia="Arial Unicode MS" w:hAnsi="Times New Roman"/>
          <w:sz w:val="24"/>
          <w:szCs w:val="24"/>
        </w:rPr>
        <w:t xml:space="preserve"> 59,3</w:t>
      </w:r>
      <w:r w:rsidRPr="0072002F">
        <w:rPr>
          <w:rFonts w:ascii="Times New Roman" w:eastAsia="Arial Unicode MS" w:hAnsi="Times New Roman"/>
          <w:sz w:val="24"/>
          <w:szCs w:val="24"/>
        </w:rPr>
        <w:t xml:space="preserve">% des individus vivant dans les ménages de plus de </w:t>
      </w:r>
      <w:r w:rsidR="00783F7F">
        <w:rPr>
          <w:rFonts w:ascii="Times New Roman" w:eastAsia="Arial Unicode MS" w:hAnsi="Times New Roman"/>
          <w:sz w:val="24"/>
          <w:szCs w:val="24"/>
        </w:rPr>
        <w:t>huit</w:t>
      </w:r>
      <w:r w:rsidR="0002446A">
        <w:rPr>
          <w:rFonts w:ascii="Times New Roman" w:eastAsia="Arial Unicode MS" w:hAnsi="Times New Roman"/>
          <w:sz w:val="24"/>
          <w:szCs w:val="24"/>
        </w:rPr>
        <w:t xml:space="preserve"> </w:t>
      </w:r>
      <w:r w:rsidRPr="0072002F">
        <w:rPr>
          <w:rFonts w:ascii="Times New Roman" w:eastAsia="Arial Unicode MS" w:hAnsi="Times New Roman"/>
          <w:sz w:val="24"/>
          <w:szCs w:val="24"/>
        </w:rPr>
        <w:t xml:space="preserve">personnes sont pauvres. Ils sont estimés respectivement à </w:t>
      </w:r>
      <w:r w:rsidR="00783F7F">
        <w:rPr>
          <w:rFonts w:ascii="Times New Roman" w:eastAsia="Arial Unicode MS" w:hAnsi="Times New Roman"/>
          <w:sz w:val="24"/>
          <w:szCs w:val="24"/>
        </w:rPr>
        <w:t>49</w:t>
      </w:r>
      <w:r w:rsidRPr="0072002F">
        <w:rPr>
          <w:rFonts w:ascii="Times New Roman" w:eastAsia="Arial Unicode MS" w:hAnsi="Times New Roman"/>
          <w:sz w:val="24"/>
          <w:szCs w:val="24"/>
        </w:rPr>
        <w:t>,</w:t>
      </w:r>
      <w:r w:rsidR="002A4641">
        <w:rPr>
          <w:rFonts w:ascii="Times New Roman" w:eastAsia="Arial Unicode MS" w:hAnsi="Times New Roman"/>
          <w:sz w:val="24"/>
          <w:szCs w:val="24"/>
        </w:rPr>
        <w:t>1</w:t>
      </w:r>
      <w:r w:rsidRPr="0072002F">
        <w:rPr>
          <w:rFonts w:ascii="Times New Roman" w:eastAsia="Arial Unicode MS" w:hAnsi="Times New Roman"/>
          <w:sz w:val="24"/>
          <w:szCs w:val="24"/>
        </w:rPr>
        <w:t xml:space="preserve">% et </w:t>
      </w:r>
      <w:r w:rsidR="00783F7F">
        <w:rPr>
          <w:rFonts w:ascii="Times New Roman" w:eastAsia="Arial Unicode MS" w:hAnsi="Times New Roman"/>
          <w:sz w:val="24"/>
          <w:szCs w:val="24"/>
        </w:rPr>
        <w:t>50,4</w:t>
      </w:r>
      <w:r w:rsidRPr="0072002F">
        <w:rPr>
          <w:rFonts w:ascii="Times New Roman" w:eastAsia="Arial Unicode MS" w:hAnsi="Times New Roman"/>
          <w:sz w:val="24"/>
          <w:szCs w:val="24"/>
        </w:rPr>
        <w:t xml:space="preserve">% en 2006 et 2009. </w:t>
      </w:r>
    </w:p>
    <w:p w:rsidR="00DD043F" w:rsidRPr="00B02824" w:rsidRDefault="00DD043F" w:rsidP="00604F48">
      <w:pPr>
        <w:spacing w:line="276" w:lineRule="auto"/>
        <w:rPr>
          <w:rFonts w:ascii="Times New Roman" w:hAnsi="Times New Roman"/>
          <w:sz w:val="12"/>
          <w:szCs w:val="12"/>
        </w:rPr>
      </w:pPr>
    </w:p>
    <w:p w:rsidR="00604F48" w:rsidRDefault="00604F48" w:rsidP="00604F48">
      <w:pPr>
        <w:spacing w:line="276" w:lineRule="auto"/>
        <w:rPr>
          <w:rFonts w:ascii="Times New Roman" w:hAnsi="Times New Roman"/>
          <w:sz w:val="24"/>
          <w:szCs w:val="24"/>
        </w:rPr>
      </w:pPr>
      <w:r w:rsidRPr="0072002F">
        <w:rPr>
          <w:rFonts w:ascii="Times New Roman" w:hAnsi="Times New Roman"/>
          <w:sz w:val="24"/>
          <w:szCs w:val="24"/>
        </w:rPr>
        <w:t xml:space="preserve">L’analyse de l’interaction entre la pauvreté et la branche d’activité du chef de ménage indique que la participation au marché du travail n’est pas considérée comme un facteur clé dans l’explication de la pauvreté au Bénin. </w:t>
      </w:r>
      <w:r>
        <w:rPr>
          <w:rFonts w:ascii="Times New Roman" w:hAnsi="Times New Roman"/>
          <w:sz w:val="24"/>
          <w:szCs w:val="24"/>
        </w:rPr>
        <w:t xml:space="preserve">Ceci pose ainsi </w:t>
      </w:r>
      <w:r w:rsidRPr="0072002F">
        <w:rPr>
          <w:rFonts w:ascii="Times New Roman" w:hAnsi="Times New Roman"/>
          <w:sz w:val="24"/>
          <w:szCs w:val="24"/>
        </w:rPr>
        <w:t xml:space="preserve"> globalement la question de la qualité de l’emploi</w:t>
      </w:r>
      <w:r>
        <w:rPr>
          <w:rFonts w:ascii="Times New Roman" w:hAnsi="Times New Roman"/>
          <w:sz w:val="24"/>
          <w:szCs w:val="24"/>
        </w:rPr>
        <w:t xml:space="preserve"> sur la</w:t>
      </w:r>
      <w:r w:rsidRPr="0072002F">
        <w:rPr>
          <w:rFonts w:ascii="Times New Roman" w:hAnsi="Times New Roman"/>
          <w:sz w:val="24"/>
          <w:szCs w:val="24"/>
        </w:rPr>
        <w:t>quelle les politiques de l’emploi devraient être axées étant donné que, le taux de salarisation est faible</w:t>
      </w:r>
      <w:r w:rsidR="00D35AD4">
        <w:rPr>
          <w:rFonts w:ascii="Times New Roman" w:hAnsi="Times New Roman"/>
          <w:sz w:val="24"/>
          <w:szCs w:val="24"/>
        </w:rPr>
        <w:t xml:space="preserve"> (10%)</w:t>
      </w:r>
      <w:r w:rsidRPr="0072002F">
        <w:rPr>
          <w:rFonts w:ascii="Times New Roman" w:hAnsi="Times New Roman"/>
          <w:sz w:val="24"/>
          <w:szCs w:val="24"/>
        </w:rPr>
        <w:t xml:space="preserve"> et </w:t>
      </w:r>
      <w:r w:rsidR="00D35AD4">
        <w:rPr>
          <w:rFonts w:ascii="Times New Roman" w:hAnsi="Times New Roman"/>
          <w:sz w:val="24"/>
          <w:szCs w:val="24"/>
        </w:rPr>
        <w:t xml:space="preserve">que </w:t>
      </w:r>
      <w:r w:rsidRPr="0072002F">
        <w:rPr>
          <w:rFonts w:ascii="Times New Roman" w:hAnsi="Times New Roman"/>
          <w:sz w:val="24"/>
          <w:szCs w:val="24"/>
        </w:rPr>
        <w:t xml:space="preserve">plus de la moitié de la population active occupée au Bénin </w:t>
      </w:r>
      <w:r>
        <w:rPr>
          <w:rFonts w:ascii="Times New Roman" w:hAnsi="Times New Roman"/>
          <w:sz w:val="24"/>
          <w:szCs w:val="24"/>
        </w:rPr>
        <w:t xml:space="preserve">est caractérisé par le sous-emploi. </w:t>
      </w:r>
    </w:p>
    <w:p w:rsidR="00604F48" w:rsidRPr="00B02824" w:rsidRDefault="00604F48" w:rsidP="00604F48">
      <w:pPr>
        <w:spacing w:line="276" w:lineRule="auto"/>
        <w:rPr>
          <w:rFonts w:ascii="Times New Roman" w:hAnsi="Times New Roman"/>
          <w:sz w:val="12"/>
          <w:szCs w:val="12"/>
        </w:rPr>
      </w:pPr>
    </w:p>
    <w:p w:rsidR="00604F48" w:rsidRDefault="00604F48" w:rsidP="00604F48">
      <w:pPr>
        <w:spacing w:line="276" w:lineRule="auto"/>
        <w:rPr>
          <w:rFonts w:ascii="Times New Roman" w:hAnsi="Times New Roman"/>
          <w:sz w:val="24"/>
          <w:szCs w:val="24"/>
        </w:rPr>
      </w:pPr>
      <w:r>
        <w:rPr>
          <w:rFonts w:ascii="Times New Roman" w:eastAsia="Arial Unicode MS" w:hAnsi="Times New Roman"/>
          <w:sz w:val="24"/>
          <w:szCs w:val="24"/>
        </w:rPr>
        <w:t>Les résultats ci-dessus ont été enrichis par l’analyse de la mobilité dans la pauvreté</w:t>
      </w:r>
      <w:r w:rsidR="00D35AD4">
        <w:rPr>
          <w:rFonts w:ascii="Times New Roman" w:eastAsia="Arial Unicode MS" w:hAnsi="Times New Roman"/>
          <w:sz w:val="24"/>
          <w:szCs w:val="24"/>
        </w:rPr>
        <w:t xml:space="preserve"> notamment la  pauvreté temporaire</w:t>
      </w:r>
      <w:r>
        <w:rPr>
          <w:rFonts w:ascii="Times New Roman" w:eastAsia="Arial Unicode MS" w:hAnsi="Times New Roman"/>
          <w:sz w:val="24"/>
          <w:szCs w:val="24"/>
        </w:rPr>
        <w:t xml:space="preserve"> (sorties et entrées dans la pauvreté)</w:t>
      </w:r>
      <w:r w:rsidR="00D35AD4">
        <w:rPr>
          <w:rFonts w:ascii="Times New Roman" w:eastAsia="Arial Unicode MS" w:hAnsi="Times New Roman"/>
          <w:sz w:val="24"/>
          <w:szCs w:val="24"/>
        </w:rPr>
        <w:t xml:space="preserve"> et permanente</w:t>
      </w:r>
      <w:r>
        <w:rPr>
          <w:rFonts w:ascii="Times New Roman" w:eastAsia="Arial Unicode MS" w:hAnsi="Times New Roman"/>
          <w:sz w:val="24"/>
          <w:szCs w:val="24"/>
        </w:rPr>
        <w:t xml:space="preserve">.  </w:t>
      </w:r>
      <w:r>
        <w:rPr>
          <w:rFonts w:ascii="Times New Roman" w:hAnsi="Times New Roman"/>
          <w:sz w:val="24"/>
          <w:szCs w:val="24"/>
        </w:rPr>
        <w:t xml:space="preserve">A cet effet, trois catégories de ménage ont été identifiés par rapport au critère de pauvreté. Il s’agit des </w:t>
      </w:r>
      <w:r w:rsidRPr="00241FB3">
        <w:rPr>
          <w:rFonts w:ascii="Times New Roman" w:hAnsi="Times New Roman"/>
          <w:sz w:val="24"/>
          <w:szCs w:val="24"/>
        </w:rPr>
        <w:t>ménages pauvres à toutes les p</w:t>
      </w:r>
      <w:r>
        <w:rPr>
          <w:rFonts w:ascii="Times New Roman" w:hAnsi="Times New Roman"/>
          <w:sz w:val="24"/>
          <w:szCs w:val="24"/>
        </w:rPr>
        <w:t>ériodes (pauvres persistants), des</w:t>
      </w:r>
      <w:r w:rsidRPr="00241FB3">
        <w:rPr>
          <w:rFonts w:ascii="Times New Roman" w:hAnsi="Times New Roman"/>
          <w:sz w:val="24"/>
          <w:szCs w:val="24"/>
        </w:rPr>
        <w:t xml:space="preserve"> ménages pauvres à certaines dat</w:t>
      </w:r>
      <w:r>
        <w:rPr>
          <w:rFonts w:ascii="Times New Roman" w:hAnsi="Times New Roman"/>
          <w:sz w:val="24"/>
          <w:szCs w:val="24"/>
        </w:rPr>
        <w:t xml:space="preserve">es (pauvres temporaires) et des </w:t>
      </w:r>
      <w:r w:rsidRPr="00241FB3">
        <w:rPr>
          <w:rFonts w:ascii="Times New Roman" w:hAnsi="Times New Roman"/>
          <w:sz w:val="24"/>
          <w:szCs w:val="24"/>
        </w:rPr>
        <w:t xml:space="preserve">ménages qui n’ont jamais connu de situation de pauvreté (jamais pauvres). </w:t>
      </w:r>
      <w:r w:rsidRPr="00D42E96">
        <w:rPr>
          <w:rFonts w:ascii="Times New Roman" w:hAnsi="Times New Roman"/>
          <w:sz w:val="24"/>
          <w:szCs w:val="24"/>
        </w:rPr>
        <w:t>Les pauvres temporaires constituent ici les ménages qui entrent dans la pauvreté et ceux qui en sortent</w:t>
      </w:r>
      <w:r>
        <w:rPr>
          <w:rFonts w:ascii="Times New Roman" w:hAnsi="Times New Roman"/>
          <w:sz w:val="24"/>
          <w:szCs w:val="24"/>
        </w:rPr>
        <w:t xml:space="preserve">. </w:t>
      </w:r>
    </w:p>
    <w:p w:rsidR="00604F48" w:rsidRPr="00B02824" w:rsidRDefault="00604F48" w:rsidP="00604F48">
      <w:pPr>
        <w:spacing w:line="276" w:lineRule="auto"/>
        <w:rPr>
          <w:rFonts w:ascii="Times New Roman" w:hAnsi="Times New Roman"/>
          <w:sz w:val="12"/>
          <w:szCs w:val="12"/>
        </w:rPr>
      </w:pPr>
    </w:p>
    <w:p w:rsidR="00604F48" w:rsidRPr="007B43D0" w:rsidRDefault="00604F48" w:rsidP="00604F48">
      <w:pPr>
        <w:spacing w:line="276" w:lineRule="auto"/>
        <w:rPr>
          <w:rFonts w:ascii="Times New Roman" w:hAnsi="Times New Roman"/>
          <w:sz w:val="24"/>
          <w:szCs w:val="24"/>
        </w:rPr>
      </w:pPr>
      <w:r>
        <w:rPr>
          <w:rFonts w:ascii="Times New Roman" w:eastAsia="Arial Unicode MS" w:hAnsi="Times New Roman"/>
          <w:sz w:val="24"/>
          <w:szCs w:val="24"/>
        </w:rPr>
        <w:t>Les résultats</w:t>
      </w:r>
      <w:r w:rsidRPr="00C20B2F">
        <w:rPr>
          <w:rFonts w:ascii="Times New Roman" w:eastAsia="Arial Unicode MS" w:hAnsi="Times New Roman"/>
          <w:sz w:val="24"/>
          <w:szCs w:val="24"/>
        </w:rPr>
        <w:t xml:space="preserve"> montrent à l’échelle nationale, que la pauvreté s’apparente principalement à un phénomène transitoire. Cependant, 15,5% d’individus sont en situation de pauvreté permanente.</w:t>
      </w:r>
      <w:r w:rsidR="0002446A">
        <w:rPr>
          <w:rFonts w:ascii="Times New Roman" w:eastAsia="Arial Unicode MS" w:hAnsi="Times New Roman"/>
          <w:sz w:val="24"/>
          <w:szCs w:val="24"/>
        </w:rPr>
        <w:t xml:space="preserve"> </w:t>
      </w:r>
      <w:r>
        <w:rPr>
          <w:rFonts w:ascii="Times New Roman" w:hAnsi="Times New Roman"/>
          <w:sz w:val="24"/>
          <w:szCs w:val="24"/>
        </w:rPr>
        <w:t>En o</w:t>
      </w:r>
      <w:r>
        <w:rPr>
          <w:rFonts w:ascii="Times New Roman" w:eastAsia="Arial Unicode MS" w:hAnsi="Times New Roman"/>
          <w:sz w:val="24"/>
          <w:szCs w:val="24"/>
        </w:rPr>
        <w:t>utre,</w:t>
      </w:r>
      <w:r w:rsidR="00D35AD4">
        <w:rPr>
          <w:rFonts w:ascii="Times New Roman" w:eastAsia="Arial Unicode MS" w:hAnsi="Times New Roman"/>
          <w:sz w:val="24"/>
          <w:szCs w:val="24"/>
        </w:rPr>
        <w:t xml:space="preserve"> les résultats</w:t>
      </w:r>
      <w:r>
        <w:rPr>
          <w:rFonts w:ascii="Times New Roman" w:eastAsia="Arial Unicode MS" w:hAnsi="Times New Roman"/>
          <w:sz w:val="24"/>
          <w:szCs w:val="24"/>
        </w:rPr>
        <w:t xml:space="preserve"> montrent que les </w:t>
      </w:r>
      <w:r>
        <w:rPr>
          <w:rFonts w:ascii="Times New Roman" w:hAnsi="Times New Roman"/>
          <w:sz w:val="24"/>
          <w:szCs w:val="24"/>
        </w:rPr>
        <w:t xml:space="preserve">ménages sortis de la pauvreté </w:t>
      </w:r>
      <w:r w:rsidR="000F0714">
        <w:rPr>
          <w:rFonts w:ascii="Times New Roman" w:hAnsi="Times New Roman"/>
          <w:sz w:val="24"/>
          <w:szCs w:val="24"/>
        </w:rPr>
        <w:t xml:space="preserve">sont ceux qui </w:t>
      </w:r>
      <w:r w:rsidRPr="007B43D0">
        <w:rPr>
          <w:rFonts w:ascii="Times New Roman" w:hAnsi="Times New Roman"/>
          <w:sz w:val="24"/>
          <w:szCs w:val="24"/>
        </w:rPr>
        <w:t xml:space="preserve"> sont en général des ménages de niveau de vie </w:t>
      </w:r>
      <w:r>
        <w:rPr>
          <w:rFonts w:ascii="Times New Roman" w:hAnsi="Times New Roman"/>
          <w:sz w:val="24"/>
          <w:szCs w:val="24"/>
        </w:rPr>
        <w:t xml:space="preserve">initiale </w:t>
      </w:r>
      <w:r w:rsidRPr="007B43D0">
        <w:rPr>
          <w:rFonts w:ascii="Times New Roman" w:hAnsi="Times New Roman"/>
          <w:sz w:val="24"/>
          <w:szCs w:val="24"/>
        </w:rPr>
        <w:t>élevé, qui vivent en mi</w:t>
      </w:r>
      <w:r>
        <w:rPr>
          <w:rFonts w:ascii="Times New Roman" w:hAnsi="Times New Roman"/>
          <w:sz w:val="24"/>
          <w:szCs w:val="24"/>
        </w:rPr>
        <w:t>lieu urbain, sont de taille réduite</w:t>
      </w:r>
      <w:r w:rsidR="0002446A">
        <w:rPr>
          <w:rFonts w:ascii="Times New Roman" w:hAnsi="Times New Roman"/>
          <w:sz w:val="24"/>
          <w:szCs w:val="24"/>
        </w:rPr>
        <w:t xml:space="preserve"> </w:t>
      </w:r>
      <w:r>
        <w:rPr>
          <w:rFonts w:ascii="Times New Roman" w:hAnsi="Times New Roman"/>
          <w:sz w:val="24"/>
          <w:szCs w:val="24"/>
        </w:rPr>
        <w:t xml:space="preserve">et </w:t>
      </w:r>
      <w:r w:rsidRPr="007B43D0">
        <w:rPr>
          <w:rFonts w:ascii="Times New Roman" w:hAnsi="Times New Roman"/>
          <w:sz w:val="24"/>
          <w:szCs w:val="24"/>
        </w:rPr>
        <w:t xml:space="preserve">dirigés par des femmes </w:t>
      </w:r>
      <w:r>
        <w:rPr>
          <w:rFonts w:ascii="Times New Roman" w:hAnsi="Times New Roman"/>
          <w:sz w:val="24"/>
          <w:szCs w:val="24"/>
        </w:rPr>
        <w:t>ou</w:t>
      </w:r>
      <w:r w:rsidRPr="007B43D0">
        <w:rPr>
          <w:rFonts w:ascii="Times New Roman" w:hAnsi="Times New Roman"/>
          <w:sz w:val="24"/>
          <w:szCs w:val="24"/>
        </w:rPr>
        <w:t xml:space="preserve"> souvent des jeunes (moins de 30 ans). Ce groupe se traduit par un </w:t>
      </w:r>
      <w:r w:rsidR="000F0714" w:rsidRPr="007B43D0">
        <w:rPr>
          <w:rFonts w:ascii="Times New Roman" w:hAnsi="Times New Roman"/>
          <w:sz w:val="24"/>
          <w:szCs w:val="24"/>
        </w:rPr>
        <w:t xml:space="preserve">meilleur </w:t>
      </w:r>
      <w:r w:rsidRPr="007B43D0">
        <w:rPr>
          <w:rFonts w:ascii="Times New Roman" w:hAnsi="Times New Roman"/>
          <w:sz w:val="24"/>
          <w:szCs w:val="24"/>
        </w:rPr>
        <w:t xml:space="preserve">statut dans l’emploi du chef de ménage (patron et cadre supérieur, employé ou ouvrier qualifié), exerçant une activité relevant du secteur secondaire ou tertiaire. </w:t>
      </w:r>
    </w:p>
    <w:p w:rsidR="00604F48" w:rsidRPr="00B02824" w:rsidRDefault="00604F48" w:rsidP="00604F48">
      <w:pPr>
        <w:spacing w:line="276" w:lineRule="auto"/>
        <w:rPr>
          <w:rFonts w:ascii="Times New Roman" w:hAnsi="Times New Roman"/>
          <w:sz w:val="12"/>
          <w:szCs w:val="12"/>
        </w:rPr>
      </w:pPr>
    </w:p>
    <w:p w:rsidR="00604F48" w:rsidRPr="007B43D0" w:rsidRDefault="00604F48" w:rsidP="00604F48">
      <w:pPr>
        <w:spacing w:line="276" w:lineRule="auto"/>
        <w:rPr>
          <w:rFonts w:ascii="Times New Roman" w:hAnsi="Times New Roman"/>
          <w:sz w:val="24"/>
          <w:szCs w:val="24"/>
        </w:rPr>
      </w:pPr>
      <w:r w:rsidRPr="007B43D0">
        <w:rPr>
          <w:rFonts w:ascii="Times New Roman" w:hAnsi="Times New Roman"/>
          <w:sz w:val="24"/>
          <w:szCs w:val="24"/>
        </w:rPr>
        <w:t>Le</w:t>
      </w:r>
      <w:r>
        <w:rPr>
          <w:rFonts w:ascii="Times New Roman" w:hAnsi="Times New Roman"/>
          <w:sz w:val="24"/>
          <w:szCs w:val="24"/>
        </w:rPr>
        <w:t xml:space="preserve">s ménages qui sont entrés dans la pauvreté ou qui restés toujours pauvres sont </w:t>
      </w:r>
      <w:r w:rsidR="000F0714">
        <w:rPr>
          <w:rFonts w:ascii="Times New Roman" w:hAnsi="Times New Roman"/>
          <w:sz w:val="24"/>
          <w:szCs w:val="24"/>
        </w:rPr>
        <w:t>ceux</w:t>
      </w:r>
      <w:r w:rsidRPr="007B43D0">
        <w:rPr>
          <w:rFonts w:ascii="Times New Roman" w:hAnsi="Times New Roman"/>
          <w:sz w:val="24"/>
          <w:szCs w:val="24"/>
        </w:rPr>
        <w:t xml:space="preserve"> vivant en milieu rural, </w:t>
      </w:r>
      <w:r>
        <w:rPr>
          <w:rFonts w:ascii="Times New Roman" w:hAnsi="Times New Roman"/>
          <w:sz w:val="24"/>
          <w:szCs w:val="24"/>
        </w:rPr>
        <w:t xml:space="preserve">généralement </w:t>
      </w:r>
      <w:r w:rsidRPr="007B43D0">
        <w:rPr>
          <w:rFonts w:ascii="Times New Roman" w:hAnsi="Times New Roman"/>
          <w:sz w:val="24"/>
          <w:szCs w:val="24"/>
        </w:rPr>
        <w:t xml:space="preserve">de grande taille et ayant un niveau de vie </w:t>
      </w:r>
      <w:r>
        <w:rPr>
          <w:rFonts w:ascii="Times New Roman" w:hAnsi="Times New Roman"/>
          <w:sz w:val="24"/>
          <w:szCs w:val="24"/>
        </w:rPr>
        <w:t xml:space="preserve">initial </w:t>
      </w:r>
      <w:r w:rsidRPr="007B43D0">
        <w:rPr>
          <w:rFonts w:ascii="Times New Roman" w:hAnsi="Times New Roman"/>
          <w:sz w:val="24"/>
          <w:szCs w:val="24"/>
        </w:rPr>
        <w:t xml:space="preserve">faible, dirigés par des hommes, en général âgés et travaillant dans le secteur primaire </w:t>
      </w:r>
      <w:r>
        <w:rPr>
          <w:rFonts w:ascii="Times New Roman" w:hAnsi="Times New Roman"/>
          <w:sz w:val="24"/>
          <w:szCs w:val="24"/>
        </w:rPr>
        <w:t xml:space="preserve">(Agriculture, Elevage et Pêche) </w:t>
      </w:r>
      <w:r w:rsidRPr="007B43D0">
        <w:rPr>
          <w:rFonts w:ascii="Times New Roman" w:hAnsi="Times New Roman"/>
          <w:sz w:val="24"/>
          <w:szCs w:val="24"/>
        </w:rPr>
        <w:t xml:space="preserve">pour compte propre ou en tant que manœuvre ou apprentis. Ces ménages ont connu </w:t>
      </w:r>
      <w:r>
        <w:rPr>
          <w:rFonts w:ascii="Times New Roman" w:hAnsi="Times New Roman"/>
          <w:sz w:val="24"/>
          <w:szCs w:val="24"/>
        </w:rPr>
        <w:t>un</w:t>
      </w:r>
      <w:r w:rsidRPr="007B43D0">
        <w:rPr>
          <w:rFonts w:ascii="Times New Roman" w:hAnsi="Times New Roman"/>
          <w:sz w:val="24"/>
          <w:szCs w:val="24"/>
        </w:rPr>
        <w:t>e baisse du nom</w:t>
      </w:r>
      <w:r w:rsidR="00ED6567">
        <w:rPr>
          <w:rFonts w:ascii="Times New Roman" w:hAnsi="Times New Roman"/>
          <w:sz w:val="24"/>
          <w:szCs w:val="24"/>
        </w:rPr>
        <w:t>bre d’actif occupés et ont subi</w:t>
      </w:r>
      <w:r w:rsidRPr="007B43D0">
        <w:rPr>
          <w:rFonts w:ascii="Times New Roman" w:hAnsi="Times New Roman"/>
          <w:sz w:val="24"/>
          <w:szCs w:val="24"/>
        </w:rPr>
        <w:t xml:space="preserve"> les chocs biophysiques (inondations/sécheresses) entre 2006 et 2009.  </w:t>
      </w:r>
    </w:p>
    <w:p w:rsidR="00604F48" w:rsidRPr="00B02824" w:rsidRDefault="00604F48" w:rsidP="00604F48">
      <w:pPr>
        <w:autoSpaceDE w:val="0"/>
        <w:autoSpaceDN w:val="0"/>
        <w:adjustRightInd w:val="0"/>
        <w:spacing w:line="276" w:lineRule="auto"/>
        <w:rPr>
          <w:rFonts w:ascii="Times New Roman" w:hAnsi="Times New Roman"/>
          <w:sz w:val="12"/>
          <w:szCs w:val="12"/>
          <w:highlight w:val="yellow"/>
        </w:rPr>
      </w:pPr>
    </w:p>
    <w:p w:rsidR="00604F48" w:rsidRDefault="00737EEF" w:rsidP="00604F48">
      <w:pPr>
        <w:spacing w:line="276" w:lineRule="auto"/>
        <w:rPr>
          <w:rFonts w:ascii="Times New Roman" w:eastAsia="Arial Unicode MS" w:hAnsi="Times New Roman"/>
          <w:sz w:val="24"/>
          <w:szCs w:val="24"/>
        </w:rPr>
      </w:pPr>
      <w:r>
        <w:rPr>
          <w:rFonts w:ascii="Times New Roman" w:hAnsi="Times New Roman"/>
          <w:sz w:val="24"/>
          <w:szCs w:val="24"/>
        </w:rPr>
        <w:t xml:space="preserve">Les </w:t>
      </w:r>
      <w:r w:rsidR="00604F48" w:rsidRPr="007B43D0">
        <w:rPr>
          <w:rFonts w:ascii="Times New Roman" w:hAnsi="Times New Roman"/>
          <w:sz w:val="24"/>
          <w:szCs w:val="24"/>
        </w:rPr>
        <w:t xml:space="preserve">variables sociodémographiques et socio-économiques </w:t>
      </w:r>
      <w:r w:rsidR="00D35AD4">
        <w:rPr>
          <w:rFonts w:ascii="Times New Roman" w:hAnsi="Times New Roman"/>
          <w:sz w:val="24"/>
          <w:szCs w:val="24"/>
        </w:rPr>
        <w:t xml:space="preserve">qui </w:t>
      </w:r>
      <w:r w:rsidR="00604F48" w:rsidRPr="007B43D0">
        <w:rPr>
          <w:rFonts w:ascii="Times New Roman" w:hAnsi="Times New Roman"/>
          <w:sz w:val="24"/>
          <w:szCs w:val="24"/>
        </w:rPr>
        <w:t xml:space="preserve">influencent différemment </w:t>
      </w:r>
      <w:r w:rsidR="00604F48">
        <w:rPr>
          <w:rFonts w:ascii="Times New Roman" w:hAnsi="Times New Roman"/>
          <w:sz w:val="24"/>
          <w:szCs w:val="24"/>
        </w:rPr>
        <w:t>la transition dans la pauvreté</w:t>
      </w:r>
      <w:r w:rsidR="00D35AD4">
        <w:rPr>
          <w:rFonts w:ascii="Times New Roman" w:hAnsi="Times New Roman"/>
          <w:sz w:val="24"/>
          <w:szCs w:val="24"/>
        </w:rPr>
        <w:t xml:space="preserve"> sont : l</w:t>
      </w:r>
      <w:r w:rsidR="00604F48">
        <w:rPr>
          <w:rFonts w:ascii="Times New Roman" w:hAnsi="Times New Roman"/>
          <w:sz w:val="24"/>
          <w:szCs w:val="24"/>
        </w:rPr>
        <w:t>e</w:t>
      </w:r>
      <w:r w:rsidR="00604F48" w:rsidRPr="007B43D0">
        <w:rPr>
          <w:rFonts w:ascii="Times New Roman" w:hAnsi="Times New Roman"/>
          <w:sz w:val="24"/>
          <w:szCs w:val="24"/>
        </w:rPr>
        <w:t xml:space="preserve"> cycle de vie</w:t>
      </w:r>
      <w:r w:rsidR="00604F48">
        <w:rPr>
          <w:rFonts w:ascii="Times New Roman" w:hAnsi="Times New Roman"/>
          <w:sz w:val="24"/>
          <w:szCs w:val="24"/>
        </w:rPr>
        <w:t>, l</w:t>
      </w:r>
      <w:r w:rsidR="00604F48" w:rsidRPr="007B43D0">
        <w:rPr>
          <w:rFonts w:ascii="Times New Roman" w:hAnsi="Times New Roman"/>
          <w:sz w:val="24"/>
          <w:szCs w:val="24"/>
        </w:rPr>
        <w:t>e niveau d’instruction du chef de ménage</w:t>
      </w:r>
      <w:r w:rsidR="00604F48">
        <w:rPr>
          <w:rFonts w:ascii="Times New Roman" w:hAnsi="Times New Roman"/>
          <w:sz w:val="24"/>
          <w:szCs w:val="24"/>
        </w:rPr>
        <w:t xml:space="preserve">, l’accès à l’emploi, la </w:t>
      </w:r>
      <w:r w:rsidR="00CD3558">
        <w:rPr>
          <w:rFonts w:ascii="Times New Roman" w:hAnsi="Times New Roman"/>
          <w:sz w:val="24"/>
          <w:szCs w:val="24"/>
        </w:rPr>
        <w:t xml:space="preserve">taille du ménage, </w:t>
      </w:r>
      <w:r w:rsidR="00604F48" w:rsidRPr="007B43D0">
        <w:rPr>
          <w:rFonts w:ascii="Times New Roman" w:hAnsi="Times New Roman"/>
          <w:sz w:val="24"/>
          <w:szCs w:val="24"/>
        </w:rPr>
        <w:t xml:space="preserve">le milieu de résidence, </w:t>
      </w:r>
      <w:r w:rsidR="00604F48">
        <w:rPr>
          <w:rFonts w:ascii="Times New Roman" w:hAnsi="Times New Roman"/>
          <w:sz w:val="24"/>
          <w:szCs w:val="24"/>
        </w:rPr>
        <w:t>l</w:t>
      </w:r>
      <w:r w:rsidR="00604F48" w:rsidRPr="007B43D0">
        <w:rPr>
          <w:rFonts w:ascii="Times New Roman" w:hAnsi="Times New Roman"/>
          <w:sz w:val="24"/>
          <w:szCs w:val="24"/>
        </w:rPr>
        <w:t xml:space="preserve">’accessibilité </w:t>
      </w:r>
      <w:r w:rsidR="00604F48">
        <w:rPr>
          <w:rFonts w:ascii="Times New Roman" w:hAnsi="Times New Roman"/>
          <w:sz w:val="24"/>
          <w:szCs w:val="24"/>
        </w:rPr>
        <w:t xml:space="preserve">économique </w:t>
      </w:r>
      <w:r w:rsidR="00604F48" w:rsidRPr="007B43D0">
        <w:rPr>
          <w:rFonts w:ascii="Times New Roman" w:hAnsi="Times New Roman"/>
          <w:sz w:val="24"/>
          <w:szCs w:val="24"/>
        </w:rPr>
        <w:t xml:space="preserve">aux </w:t>
      </w:r>
      <w:r w:rsidR="00604F48" w:rsidRPr="000A346B">
        <w:rPr>
          <w:rFonts w:ascii="Times New Roman" w:hAnsi="Times New Roman"/>
          <w:sz w:val="24"/>
          <w:szCs w:val="24"/>
        </w:rPr>
        <w:t xml:space="preserve">biens </w:t>
      </w:r>
      <w:r w:rsidR="00604F48" w:rsidRPr="00344D3A">
        <w:rPr>
          <w:rFonts w:ascii="Times New Roman" w:hAnsi="Times New Roman"/>
          <w:sz w:val="24"/>
          <w:szCs w:val="24"/>
        </w:rPr>
        <w:t>sociaux</w:t>
      </w:r>
      <w:r w:rsidR="00604F48" w:rsidRPr="007B43D0">
        <w:rPr>
          <w:rFonts w:ascii="Times New Roman" w:hAnsi="Times New Roman"/>
          <w:sz w:val="24"/>
          <w:szCs w:val="24"/>
        </w:rPr>
        <w:t>(le logement, la santé, l’éduction et la communication)</w:t>
      </w:r>
      <w:r w:rsidR="00604F48">
        <w:rPr>
          <w:rFonts w:ascii="Times New Roman" w:hAnsi="Times New Roman"/>
          <w:sz w:val="24"/>
          <w:szCs w:val="24"/>
        </w:rPr>
        <w:t xml:space="preserve"> et l’exposition aux  chocs biophysiques</w:t>
      </w:r>
      <w:r w:rsidR="00CD3558">
        <w:rPr>
          <w:rFonts w:ascii="Times New Roman" w:hAnsi="Times New Roman"/>
          <w:sz w:val="24"/>
          <w:szCs w:val="24"/>
        </w:rPr>
        <w:t xml:space="preserve"> et </w:t>
      </w:r>
      <w:r w:rsidR="00CD3558">
        <w:rPr>
          <w:rFonts w:ascii="Times New Roman" w:eastAsia="Arial Unicode MS" w:hAnsi="Times New Roman"/>
          <w:sz w:val="24"/>
          <w:szCs w:val="24"/>
        </w:rPr>
        <w:t>sociaux</w:t>
      </w:r>
    </w:p>
    <w:p w:rsidR="001D1027" w:rsidRDefault="001D1027" w:rsidP="00604F48">
      <w:pPr>
        <w:spacing w:line="276" w:lineRule="auto"/>
        <w:rPr>
          <w:rFonts w:ascii="Times New Roman" w:hAnsi="Times New Roman"/>
          <w:sz w:val="24"/>
          <w:szCs w:val="24"/>
        </w:rPr>
      </w:pPr>
    </w:p>
    <w:p w:rsidR="001B6F80" w:rsidRDefault="000A6606">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Ainsi</w:t>
      </w:r>
      <w:r w:rsidR="00F90C10">
        <w:rPr>
          <w:rFonts w:ascii="Times New Roman" w:hAnsi="Times New Roman"/>
          <w:sz w:val="24"/>
          <w:szCs w:val="24"/>
        </w:rPr>
        <w:t>,</w:t>
      </w:r>
      <w:r w:rsidR="0002446A">
        <w:rPr>
          <w:rFonts w:ascii="Times New Roman" w:hAnsi="Times New Roman"/>
          <w:sz w:val="24"/>
          <w:szCs w:val="24"/>
        </w:rPr>
        <w:t xml:space="preserve"> </w:t>
      </w:r>
      <w:r w:rsidRPr="007B43D0">
        <w:rPr>
          <w:rFonts w:ascii="Times New Roman" w:hAnsi="Times New Roman"/>
          <w:sz w:val="24"/>
          <w:szCs w:val="24"/>
        </w:rPr>
        <w:t>la pauvreté est un problème complexe dynamique dont l’éradication  nécessite des programmes multiformes. Elle peut a</w:t>
      </w:r>
      <w:r w:rsidR="00387EF7">
        <w:rPr>
          <w:rFonts w:ascii="Times New Roman" w:hAnsi="Times New Roman"/>
          <w:sz w:val="24"/>
          <w:szCs w:val="24"/>
        </w:rPr>
        <w:t>voir un caractère multiple et différencié</w:t>
      </w:r>
      <w:r w:rsidRPr="007B43D0">
        <w:rPr>
          <w:rFonts w:ascii="Times New Roman" w:hAnsi="Times New Roman"/>
          <w:sz w:val="24"/>
          <w:szCs w:val="24"/>
        </w:rPr>
        <w:t xml:space="preserve">, en particulier </w:t>
      </w:r>
      <w:r>
        <w:rPr>
          <w:rFonts w:ascii="Times New Roman" w:hAnsi="Times New Roman"/>
          <w:sz w:val="24"/>
          <w:szCs w:val="24"/>
        </w:rPr>
        <w:t>selon le milieu de résidence</w:t>
      </w:r>
      <w:r w:rsidRPr="007B43D0">
        <w:rPr>
          <w:rFonts w:ascii="Times New Roman" w:hAnsi="Times New Roman"/>
          <w:sz w:val="24"/>
          <w:szCs w:val="24"/>
        </w:rPr>
        <w:t xml:space="preserve"> ca</w:t>
      </w:r>
      <w:r w:rsidR="00387EF7">
        <w:rPr>
          <w:rFonts w:ascii="Times New Roman" w:hAnsi="Times New Roman"/>
          <w:sz w:val="24"/>
          <w:szCs w:val="24"/>
        </w:rPr>
        <w:t>r elle entraine parfois les populations</w:t>
      </w:r>
      <w:r w:rsidRPr="007B43D0">
        <w:rPr>
          <w:rFonts w:ascii="Times New Roman" w:hAnsi="Times New Roman"/>
          <w:sz w:val="24"/>
          <w:szCs w:val="24"/>
        </w:rPr>
        <w:t xml:space="preserve"> dans des cercles vicieux dans lesquels certaines formes de privation (insuffisance du revenu) renforcent d’autres (faible accès à la santé, au logement, à l’éducation, à la communication,…).</w:t>
      </w:r>
    </w:p>
    <w:p w:rsidR="00DD043F" w:rsidRDefault="00DD043F">
      <w:pPr>
        <w:autoSpaceDE w:val="0"/>
        <w:autoSpaceDN w:val="0"/>
        <w:adjustRightInd w:val="0"/>
        <w:spacing w:line="276" w:lineRule="auto"/>
        <w:rPr>
          <w:rFonts w:ascii="Times New Roman" w:hAnsi="Times New Roman"/>
          <w:sz w:val="24"/>
          <w:szCs w:val="24"/>
        </w:rPr>
      </w:pPr>
    </w:p>
    <w:p w:rsidR="00DD043F" w:rsidRDefault="00DD043F">
      <w:pPr>
        <w:autoSpaceDE w:val="0"/>
        <w:autoSpaceDN w:val="0"/>
        <w:adjustRightInd w:val="0"/>
        <w:spacing w:line="276" w:lineRule="auto"/>
        <w:rPr>
          <w:rFonts w:ascii="Times New Roman" w:hAnsi="Times New Roman"/>
          <w:sz w:val="24"/>
          <w:szCs w:val="24"/>
        </w:rPr>
        <w:sectPr w:rsidR="00DD043F" w:rsidSect="001B4547">
          <w:pgSz w:w="11906" w:h="16838"/>
          <w:pgMar w:top="1081"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AB1358" w:rsidTr="00272B35">
        <w:trPr>
          <w:trHeight w:val="1919"/>
        </w:trPr>
        <w:tc>
          <w:tcPr>
            <w:tcW w:w="1418" w:type="dxa"/>
            <w:tcBorders>
              <w:right w:val="thinThickSmallGap" w:sz="24" w:space="0" w:color="FFFFFF" w:themeColor="background1"/>
            </w:tcBorders>
            <w:shd w:val="clear" w:color="auto" w:fill="92CDDC" w:themeFill="accent5" w:themeFillTint="99"/>
          </w:tcPr>
          <w:p w:rsidR="00AB1358" w:rsidRPr="00494CC8" w:rsidRDefault="00AB1358" w:rsidP="00272B35">
            <w:pPr>
              <w:pStyle w:val="Titre1"/>
              <w:jc w:val="center"/>
              <w:outlineLvl w:val="0"/>
              <w:rPr>
                <w:rFonts w:ascii="Times New Roman" w:hAnsi="Times New Roman" w:cs="Times New Roman"/>
                <w:sz w:val="28"/>
                <w:szCs w:val="28"/>
              </w:rPr>
            </w:pPr>
            <w:bookmarkStart w:id="59" w:name="_Toc332095972"/>
            <w:bookmarkStart w:id="60" w:name="_Toc332096038"/>
            <w:bookmarkStart w:id="61" w:name="_Toc332095973"/>
            <w:bookmarkStart w:id="62" w:name="_Toc332096039"/>
            <w:bookmarkEnd w:id="59"/>
            <w:bookmarkEnd w:id="60"/>
            <w:bookmarkEnd w:id="61"/>
            <w:bookmarkEnd w:id="62"/>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AB1358" w:rsidRPr="00E04E53" w:rsidRDefault="00AB1358" w:rsidP="00272B35">
            <w:pPr>
              <w:pStyle w:val="Titre1"/>
              <w:spacing w:before="120" w:after="0" w:line="240" w:lineRule="auto"/>
              <w:jc w:val="center"/>
              <w:outlineLvl w:val="0"/>
              <w:rPr>
                <w:rFonts w:ascii="Times New Roman" w:hAnsi="Times New Roman" w:cs="Times New Roman"/>
                <w:sz w:val="52"/>
                <w:szCs w:val="52"/>
              </w:rPr>
            </w:pPr>
            <w:bookmarkStart w:id="63" w:name="_Toc382322920"/>
            <w:r w:rsidRPr="00E04E53">
              <w:rPr>
                <w:rFonts w:ascii="Times New Roman" w:hAnsi="Times New Roman" w:cs="Times New Roman"/>
                <w:sz w:val="52"/>
                <w:szCs w:val="52"/>
              </w:rPr>
              <w:t>CHAPITRE</w:t>
            </w:r>
            <w:bookmarkEnd w:id="63"/>
          </w:p>
          <w:p w:rsidR="00AB1358" w:rsidRPr="00507A8F" w:rsidRDefault="001064B7" w:rsidP="00272B35">
            <w:pPr>
              <w:pStyle w:val="Titre1"/>
              <w:spacing w:before="0" w:after="0" w:line="240" w:lineRule="auto"/>
              <w:jc w:val="center"/>
              <w:outlineLvl w:val="0"/>
              <w:rPr>
                <w:rFonts w:ascii="Times New Roman" w:hAnsi="Times New Roman" w:cs="Times New Roman"/>
                <w:strike/>
                <w:sz w:val="96"/>
                <w:szCs w:val="96"/>
              </w:rPr>
            </w:pPr>
            <w:bookmarkStart w:id="64" w:name="_Toc382322921"/>
            <w:r w:rsidRPr="001064B7">
              <w:rPr>
                <w:rFonts w:ascii="Times New Roman" w:hAnsi="Times New Roman" w:cs="Times New Roman"/>
                <w:sz w:val="96"/>
                <w:szCs w:val="96"/>
              </w:rPr>
              <w:t>2</w:t>
            </w:r>
            <w:bookmarkEnd w:id="64"/>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AB1358" w:rsidRPr="00E04E53" w:rsidRDefault="00AB1358" w:rsidP="00AA7FDE">
            <w:pPr>
              <w:pStyle w:val="Titre1"/>
              <w:spacing w:before="120" w:line="240" w:lineRule="auto"/>
              <w:jc w:val="left"/>
              <w:outlineLvl w:val="0"/>
              <w:rPr>
                <w:rFonts w:ascii="Times New Roman" w:hAnsi="Times New Roman" w:cs="Times New Roman"/>
                <w:sz w:val="52"/>
                <w:szCs w:val="52"/>
              </w:rPr>
            </w:pPr>
            <w:bookmarkStart w:id="65" w:name="_Toc382322922"/>
            <w:r w:rsidRPr="00AB1358">
              <w:rPr>
                <w:rFonts w:ascii="Times New Roman" w:hAnsi="Times New Roman" w:cs="Times New Roman"/>
                <w:sz w:val="52"/>
                <w:szCs w:val="52"/>
              </w:rPr>
              <w:t>Croissance économique et réduction de la pauvreté au Bénin</w:t>
            </w:r>
            <w:bookmarkEnd w:id="65"/>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AB1358" w:rsidRPr="00E04E53" w:rsidRDefault="00AB1358" w:rsidP="00272B35">
            <w:pPr>
              <w:pStyle w:val="Titre1"/>
              <w:spacing w:line="240" w:lineRule="auto"/>
              <w:jc w:val="center"/>
              <w:outlineLvl w:val="0"/>
              <w:rPr>
                <w:rFonts w:ascii="Times New Roman" w:hAnsi="Times New Roman" w:cs="Times New Roman"/>
                <w:sz w:val="52"/>
                <w:szCs w:val="52"/>
              </w:rPr>
            </w:pPr>
          </w:p>
        </w:tc>
      </w:tr>
    </w:tbl>
    <w:p w:rsidR="00B96248" w:rsidRPr="00B96248" w:rsidRDefault="00B96248" w:rsidP="00324B2E">
      <w:pPr>
        <w:pStyle w:val="Paragraphedeliste"/>
        <w:spacing w:line="240" w:lineRule="auto"/>
        <w:ind w:left="360"/>
        <w:rPr>
          <w:rFonts w:ascii="Times New Roman" w:hAnsi="Times New Roman"/>
          <w:b/>
          <w:sz w:val="20"/>
          <w:szCs w:val="20"/>
        </w:rPr>
      </w:pPr>
    </w:p>
    <w:p w:rsidR="00B96248" w:rsidRPr="00B96248" w:rsidRDefault="00B96248" w:rsidP="00324B2E">
      <w:pPr>
        <w:pStyle w:val="Paragraphedeliste"/>
        <w:spacing w:line="240" w:lineRule="auto"/>
        <w:ind w:left="360"/>
        <w:rPr>
          <w:rFonts w:ascii="Times New Roman" w:hAnsi="Times New Roman"/>
          <w:b/>
          <w:sz w:val="20"/>
          <w:szCs w:val="20"/>
        </w:rPr>
      </w:pPr>
    </w:p>
    <w:p w:rsidR="00324B2E" w:rsidRPr="00CC312E" w:rsidRDefault="00117A96" w:rsidP="00324B2E">
      <w:pPr>
        <w:pStyle w:val="Titre2"/>
        <w:spacing w:before="0" w:after="0" w:line="276" w:lineRule="auto"/>
        <w:rPr>
          <w:rFonts w:ascii="Times New Roman" w:hAnsi="Times New Roman" w:cs="Times New Roman"/>
          <w:i w:val="0"/>
          <w:color w:val="31849B" w:themeColor="accent5" w:themeShade="BF"/>
        </w:rPr>
      </w:pPr>
      <w:bookmarkStart w:id="66" w:name="_Toc382322923"/>
      <w:r w:rsidRPr="00CC312E">
        <w:rPr>
          <w:rFonts w:ascii="Times New Roman" w:hAnsi="Times New Roman" w:cs="Times New Roman"/>
          <w:i w:val="0"/>
          <w:color w:val="31849B" w:themeColor="accent5" w:themeShade="BF"/>
        </w:rPr>
        <w:t>2</w:t>
      </w:r>
      <w:r w:rsidR="00324B2E" w:rsidRPr="00CC312E">
        <w:rPr>
          <w:rFonts w:ascii="Times New Roman" w:hAnsi="Times New Roman" w:cs="Times New Roman"/>
          <w:i w:val="0"/>
          <w:color w:val="31849B" w:themeColor="accent5" w:themeShade="BF"/>
        </w:rPr>
        <w:t>.1Introduction</w:t>
      </w:r>
      <w:bookmarkEnd w:id="66"/>
    </w:p>
    <w:p w:rsidR="00324B2E" w:rsidRPr="00873C70" w:rsidRDefault="00324B2E" w:rsidP="005845CB">
      <w:pPr>
        <w:spacing w:line="240" w:lineRule="auto"/>
      </w:pPr>
    </w:p>
    <w:p w:rsidR="00324B2E" w:rsidRDefault="00324B2E" w:rsidP="00324B2E">
      <w:pPr>
        <w:spacing w:line="276" w:lineRule="auto"/>
        <w:rPr>
          <w:rFonts w:ascii="Times New Roman" w:hAnsi="Times New Roman"/>
          <w:sz w:val="24"/>
          <w:szCs w:val="24"/>
        </w:rPr>
      </w:pPr>
      <w:r w:rsidRPr="00416639">
        <w:rPr>
          <w:rFonts w:ascii="Times New Roman" w:hAnsi="Times New Roman"/>
          <w:sz w:val="24"/>
          <w:szCs w:val="24"/>
        </w:rPr>
        <w:t xml:space="preserve">Ce chapitre traite </w:t>
      </w:r>
      <w:r w:rsidRPr="00864B62">
        <w:rPr>
          <w:rFonts w:ascii="Times New Roman" w:hAnsi="Times New Roman"/>
          <w:sz w:val="24"/>
          <w:szCs w:val="24"/>
        </w:rPr>
        <w:t>de l’inter-relation entre la croissance économique et la réduction de la pauvreté au Bénin. Il vise à analyser  la nature pro-pauvre de la croissance économique</w:t>
      </w:r>
      <w:r>
        <w:rPr>
          <w:rFonts w:ascii="Times New Roman" w:hAnsi="Times New Roman"/>
          <w:sz w:val="24"/>
          <w:szCs w:val="24"/>
        </w:rPr>
        <w:t xml:space="preserve"> tant au niveau global que sectoriel. </w:t>
      </w:r>
      <w:r w:rsidRPr="007117B6">
        <w:rPr>
          <w:rFonts w:ascii="Times New Roman" w:hAnsi="Times New Roman"/>
          <w:sz w:val="24"/>
          <w:szCs w:val="24"/>
        </w:rPr>
        <w:t xml:space="preserve">En effet, comme le suggèrent les résultats du chapitre précédent, le Bénin </w:t>
      </w:r>
      <w:r w:rsidR="0071342D" w:rsidRPr="007117B6">
        <w:rPr>
          <w:rFonts w:ascii="Times New Roman" w:hAnsi="Times New Roman"/>
          <w:sz w:val="24"/>
          <w:szCs w:val="24"/>
        </w:rPr>
        <w:t>conna</w:t>
      </w:r>
      <w:r w:rsidR="0071342D">
        <w:rPr>
          <w:rFonts w:ascii="Times New Roman" w:hAnsi="Times New Roman"/>
          <w:sz w:val="24"/>
          <w:szCs w:val="24"/>
        </w:rPr>
        <w:t>î</w:t>
      </w:r>
      <w:r w:rsidR="0071342D" w:rsidRPr="007117B6">
        <w:rPr>
          <w:rFonts w:ascii="Times New Roman" w:hAnsi="Times New Roman"/>
          <w:sz w:val="24"/>
          <w:szCs w:val="24"/>
        </w:rPr>
        <w:t>t</w:t>
      </w:r>
      <w:r>
        <w:rPr>
          <w:rFonts w:ascii="Times New Roman" w:hAnsi="Times New Roman"/>
          <w:sz w:val="24"/>
          <w:szCs w:val="24"/>
        </w:rPr>
        <w:t>,</w:t>
      </w:r>
      <w:r w:rsidRPr="007117B6">
        <w:rPr>
          <w:rFonts w:ascii="Times New Roman" w:hAnsi="Times New Roman"/>
          <w:sz w:val="24"/>
          <w:szCs w:val="24"/>
        </w:rPr>
        <w:t xml:space="preserve"> comme la plupart des pays en voie de développement notamment ceux en Afrique au sud du Sahara, </w:t>
      </w:r>
      <w:r w:rsidRPr="00CE016E">
        <w:rPr>
          <w:rFonts w:ascii="Times New Roman" w:hAnsi="Times New Roman"/>
          <w:sz w:val="24"/>
          <w:szCs w:val="24"/>
        </w:rPr>
        <w:t>un niveau relativement élevé de pauvreté marqué de fortes disparités régionales et sectorielles.</w:t>
      </w:r>
    </w:p>
    <w:p w:rsidR="00324B2E" w:rsidRPr="00F55B57" w:rsidRDefault="00324B2E" w:rsidP="00F55B57">
      <w:pPr>
        <w:spacing w:line="240"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072372">
        <w:rPr>
          <w:rFonts w:ascii="Times New Roman" w:hAnsi="Times New Roman"/>
          <w:sz w:val="24"/>
          <w:szCs w:val="24"/>
        </w:rPr>
        <w:t xml:space="preserve">Pour inverser cette tendance, le Bénin a élaboré et mis en œuvre différentes générations des Stratégies de Croissance </w:t>
      </w:r>
      <w:r w:rsidR="00A25FB1">
        <w:rPr>
          <w:rFonts w:ascii="Times New Roman" w:hAnsi="Times New Roman"/>
          <w:sz w:val="24"/>
          <w:szCs w:val="24"/>
        </w:rPr>
        <w:t xml:space="preserve">pour la </w:t>
      </w:r>
      <w:r w:rsidRPr="00072372">
        <w:rPr>
          <w:rFonts w:ascii="Times New Roman" w:hAnsi="Times New Roman"/>
          <w:sz w:val="24"/>
          <w:szCs w:val="24"/>
        </w:rPr>
        <w:t>Réduction de la Pauvreté</w:t>
      </w:r>
      <w:r w:rsidRPr="00072372">
        <w:rPr>
          <w:rFonts w:ascii="Times New Roman" w:hAnsi="Times New Roman"/>
          <w:sz w:val="24"/>
          <w:szCs w:val="24"/>
          <w:vertAlign w:val="superscript"/>
        </w:rPr>
        <w:footnoteReference w:id="42"/>
      </w:r>
      <w:r w:rsidRPr="00072372">
        <w:rPr>
          <w:rFonts w:ascii="Times New Roman" w:hAnsi="Times New Roman"/>
          <w:sz w:val="24"/>
          <w:szCs w:val="24"/>
        </w:rPr>
        <w:t xml:space="preserve"> dont l’un des axes importants porte sur l’accélération durable de la croissance et de la transformation de l’économie. Cependant, malgré les progrès réalisés de 2000 à 2010, la corrélation entre les épisodes de croissance relativement soutenue et la pauvreté reste très faible de sorte que l’atteinte de l’objectif de réduire la pauvreté semble hors de portée d’ici 2015.</w:t>
      </w:r>
      <w:r>
        <w:rPr>
          <w:rFonts w:ascii="Times New Roman" w:hAnsi="Times New Roman"/>
          <w:sz w:val="24"/>
          <w:szCs w:val="24"/>
        </w:rPr>
        <w:t xml:space="preserve">Un tel contexte laisse penser que la croissance n’a pas été </w:t>
      </w:r>
      <w:r w:rsidRPr="00263944">
        <w:rPr>
          <w:rFonts w:ascii="Times New Roman" w:hAnsi="Times New Roman"/>
          <w:sz w:val="24"/>
          <w:szCs w:val="24"/>
        </w:rPr>
        <w:t>favorable</w:t>
      </w:r>
      <w:r>
        <w:rPr>
          <w:rStyle w:val="Appelnotedebasdep"/>
          <w:rFonts w:ascii="Times New Roman" w:hAnsi="Times New Roman"/>
          <w:sz w:val="24"/>
          <w:szCs w:val="24"/>
        </w:rPr>
        <w:footnoteReference w:id="43"/>
      </w:r>
      <w:r w:rsidRPr="00263944">
        <w:rPr>
          <w:rFonts w:ascii="Times New Roman" w:hAnsi="Times New Roman"/>
          <w:sz w:val="24"/>
          <w:szCs w:val="24"/>
        </w:rPr>
        <w:t xml:space="preserve"> aux pauvres</w:t>
      </w:r>
      <w:r>
        <w:rPr>
          <w:rFonts w:ascii="Times New Roman" w:hAnsi="Times New Roman"/>
          <w:sz w:val="24"/>
          <w:szCs w:val="24"/>
        </w:rPr>
        <w:t xml:space="preserve">. </w:t>
      </w:r>
    </w:p>
    <w:p w:rsidR="00324B2E" w:rsidRPr="00F55B57" w:rsidRDefault="00324B2E" w:rsidP="00F55B57">
      <w:pPr>
        <w:spacing w:line="240" w:lineRule="auto"/>
        <w:rPr>
          <w:rFonts w:ascii="Times New Roman" w:hAnsi="Times New Roman"/>
          <w:sz w:val="12"/>
          <w:szCs w:val="12"/>
        </w:rPr>
      </w:pPr>
    </w:p>
    <w:p w:rsidR="00324B2E" w:rsidRPr="00873C70" w:rsidRDefault="00324B2E" w:rsidP="00324B2E">
      <w:pPr>
        <w:spacing w:line="276" w:lineRule="auto"/>
        <w:rPr>
          <w:rFonts w:ascii="Times New Roman" w:hAnsi="Times New Roman"/>
          <w:sz w:val="24"/>
          <w:szCs w:val="24"/>
        </w:rPr>
      </w:pPr>
      <w:r>
        <w:rPr>
          <w:rFonts w:ascii="Times New Roman" w:hAnsi="Times New Roman"/>
          <w:sz w:val="24"/>
          <w:szCs w:val="24"/>
        </w:rPr>
        <w:t>Pour mieux cerner cette</w:t>
      </w:r>
      <w:r w:rsidRPr="002161FF">
        <w:rPr>
          <w:rFonts w:ascii="Times New Roman" w:hAnsi="Times New Roman"/>
          <w:sz w:val="24"/>
          <w:szCs w:val="24"/>
        </w:rPr>
        <w:t xml:space="preserve"> déconnexion apparente entre la croissance </w:t>
      </w:r>
      <w:r>
        <w:rPr>
          <w:rFonts w:ascii="Times New Roman" w:hAnsi="Times New Roman"/>
          <w:sz w:val="24"/>
          <w:szCs w:val="24"/>
        </w:rPr>
        <w:t xml:space="preserve">et la pauvreté au Bénin, ce chapitre a été </w:t>
      </w:r>
      <w:r w:rsidRPr="00873C70">
        <w:rPr>
          <w:rFonts w:ascii="Times New Roman" w:hAnsi="Times New Roman"/>
          <w:sz w:val="24"/>
          <w:szCs w:val="24"/>
        </w:rPr>
        <w:t xml:space="preserve">structuré en deux points. Le premier est consacré à l’analyse de l’évolution et de la </w:t>
      </w:r>
      <w:r w:rsidRPr="00263944">
        <w:rPr>
          <w:rFonts w:ascii="Times New Roman" w:hAnsi="Times New Roman"/>
          <w:sz w:val="24"/>
          <w:szCs w:val="24"/>
        </w:rPr>
        <w:t xml:space="preserve">performance de l’économie béninoise. Il met l’accent sur les secteurs porteurs identifiés dans la SCRP </w:t>
      </w:r>
      <w:r w:rsidR="00484DB6">
        <w:rPr>
          <w:rFonts w:ascii="Times New Roman" w:hAnsi="Times New Roman"/>
          <w:sz w:val="24"/>
          <w:szCs w:val="24"/>
        </w:rPr>
        <w:t>3</w:t>
      </w:r>
      <w:r w:rsidRPr="00263944">
        <w:rPr>
          <w:rFonts w:ascii="Times New Roman" w:hAnsi="Times New Roman"/>
          <w:sz w:val="24"/>
          <w:szCs w:val="24"/>
        </w:rPr>
        <w:t xml:space="preserve">. Le deuxième point </w:t>
      </w:r>
      <w:r>
        <w:rPr>
          <w:rFonts w:ascii="Times New Roman" w:hAnsi="Times New Roman"/>
          <w:sz w:val="24"/>
          <w:szCs w:val="24"/>
        </w:rPr>
        <w:t>traite</w:t>
      </w:r>
      <w:r w:rsidRPr="00263944">
        <w:rPr>
          <w:rFonts w:ascii="Times New Roman" w:hAnsi="Times New Roman"/>
          <w:sz w:val="24"/>
          <w:szCs w:val="24"/>
        </w:rPr>
        <w:t xml:space="preserve"> de la nature pro-pauvre de la croissance économique et de</w:t>
      </w:r>
      <w:r>
        <w:rPr>
          <w:rFonts w:ascii="Times New Roman" w:hAnsi="Times New Roman"/>
          <w:sz w:val="24"/>
          <w:szCs w:val="24"/>
        </w:rPr>
        <w:t xml:space="preserve"> s</w:t>
      </w:r>
      <w:r w:rsidRPr="00263944">
        <w:rPr>
          <w:rFonts w:ascii="Times New Roman" w:hAnsi="Times New Roman"/>
          <w:sz w:val="24"/>
          <w:szCs w:val="24"/>
        </w:rPr>
        <w:t xml:space="preserve">a contribution à </w:t>
      </w:r>
      <w:r>
        <w:rPr>
          <w:rFonts w:ascii="Times New Roman" w:hAnsi="Times New Roman"/>
          <w:sz w:val="24"/>
          <w:szCs w:val="24"/>
        </w:rPr>
        <w:t xml:space="preserve">la </w:t>
      </w:r>
      <w:r w:rsidRPr="00263944">
        <w:rPr>
          <w:rFonts w:ascii="Times New Roman" w:hAnsi="Times New Roman"/>
          <w:sz w:val="24"/>
          <w:szCs w:val="24"/>
        </w:rPr>
        <w:t xml:space="preserve">réduction de la pauvreté au Bénin. </w:t>
      </w:r>
    </w:p>
    <w:p w:rsidR="00324B2E" w:rsidRPr="00873C70" w:rsidRDefault="00324B2E" w:rsidP="00F55B57">
      <w:pPr>
        <w:spacing w:line="240" w:lineRule="auto"/>
      </w:pPr>
    </w:p>
    <w:p w:rsidR="00324B2E" w:rsidRPr="00BE67B7" w:rsidRDefault="00117A96" w:rsidP="00324B2E">
      <w:pPr>
        <w:pStyle w:val="Titre2"/>
        <w:spacing w:before="0" w:after="0" w:line="276" w:lineRule="auto"/>
        <w:rPr>
          <w:rFonts w:ascii="Times New Roman" w:hAnsi="Times New Roman" w:cs="Times New Roman"/>
          <w:i w:val="0"/>
          <w:color w:val="31849B" w:themeColor="accent5" w:themeShade="BF"/>
        </w:rPr>
      </w:pPr>
      <w:bookmarkStart w:id="67" w:name="_Toc382322924"/>
      <w:r w:rsidRPr="00BE67B7">
        <w:rPr>
          <w:rFonts w:ascii="Times New Roman" w:hAnsi="Times New Roman" w:cs="Times New Roman"/>
          <w:i w:val="0"/>
          <w:color w:val="31849B" w:themeColor="accent5" w:themeShade="BF"/>
        </w:rPr>
        <w:t>2</w:t>
      </w:r>
      <w:r w:rsidR="00324B2E" w:rsidRPr="00BE67B7">
        <w:rPr>
          <w:rFonts w:ascii="Times New Roman" w:hAnsi="Times New Roman" w:cs="Times New Roman"/>
          <w:i w:val="0"/>
          <w:color w:val="31849B" w:themeColor="accent5" w:themeShade="BF"/>
        </w:rPr>
        <w:t>.2</w:t>
      </w:r>
      <w:r w:rsidR="00A25FB1">
        <w:rPr>
          <w:rFonts w:ascii="Times New Roman" w:hAnsi="Times New Roman" w:cs="Times New Roman"/>
          <w:i w:val="0"/>
          <w:color w:val="31849B" w:themeColor="accent5" w:themeShade="BF"/>
        </w:rPr>
        <w:t xml:space="preserve"> </w:t>
      </w:r>
      <w:r w:rsidR="00324B2E" w:rsidRPr="00BE67B7">
        <w:rPr>
          <w:rFonts w:ascii="Times New Roman" w:hAnsi="Times New Roman" w:cs="Times New Roman"/>
          <w:i w:val="0"/>
          <w:color w:val="31849B" w:themeColor="accent5" w:themeShade="BF"/>
        </w:rPr>
        <w:t>Evolution et performance de l’économie béninoise</w:t>
      </w:r>
      <w:bookmarkEnd w:id="67"/>
    </w:p>
    <w:p w:rsidR="00324B2E" w:rsidRPr="00F55B57" w:rsidRDefault="00324B2E" w:rsidP="00F55B57">
      <w:pPr>
        <w:spacing w:line="240" w:lineRule="auto"/>
        <w:rPr>
          <w:rFonts w:ascii="Times New Roman" w:hAnsi="Times New Roman"/>
          <w:b/>
          <w:bCs/>
          <w:sz w:val="12"/>
          <w:szCs w:val="12"/>
        </w:rPr>
      </w:pPr>
    </w:p>
    <w:p w:rsidR="00324B2E" w:rsidRDefault="00324B2E" w:rsidP="00324B2E">
      <w:pPr>
        <w:spacing w:line="276" w:lineRule="auto"/>
        <w:rPr>
          <w:rFonts w:ascii="Times New Roman" w:hAnsi="Times New Roman"/>
          <w:bCs/>
          <w:sz w:val="24"/>
          <w:szCs w:val="24"/>
        </w:rPr>
      </w:pPr>
      <w:r w:rsidRPr="00E552F4">
        <w:rPr>
          <w:rFonts w:ascii="Times New Roman" w:hAnsi="Times New Roman"/>
          <w:b/>
          <w:bCs/>
          <w:sz w:val="24"/>
          <w:szCs w:val="24"/>
        </w:rPr>
        <w:t xml:space="preserve">Comme le montre le tableau </w:t>
      </w:r>
      <w:r w:rsidR="00D13612">
        <w:rPr>
          <w:rFonts w:ascii="Times New Roman" w:hAnsi="Times New Roman"/>
          <w:b/>
          <w:bCs/>
          <w:sz w:val="24"/>
          <w:szCs w:val="24"/>
        </w:rPr>
        <w:t>2</w:t>
      </w:r>
      <w:r>
        <w:rPr>
          <w:rFonts w:ascii="Times New Roman" w:hAnsi="Times New Roman"/>
          <w:b/>
          <w:bCs/>
          <w:sz w:val="24"/>
          <w:szCs w:val="24"/>
        </w:rPr>
        <w:t>.</w:t>
      </w:r>
      <w:r w:rsidRPr="00E552F4">
        <w:rPr>
          <w:rFonts w:ascii="Times New Roman" w:hAnsi="Times New Roman"/>
          <w:b/>
          <w:bCs/>
          <w:sz w:val="24"/>
          <w:szCs w:val="24"/>
        </w:rPr>
        <w:t>1</w:t>
      </w:r>
      <w:r w:rsidR="00164A6D">
        <w:rPr>
          <w:rFonts w:ascii="Times New Roman" w:hAnsi="Times New Roman"/>
          <w:b/>
          <w:bCs/>
          <w:sz w:val="24"/>
          <w:szCs w:val="24"/>
        </w:rPr>
        <w:t xml:space="preserve"> ci-après</w:t>
      </w:r>
      <w:r w:rsidRPr="00E552F4">
        <w:rPr>
          <w:rFonts w:ascii="Times New Roman" w:hAnsi="Times New Roman"/>
          <w:b/>
          <w:bCs/>
          <w:sz w:val="24"/>
          <w:szCs w:val="24"/>
        </w:rPr>
        <w:t>, l’économie béninoise s’est progressivement transformée avec le choix du libéralisme suite à l’avènement de la démocratie des années 1990.</w:t>
      </w:r>
      <w:r w:rsidRPr="00214006">
        <w:rPr>
          <w:rFonts w:ascii="Times New Roman" w:hAnsi="Times New Roman"/>
          <w:bCs/>
          <w:sz w:val="24"/>
          <w:szCs w:val="24"/>
        </w:rPr>
        <w:t xml:space="preserve"> Ce choix d’abord politique et impulsé par le contexte national et international a amené </w:t>
      </w:r>
      <w:r w:rsidR="0071342D" w:rsidRPr="00214006">
        <w:rPr>
          <w:rFonts w:ascii="Times New Roman" w:hAnsi="Times New Roman"/>
          <w:bCs/>
          <w:sz w:val="24"/>
          <w:szCs w:val="24"/>
        </w:rPr>
        <w:t>l’</w:t>
      </w:r>
      <w:r w:rsidR="0071342D">
        <w:rPr>
          <w:rFonts w:ascii="Times New Roman" w:hAnsi="Times New Roman"/>
          <w:bCs/>
          <w:sz w:val="24"/>
          <w:szCs w:val="24"/>
        </w:rPr>
        <w:t>E</w:t>
      </w:r>
      <w:r w:rsidR="0071342D" w:rsidRPr="00214006">
        <w:rPr>
          <w:rFonts w:ascii="Times New Roman" w:hAnsi="Times New Roman"/>
          <w:bCs/>
          <w:sz w:val="24"/>
          <w:szCs w:val="24"/>
        </w:rPr>
        <w:t xml:space="preserve">tat </w:t>
      </w:r>
      <w:r w:rsidRPr="00214006">
        <w:rPr>
          <w:rFonts w:ascii="Times New Roman" w:hAnsi="Times New Roman"/>
          <w:bCs/>
          <w:sz w:val="24"/>
          <w:szCs w:val="24"/>
        </w:rPr>
        <w:t>à accorder plus de place au secteur privé dans le processus de création de</w:t>
      </w:r>
      <w:r>
        <w:rPr>
          <w:rFonts w:ascii="Times New Roman" w:hAnsi="Times New Roman"/>
          <w:bCs/>
          <w:sz w:val="24"/>
          <w:szCs w:val="24"/>
        </w:rPr>
        <w:t xml:space="preserve"> la</w:t>
      </w:r>
      <w:r w:rsidRPr="00214006">
        <w:rPr>
          <w:rFonts w:ascii="Times New Roman" w:hAnsi="Times New Roman"/>
          <w:bCs/>
          <w:sz w:val="24"/>
          <w:szCs w:val="24"/>
        </w:rPr>
        <w:t xml:space="preserve"> richesse. Les données sur la valeur ajoutée des services des administrations publiques le montrent bien avec la </w:t>
      </w:r>
      <w:r>
        <w:rPr>
          <w:rFonts w:ascii="Times New Roman" w:hAnsi="Times New Roman"/>
          <w:bCs/>
          <w:sz w:val="24"/>
          <w:szCs w:val="24"/>
        </w:rPr>
        <w:t>baisse</w:t>
      </w:r>
      <w:r w:rsidRPr="00214006">
        <w:rPr>
          <w:rFonts w:ascii="Times New Roman" w:hAnsi="Times New Roman"/>
          <w:bCs/>
          <w:sz w:val="24"/>
          <w:szCs w:val="24"/>
        </w:rPr>
        <w:t xml:space="preserve"> progressive du poids des services non marchands</w:t>
      </w:r>
      <w:r w:rsidRPr="003707C5">
        <w:rPr>
          <w:bCs/>
          <w:vertAlign w:val="superscript"/>
        </w:rPr>
        <w:footnoteReference w:id="44"/>
      </w:r>
      <w:r w:rsidRPr="00214006">
        <w:rPr>
          <w:rFonts w:ascii="Times New Roman" w:hAnsi="Times New Roman"/>
          <w:bCs/>
          <w:sz w:val="24"/>
          <w:szCs w:val="24"/>
        </w:rPr>
        <w:t xml:space="preserve"> dans le PIB.</w:t>
      </w:r>
    </w:p>
    <w:p w:rsidR="00324B2E" w:rsidRDefault="00324B2E" w:rsidP="00324B2E">
      <w:pPr>
        <w:spacing w:line="276" w:lineRule="auto"/>
        <w:rPr>
          <w:rFonts w:ascii="Times New Roman" w:hAnsi="Times New Roman"/>
          <w:bCs/>
          <w:sz w:val="24"/>
          <w:szCs w:val="24"/>
        </w:rPr>
      </w:pPr>
    </w:p>
    <w:p w:rsidR="00324B2E" w:rsidRPr="00521974" w:rsidRDefault="00324B2E" w:rsidP="00324B2E">
      <w:pPr>
        <w:spacing w:line="276" w:lineRule="auto"/>
        <w:rPr>
          <w:rFonts w:ascii="Times New Roman" w:hAnsi="Times New Roman"/>
          <w:bCs/>
          <w:sz w:val="24"/>
          <w:szCs w:val="24"/>
        </w:rPr>
      </w:pPr>
      <w:r w:rsidRPr="00521974">
        <w:rPr>
          <w:rFonts w:ascii="Times New Roman" w:hAnsi="Times New Roman"/>
          <w:bCs/>
          <w:sz w:val="24"/>
          <w:szCs w:val="24"/>
        </w:rPr>
        <w:t xml:space="preserve">Entre 1990 et 1994, l’activité économique est dominée par le secteur tertiaire avec une administration publique </w:t>
      </w:r>
      <w:r w:rsidRPr="009558BE">
        <w:rPr>
          <w:rFonts w:ascii="Times New Roman" w:hAnsi="Times New Roman"/>
          <w:bCs/>
          <w:sz w:val="24"/>
          <w:szCs w:val="24"/>
        </w:rPr>
        <w:t xml:space="preserve">plus en essor </w:t>
      </w:r>
      <w:r w:rsidRPr="00521974">
        <w:rPr>
          <w:rFonts w:ascii="Times New Roman" w:hAnsi="Times New Roman"/>
          <w:bCs/>
          <w:sz w:val="24"/>
          <w:szCs w:val="24"/>
        </w:rPr>
        <w:t xml:space="preserve"> que le secteur secondaire. La richesse cré</w:t>
      </w:r>
      <w:r>
        <w:rPr>
          <w:rFonts w:ascii="Times New Roman" w:hAnsi="Times New Roman"/>
          <w:bCs/>
          <w:sz w:val="24"/>
          <w:szCs w:val="24"/>
        </w:rPr>
        <w:t>é</w:t>
      </w:r>
      <w:r w:rsidRPr="00521974">
        <w:rPr>
          <w:rFonts w:ascii="Times New Roman" w:hAnsi="Times New Roman"/>
          <w:bCs/>
          <w:sz w:val="24"/>
          <w:szCs w:val="24"/>
        </w:rPr>
        <w:t xml:space="preserve">e au cours de cette sous période est essentiellement consacrée à la consommation finale (94,8% du PIB). Les dépenses courantes de </w:t>
      </w:r>
      <w:r w:rsidR="0071342D" w:rsidRPr="00521974">
        <w:rPr>
          <w:rFonts w:ascii="Times New Roman" w:hAnsi="Times New Roman"/>
          <w:bCs/>
          <w:sz w:val="24"/>
          <w:szCs w:val="24"/>
        </w:rPr>
        <w:t>l’</w:t>
      </w:r>
      <w:r w:rsidR="0071342D">
        <w:rPr>
          <w:rFonts w:ascii="Times New Roman" w:hAnsi="Times New Roman"/>
          <w:bCs/>
          <w:sz w:val="24"/>
          <w:szCs w:val="24"/>
        </w:rPr>
        <w:t>E</w:t>
      </w:r>
      <w:r w:rsidR="0071342D" w:rsidRPr="00521974">
        <w:rPr>
          <w:rFonts w:ascii="Times New Roman" w:hAnsi="Times New Roman"/>
          <w:bCs/>
          <w:sz w:val="24"/>
          <w:szCs w:val="24"/>
        </w:rPr>
        <w:t>tat</w:t>
      </w:r>
      <w:r w:rsidRPr="00521974">
        <w:rPr>
          <w:rFonts w:ascii="Times New Roman" w:hAnsi="Times New Roman"/>
          <w:bCs/>
          <w:sz w:val="24"/>
          <w:szCs w:val="24"/>
        </w:rPr>
        <w:t xml:space="preserve">, deuxième composante de cette consommation finale, représentaient à elles seules 16,2% du PIB dépassant le total des investissements du pays qui étaient seulement de 14,6%. Cette situation montre le choix de </w:t>
      </w:r>
      <w:r w:rsidR="0071342D" w:rsidRPr="00521974">
        <w:rPr>
          <w:rFonts w:ascii="Times New Roman" w:hAnsi="Times New Roman"/>
          <w:bCs/>
          <w:sz w:val="24"/>
          <w:szCs w:val="24"/>
        </w:rPr>
        <w:t>l’</w:t>
      </w:r>
      <w:r w:rsidR="0071342D">
        <w:rPr>
          <w:rFonts w:ascii="Times New Roman" w:hAnsi="Times New Roman"/>
          <w:bCs/>
          <w:sz w:val="24"/>
          <w:szCs w:val="24"/>
        </w:rPr>
        <w:t>E</w:t>
      </w:r>
      <w:r w:rsidR="0071342D" w:rsidRPr="00521974">
        <w:rPr>
          <w:rFonts w:ascii="Times New Roman" w:hAnsi="Times New Roman"/>
          <w:bCs/>
          <w:sz w:val="24"/>
          <w:szCs w:val="24"/>
        </w:rPr>
        <w:t xml:space="preserve">tat </w:t>
      </w:r>
      <w:r w:rsidRPr="00521974">
        <w:rPr>
          <w:rFonts w:ascii="Times New Roman" w:hAnsi="Times New Roman"/>
          <w:bCs/>
          <w:sz w:val="24"/>
          <w:szCs w:val="24"/>
        </w:rPr>
        <w:t>qui consistait à l’époque</w:t>
      </w:r>
      <w:r w:rsidR="0071342D">
        <w:rPr>
          <w:rFonts w:ascii="Times New Roman" w:hAnsi="Times New Roman"/>
          <w:bCs/>
          <w:sz w:val="24"/>
          <w:szCs w:val="24"/>
        </w:rPr>
        <w:t>,</w:t>
      </w:r>
      <w:r w:rsidRPr="00521974">
        <w:rPr>
          <w:rFonts w:ascii="Times New Roman" w:hAnsi="Times New Roman"/>
          <w:bCs/>
          <w:sz w:val="24"/>
          <w:szCs w:val="24"/>
        </w:rPr>
        <w:t xml:space="preserve"> plus à gérer le quotidien que d’investir pour le futur.</w:t>
      </w:r>
    </w:p>
    <w:p w:rsidR="0017324D" w:rsidRPr="0017324D" w:rsidRDefault="0017324D" w:rsidP="0017324D"/>
    <w:tbl>
      <w:tblPr>
        <w:tblW w:w="5116"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622"/>
        <w:gridCol w:w="1137"/>
        <w:gridCol w:w="707"/>
        <w:gridCol w:w="1154"/>
        <w:gridCol w:w="1112"/>
        <w:gridCol w:w="1420"/>
        <w:gridCol w:w="1274"/>
      </w:tblGrid>
      <w:tr w:rsidR="00106F20" w:rsidRPr="00106F20" w:rsidTr="00106F20">
        <w:trPr>
          <w:trHeight w:val="300"/>
        </w:trPr>
        <w:tc>
          <w:tcPr>
            <w:tcW w:w="5000" w:type="pct"/>
            <w:gridSpan w:val="7"/>
            <w:tcBorders>
              <w:top w:val="nil"/>
              <w:bottom w:val="double" w:sz="4" w:space="0" w:color="auto"/>
            </w:tcBorders>
            <w:shd w:val="clear" w:color="auto" w:fill="92CDDC" w:themeFill="accent5" w:themeFillTint="99"/>
            <w:noWrap/>
            <w:vAlign w:val="center"/>
            <w:hideMark/>
          </w:tcPr>
          <w:p w:rsidR="00106F20" w:rsidRPr="00106F20" w:rsidRDefault="00106F20" w:rsidP="00106F20">
            <w:pPr>
              <w:spacing w:line="240" w:lineRule="auto"/>
              <w:jc w:val="left"/>
              <w:rPr>
                <w:rFonts w:ascii="Times New Roman" w:eastAsia="Times New Roman" w:hAnsi="Times New Roman"/>
                <w:color w:val="000000"/>
                <w:sz w:val="24"/>
                <w:szCs w:val="24"/>
                <w:lang w:eastAsia="fr-FR"/>
              </w:rPr>
            </w:pPr>
            <w:bookmarkStart w:id="68" w:name="_Toc369714583"/>
            <w:bookmarkStart w:id="69" w:name="_Toc373430367"/>
            <w:r w:rsidRPr="00106F20">
              <w:rPr>
                <w:rFonts w:ascii="Times New Roman" w:hAnsi="Times New Roman"/>
                <w:sz w:val="24"/>
                <w:szCs w:val="24"/>
              </w:rPr>
              <w:t xml:space="preserve">Tableau 2. </w:t>
            </w:r>
            <w:r w:rsidR="00182C97" w:rsidRPr="00106F20">
              <w:rPr>
                <w:rFonts w:ascii="Times New Roman" w:hAnsi="Times New Roman"/>
                <w:sz w:val="24"/>
                <w:szCs w:val="24"/>
              </w:rPr>
              <w:fldChar w:fldCharType="begin"/>
            </w:r>
            <w:r w:rsidRPr="00106F20">
              <w:rPr>
                <w:rFonts w:ascii="Times New Roman" w:hAnsi="Times New Roman"/>
                <w:sz w:val="24"/>
                <w:szCs w:val="24"/>
              </w:rPr>
              <w:instrText xml:space="preserve"> SEQ Tableau_2. \* ARABIC </w:instrText>
            </w:r>
            <w:r w:rsidR="00182C97" w:rsidRPr="00106F20">
              <w:rPr>
                <w:rFonts w:ascii="Times New Roman" w:hAnsi="Times New Roman"/>
                <w:sz w:val="24"/>
                <w:szCs w:val="24"/>
              </w:rPr>
              <w:fldChar w:fldCharType="separate"/>
            </w:r>
            <w:r w:rsidR="00AB1967">
              <w:rPr>
                <w:rFonts w:ascii="Times New Roman" w:hAnsi="Times New Roman"/>
                <w:noProof/>
                <w:sz w:val="24"/>
                <w:szCs w:val="24"/>
              </w:rPr>
              <w:t>1</w:t>
            </w:r>
            <w:r w:rsidR="00182C97" w:rsidRPr="00106F20">
              <w:rPr>
                <w:rFonts w:ascii="Times New Roman" w:hAnsi="Times New Roman"/>
                <w:sz w:val="24"/>
                <w:szCs w:val="24"/>
              </w:rPr>
              <w:fldChar w:fldCharType="end"/>
            </w:r>
            <w:r w:rsidRPr="00106F20">
              <w:rPr>
                <w:rFonts w:ascii="Times New Roman" w:hAnsi="Times New Roman"/>
                <w:sz w:val="24"/>
                <w:szCs w:val="24"/>
              </w:rPr>
              <w:t>: Structure de l'économie béninoise entre 1990 et 2011</w:t>
            </w:r>
            <w:bookmarkEnd w:id="68"/>
            <w:bookmarkEnd w:id="69"/>
          </w:p>
        </w:tc>
      </w:tr>
      <w:tr w:rsidR="00324B2E" w:rsidRPr="00CB7DD4" w:rsidTr="00106F20">
        <w:trPr>
          <w:trHeight w:val="300"/>
        </w:trPr>
        <w:tc>
          <w:tcPr>
            <w:tcW w:w="1391" w:type="pct"/>
            <w:tcBorders>
              <w:top w:val="double" w:sz="4" w:space="0" w:color="auto"/>
              <w:bottom w:val="single" w:sz="4" w:space="0" w:color="000000" w:themeColor="text1"/>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Période</w:t>
            </w:r>
          </w:p>
        </w:tc>
        <w:tc>
          <w:tcPr>
            <w:tcW w:w="603" w:type="pct"/>
            <w:tcBorders>
              <w:top w:val="double" w:sz="4" w:space="0" w:color="auto"/>
              <w:left w:val="nil"/>
              <w:bottom w:val="single" w:sz="4" w:space="0" w:color="000000" w:themeColor="text1"/>
              <w:right w:val="nil"/>
            </w:tcBorders>
            <w:shd w:val="clear" w:color="auto" w:fill="DAEEF3" w:themeFill="accent5" w:themeFillTint="33"/>
            <w:noWrap/>
            <w:vAlign w:val="center"/>
            <w:hideMark/>
          </w:tcPr>
          <w:p w:rsidR="00324B2E" w:rsidRPr="00CB7DD4" w:rsidRDefault="00324B2E" w:rsidP="00B3583B">
            <w:pPr>
              <w:spacing w:line="240" w:lineRule="auto"/>
              <w:jc w:val="center"/>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1990-199</w:t>
            </w:r>
            <w:r w:rsidR="00C2688F">
              <w:rPr>
                <w:rFonts w:ascii="Times New Roman" w:eastAsia="Times New Roman" w:hAnsi="Times New Roman"/>
                <w:color w:val="000000"/>
                <w:sz w:val="20"/>
                <w:szCs w:val="20"/>
                <w:lang w:eastAsia="fr-FR"/>
              </w:rPr>
              <w:t>3</w:t>
            </w:r>
          </w:p>
        </w:tc>
        <w:tc>
          <w:tcPr>
            <w:tcW w:w="375" w:type="pct"/>
            <w:tcBorders>
              <w:top w:val="double" w:sz="4" w:space="0" w:color="auto"/>
              <w:left w:val="nil"/>
              <w:bottom w:val="single" w:sz="4" w:space="0" w:color="000000" w:themeColor="text1"/>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1994</w:t>
            </w:r>
          </w:p>
        </w:tc>
        <w:tc>
          <w:tcPr>
            <w:tcW w:w="612" w:type="pct"/>
            <w:tcBorders>
              <w:top w:val="double" w:sz="4" w:space="0" w:color="auto"/>
              <w:left w:val="nil"/>
              <w:bottom w:val="single" w:sz="4" w:space="0" w:color="000000" w:themeColor="text1"/>
              <w:right w:val="nil"/>
            </w:tcBorders>
            <w:shd w:val="clear" w:color="auto" w:fill="DAEEF3" w:themeFill="accent5" w:themeFillTint="33"/>
            <w:noWrap/>
            <w:vAlign w:val="center"/>
            <w:hideMark/>
          </w:tcPr>
          <w:p w:rsidR="00324B2E" w:rsidRPr="00CB7DD4" w:rsidRDefault="00324B2E" w:rsidP="00B3583B">
            <w:pPr>
              <w:spacing w:line="240" w:lineRule="auto"/>
              <w:jc w:val="center"/>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199</w:t>
            </w:r>
            <w:r w:rsidR="00C2688F">
              <w:rPr>
                <w:rFonts w:ascii="Times New Roman" w:eastAsia="Times New Roman" w:hAnsi="Times New Roman"/>
                <w:color w:val="000000"/>
                <w:sz w:val="20"/>
                <w:szCs w:val="20"/>
                <w:lang w:eastAsia="fr-FR"/>
              </w:rPr>
              <w:t>5</w:t>
            </w:r>
            <w:r w:rsidRPr="00CB7DD4">
              <w:rPr>
                <w:rFonts w:ascii="Times New Roman" w:eastAsia="Times New Roman" w:hAnsi="Times New Roman"/>
                <w:color w:val="000000"/>
                <w:sz w:val="20"/>
                <w:szCs w:val="20"/>
                <w:lang w:eastAsia="fr-FR"/>
              </w:rPr>
              <w:t>-</w:t>
            </w:r>
            <w:r w:rsidR="00B3583B">
              <w:rPr>
                <w:rFonts w:ascii="Times New Roman" w:eastAsia="Times New Roman" w:hAnsi="Times New Roman"/>
                <w:color w:val="000000"/>
                <w:sz w:val="20"/>
                <w:szCs w:val="20"/>
                <w:lang w:eastAsia="fr-FR"/>
              </w:rPr>
              <w:t>1999</w:t>
            </w:r>
          </w:p>
        </w:tc>
        <w:tc>
          <w:tcPr>
            <w:tcW w:w="590" w:type="pct"/>
            <w:tcBorders>
              <w:top w:val="double" w:sz="4" w:space="0" w:color="auto"/>
              <w:left w:val="nil"/>
              <w:bottom w:val="single" w:sz="4" w:space="0" w:color="000000" w:themeColor="text1"/>
              <w:right w:val="nil"/>
            </w:tcBorders>
            <w:shd w:val="clear" w:color="auto" w:fill="DAEEF3" w:themeFill="accent5" w:themeFillTint="33"/>
            <w:noWrap/>
            <w:vAlign w:val="center"/>
            <w:hideMark/>
          </w:tcPr>
          <w:p w:rsidR="00324B2E" w:rsidRPr="00CB7DD4" w:rsidRDefault="00324B2E" w:rsidP="00A11C4C">
            <w:pPr>
              <w:spacing w:line="240" w:lineRule="auto"/>
              <w:jc w:val="center"/>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2000-</w:t>
            </w:r>
            <w:r w:rsidR="00A11C4C" w:rsidRPr="00CB7DD4">
              <w:rPr>
                <w:rFonts w:ascii="Times New Roman" w:eastAsia="Times New Roman" w:hAnsi="Times New Roman"/>
                <w:color w:val="000000"/>
                <w:sz w:val="20"/>
                <w:szCs w:val="20"/>
                <w:lang w:eastAsia="fr-FR"/>
              </w:rPr>
              <w:t>200</w:t>
            </w:r>
            <w:r w:rsidR="00A11C4C">
              <w:rPr>
                <w:rFonts w:ascii="Times New Roman" w:eastAsia="Times New Roman" w:hAnsi="Times New Roman"/>
                <w:color w:val="000000"/>
                <w:sz w:val="20"/>
                <w:szCs w:val="20"/>
                <w:lang w:eastAsia="fr-FR"/>
              </w:rPr>
              <w:t>5</w:t>
            </w:r>
          </w:p>
        </w:tc>
        <w:tc>
          <w:tcPr>
            <w:tcW w:w="753" w:type="pct"/>
            <w:tcBorders>
              <w:top w:val="double" w:sz="4" w:space="0" w:color="auto"/>
              <w:left w:val="nil"/>
              <w:bottom w:val="single" w:sz="4" w:space="0" w:color="000000" w:themeColor="text1"/>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2006-2011</w:t>
            </w:r>
          </w:p>
        </w:tc>
        <w:tc>
          <w:tcPr>
            <w:tcW w:w="676" w:type="pct"/>
            <w:tcBorders>
              <w:top w:val="double" w:sz="4" w:space="0" w:color="auto"/>
              <w:left w:val="nil"/>
              <w:bottom w:val="single" w:sz="4" w:space="0" w:color="000000" w:themeColor="text1"/>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Moyenne (1990-2011)</w:t>
            </w:r>
          </w:p>
        </w:tc>
      </w:tr>
      <w:tr w:rsidR="00324B2E" w:rsidRPr="00CB7DD4" w:rsidTr="00361294">
        <w:trPr>
          <w:trHeight w:val="300"/>
        </w:trPr>
        <w:tc>
          <w:tcPr>
            <w:tcW w:w="1391" w:type="pct"/>
            <w:tcBorders>
              <w:top w:val="single" w:sz="4" w:space="0" w:color="000000" w:themeColor="text1"/>
              <w:bottom w:val="nil"/>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PIB (Milliards de FCFA)</w:t>
            </w:r>
          </w:p>
        </w:tc>
        <w:tc>
          <w:tcPr>
            <w:tcW w:w="603" w:type="pct"/>
            <w:tcBorders>
              <w:top w:val="single" w:sz="4" w:space="0" w:color="000000" w:themeColor="text1"/>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583,1</w:t>
            </w:r>
          </w:p>
        </w:tc>
        <w:tc>
          <w:tcPr>
            <w:tcW w:w="375" w:type="pct"/>
            <w:tcBorders>
              <w:top w:val="single" w:sz="4" w:space="0" w:color="000000" w:themeColor="text1"/>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887,3</w:t>
            </w:r>
          </w:p>
        </w:tc>
        <w:tc>
          <w:tcPr>
            <w:tcW w:w="612" w:type="pct"/>
            <w:tcBorders>
              <w:top w:val="single" w:sz="4" w:space="0" w:color="000000" w:themeColor="text1"/>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1319,1</w:t>
            </w:r>
          </w:p>
        </w:tc>
        <w:tc>
          <w:tcPr>
            <w:tcW w:w="590" w:type="pct"/>
            <w:tcBorders>
              <w:top w:val="single" w:sz="4" w:space="0" w:color="000000" w:themeColor="text1"/>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1995,8</w:t>
            </w:r>
          </w:p>
        </w:tc>
        <w:tc>
          <w:tcPr>
            <w:tcW w:w="753" w:type="pct"/>
            <w:tcBorders>
              <w:top w:val="single" w:sz="4" w:space="0" w:color="000000" w:themeColor="text1"/>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2978,4</w:t>
            </w:r>
          </w:p>
        </w:tc>
        <w:tc>
          <w:tcPr>
            <w:tcW w:w="676" w:type="pct"/>
            <w:tcBorders>
              <w:top w:val="single" w:sz="4" w:space="0" w:color="000000" w:themeColor="text1"/>
              <w:left w:val="nil"/>
              <w:bottom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1802,7</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Secteur primaire (%PIB)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34,4</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32,3</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35,4</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33,3</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32,4</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33,7</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Secteur secondaire (%PIB)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12,3</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13,3</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13,1</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13,4</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13,0</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13,0</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Secteur tertiaire (%PIB)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36,5</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37,0</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34,4</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35,0</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36,0</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35,5</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Services non marchands</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13,8</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13,1</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11,3</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10,3</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10,3</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11,3</w:t>
            </w:r>
          </w:p>
        </w:tc>
      </w:tr>
      <w:tr w:rsidR="00324B2E" w:rsidRPr="00CB7DD4"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Importation (%PIB)</w:t>
            </w:r>
          </w:p>
        </w:tc>
        <w:tc>
          <w:tcPr>
            <w:tcW w:w="60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30,8</w:t>
            </w:r>
          </w:p>
        </w:tc>
        <w:tc>
          <w:tcPr>
            <w:tcW w:w="375"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36,1</w:t>
            </w:r>
          </w:p>
        </w:tc>
        <w:tc>
          <w:tcPr>
            <w:tcW w:w="612"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33,1</w:t>
            </w:r>
          </w:p>
        </w:tc>
        <w:tc>
          <w:tcPr>
            <w:tcW w:w="590"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30,0</w:t>
            </w:r>
          </w:p>
        </w:tc>
        <w:tc>
          <w:tcPr>
            <w:tcW w:w="75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26,2</w:t>
            </w:r>
          </w:p>
        </w:tc>
        <w:tc>
          <w:tcPr>
            <w:tcW w:w="676" w:type="pct"/>
            <w:tcBorders>
              <w:top w:val="nil"/>
              <w:left w:val="nil"/>
              <w:bottom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30,1</w:t>
            </w:r>
          </w:p>
        </w:tc>
      </w:tr>
      <w:tr w:rsidR="00324B2E" w:rsidRPr="00CB7DD4"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PIB/Tête ($US/Jour)</w:t>
            </w:r>
          </w:p>
        </w:tc>
        <w:tc>
          <w:tcPr>
            <w:tcW w:w="60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1,2</w:t>
            </w:r>
          </w:p>
        </w:tc>
        <w:tc>
          <w:tcPr>
            <w:tcW w:w="375"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0,9</w:t>
            </w:r>
          </w:p>
        </w:tc>
        <w:tc>
          <w:tcPr>
            <w:tcW w:w="612"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1,2</w:t>
            </w:r>
          </w:p>
        </w:tc>
        <w:tc>
          <w:tcPr>
            <w:tcW w:w="590"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1,5</w:t>
            </w:r>
          </w:p>
        </w:tc>
        <w:tc>
          <w:tcPr>
            <w:tcW w:w="75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1,9</w:t>
            </w:r>
          </w:p>
        </w:tc>
        <w:tc>
          <w:tcPr>
            <w:tcW w:w="676" w:type="pct"/>
            <w:tcBorders>
              <w:top w:val="nil"/>
              <w:left w:val="nil"/>
              <w:bottom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1,4</w:t>
            </w:r>
          </w:p>
        </w:tc>
      </w:tr>
      <w:tr w:rsidR="00324B2E" w:rsidRPr="00CB7DD4" w:rsidTr="00361294">
        <w:trPr>
          <w:trHeight w:val="142"/>
        </w:trPr>
        <w:tc>
          <w:tcPr>
            <w:tcW w:w="1391" w:type="pct"/>
            <w:tcBorders>
              <w:top w:val="nil"/>
              <w:bottom w:val="nil"/>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color w:val="000000"/>
                <w:sz w:val="20"/>
                <w:szCs w:val="20"/>
                <w:lang w:eastAsia="fr-FR"/>
              </w:rPr>
            </w:pPr>
            <w:r w:rsidRPr="00CB7DD4">
              <w:rPr>
                <w:rFonts w:ascii="Times New Roman" w:eastAsia="Times New Roman" w:hAnsi="Times New Roman"/>
                <w:color w:val="000000"/>
                <w:sz w:val="20"/>
                <w:szCs w:val="20"/>
                <w:lang w:eastAsia="fr-FR"/>
              </w:rPr>
              <w:t> </w:t>
            </w:r>
          </w:p>
        </w:tc>
        <w:tc>
          <w:tcPr>
            <w:tcW w:w="60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p>
        </w:tc>
        <w:tc>
          <w:tcPr>
            <w:tcW w:w="375"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p>
        </w:tc>
        <w:tc>
          <w:tcPr>
            <w:tcW w:w="612"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p>
        </w:tc>
        <w:tc>
          <w:tcPr>
            <w:tcW w:w="590"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p>
        </w:tc>
        <w:tc>
          <w:tcPr>
            <w:tcW w:w="75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p>
        </w:tc>
        <w:tc>
          <w:tcPr>
            <w:tcW w:w="676" w:type="pct"/>
            <w:tcBorders>
              <w:top w:val="nil"/>
              <w:left w:val="nil"/>
              <w:bottom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color w:val="000000"/>
                <w:sz w:val="20"/>
                <w:szCs w:val="20"/>
                <w:lang w:eastAsia="fr-FR"/>
              </w:rPr>
            </w:pPr>
          </w:p>
        </w:tc>
      </w:tr>
      <w:tr w:rsidR="00324B2E" w:rsidRPr="00CB7DD4"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CB7DD4" w:rsidRDefault="00324B2E" w:rsidP="00582942">
            <w:pPr>
              <w:spacing w:line="240" w:lineRule="auto"/>
              <w:jc w:val="left"/>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Consommation finale (%PIB)</w:t>
            </w:r>
          </w:p>
        </w:tc>
        <w:tc>
          <w:tcPr>
            <w:tcW w:w="60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94,8</w:t>
            </w:r>
          </w:p>
        </w:tc>
        <w:tc>
          <w:tcPr>
            <w:tcW w:w="375"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89,9</w:t>
            </w:r>
          </w:p>
        </w:tc>
        <w:tc>
          <w:tcPr>
            <w:tcW w:w="612"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86,9</w:t>
            </w:r>
          </w:p>
        </w:tc>
        <w:tc>
          <w:tcPr>
            <w:tcW w:w="590"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88,6</w:t>
            </w:r>
          </w:p>
        </w:tc>
        <w:tc>
          <w:tcPr>
            <w:tcW w:w="75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88,1</w:t>
            </w:r>
          </w:p>
        </w:tc>
        <w:tc>
          <w:tcPr>
            <w:tcW w:w="676" w:type="pct"/>
            <w:tcBorders>
              <w:top w:val="nil"/>
              <w:left w:val="nil"/>
              <w:bottom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89,3</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 xml:space="preserve">Consommation finale des </w:t>
            </w:r>
          </w:p>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 xml:space="preserve">     ménages (%PIB)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78,6</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74,3</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73,4</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76,2</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76,2</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75,9</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 xml:space="preserve">Consommation finale </w:t>
            </w:r>
          </w:p>
          <w:p w:rsidR="00324B2E" w:rsidRPr="00582942" w:rsidRDefault="00895521"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publique (</w:t>
            </w:r>
            <w:r w:rsidR="00324B2E" w:rsidRPr="00A87AD5">
              <w:rPr>
                <w:rFonts w:ascii="Times New Roman" w:eastAsia="Times New Roman" w:hAnsi="Times New Roman"/>
                <w:color w:val="000000"/>
                <w:sz w:val="20"/>
                <w:szCs w:val="20"/>
                <w:lang w:eastAsia="fr-FR"/>
              </w:rPr>
              <w:t>%PIB)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16,2</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15,6</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13,5</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12,3</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12,0</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13,3</w:t>
            </w:r>
          </w:p>
        </w:tc>
      </w:tr>
      <w:tr w:rsidR="00324B2E" w:rsidRPr="00CB7DD4"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Investissement (%PIB)</w:t>
            </w:r>
          </w:p>
        </w:tc>
        <w:tc>
          <w:tcPr>
            <w:tcW w:w="60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14,6</w:t>
            </w:r>
          </w:p>
        </w:tc>
        <w:tc>
          <w:tcPr>
            <w:tcW w:w="375"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17,8</w:t>
            </w:r>
          </w:p>
        </w:tc>
        <w:tc>
          <w:tcPr>
            <w:tcW w:w="612"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18,8</w:t>
            </w:r>
          </w:p>
        </w:tc>
        <w:tc>
          <w:tcPr>
            <w:tcW w:w="590"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19,3</w:t>
            </w:r>
          </w:p>
        </w:tc>
        <w:tc>
          <w:tcPr>
            <w:tcW w:w="753" w:type="pct"/>
            <w:tcBorders>
              <w:top w:val="nil"/>
              <w:left w:val="nil"/>
              <w:bottom w:val="nil"/>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20,9</w:t>
            </w:r>
          </w:p>
        </w:tc>
        <w:tc>
          <w:tcPr>
            <w:tcW w:w="676" w:type="pct"/>
            <w:tcBorders>
              <w:top w:val="nil"/>
              <w:left w:val="nil"/>
              <w:bottom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18,7</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Investissement privé (%PIB)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10,7</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11,7</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13,3</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12,0</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12,2</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12,1</w:t>
            </w:r>
          </w:p>
        </w:tc>
      </w:tr>
      <w:tr w:rsidR="00324B2E" w:rsidRPr="00A87AD5" w:rsidTr="00361294">
        <w:trPr>
          <w:trHeight w:val="300"/>
        </w:trPr>
        <w:tc>
          <w:tcPr>
            <w:tcW w:w="1391" w:type="pct"/>
            <w:tcBorders>
              <w:top w:val="nil"/>
              <w:bottom w:val="nil"/>
              <w:right w:val="nil"/>
            </w:tcBorders>
            <w:shd w:val="clear" w:color="auto" w:fill="DAEEF3" w:themeFill="accent5" w:themeFillTint="33"/>
            <w:noWrap/>
            <w:vAlign w:val="center"/>
            <w:hideMark/>
          </w:tcPr>
          <w:p w:rsidR="00324B2E" w:rsidRPr="00A87AD5" w:rsidRDefault="00324B2E" w:rsidP="00582942">
            <w:pPr>
              <w:spacing w:line="240" w:lineRule="auto"/>
              <w:ind w:left="284"/>
              <w:jc w:val="left"/>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Investissement public (%PIB)</w:t>
            </w:r>
          </w:p>
        </w:tc>
        <w:tc>
          <w:tcPr>
            <w:tcW w:w="60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3,9</w:t>
            </w:r>
          </w:p>
        </w:tc>
        <w:tc>
          <w:tcPr>
            <w:tcW w:w="375"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6,1</w:t>
            </w:r>
          </w:p>
        </w:tc>
        <w:tc>
          <w:tcPr>
            <w:tcW w:w="612"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5,5</w:t>
            </w:r>
          </w:p>
        </w:tc>
        <w:tc>
          <w:tcPr>
            <w:tcW w:w="590"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7,4</w:t>
            </w:r>
          </w:p>
        </w:tc>
        <w:tc>
          <w:tcPr>
            <w:tcW w:w="753" w:type="pct"/>
            <w:tcBorders>
              <w:top w:val="nil"/>
              <w:left w:val="nil"/>
              <w:bottom w:val="nil"/>
              <w:right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8,8</w:t>
            </w:r>
          </w:p>
        </w:tc>
        <w:tc>
          <w:tcPr>
            <w:tcW w:w="676" w:type="pct"/>
            <w:tcBorders>
              <w:top w:val="nil"/>
              <w:left w:val="nil"/>
              <w:bottom w:val="nil"/>
            </w:tcBorders>
            <w:shd w:val="clear" w:color="auto" w:fill="DAEEF3" w:themeFill="accent5" w:themeFillTint="33"/>
            <w:noWrap/>
            <w:vAlign w:val="center"/>
            <w:hideMark/>
          </w:tcPr>
          <w:p w:rsidR="00324B2E" w:rsidRPr="00A87AD5" w:rsidRDefault="00324B2E" w:rsidP="005C6195">
            <w:pPr>
              <w:spacing w:line="240" w:lineRule="auto"/>
              <w:jc w:val="center"/>
              <w:rPr>
                <w:rFonts w:ascii="Times New Roman" w:eastAsia="Times New Roman" w:hAnsi="Times New Roman"/>
                <w:color w:val="000000"/>
                <w:sz w:val="20"/>
                <w:szCs w:val="20"/>
                <w:lang w:eastAsia="fr-FR"/>
              </w:rPr>
            </w:pPr>
            <w:r w:rsidRPr="00A87AD5">
              <w:rPr>
                <w:rFonts w:ascii="Times New Roman" w:eastAsia="Times New Roman" w:hAnsi="Times New Roman"/>
                <w:color w:val="000000"/>
                <w:sz w:val="20"/>
                <w:szCs w:val="20"/>
                <w:lang w:eastAsia="fr-FR"/>
              </w:rPr>
              <w:t>6,6</w:t>
            </w:r>
          </w:p>
        </w:tc>
      </w:tr>
      <w:tr w:rsidR="00324B2E" w:rsidRPr="00CB7DD4" w:rsidTr="00361294">
        <w:trPr>
          <w:trHeight w:val="300"/>
        </w:trPr>
        <w:tc>
          <w:tcPr>
            <w:tcW w:w="1391" w:type="pct"/>
            <w:tcBorders>
              <w:top w:val="nil"/>
              <w:bottom w:val="double" w:sz="4" w:space="0" w:color="auto"/>
              <w:right w:val="nil"/>
            </w:tcBorders>
            <w:shd w:val="clear" w:color="auto" w:fill="DAEEF3" w:themeFill="accent5" w:themeFillTint="33"/>
            <w:noWrap/>
            <w:vAlign w:val="center"/>
            <w:hideMark/>
          </w:tcPr>
          <w:p w:rsidR="00324B2E" w:rsidRPr="00CB7DD4" w:rsidRDefault="00324B2E" w:rsidP="005C6195">
            <w:pPr>
              <w:spacing w:line="240" w:lineRule="auto"/>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Exportation (%PIB)</w:t>
            </w:r>
          </w:p>
        </w:tc>
        <w:tc>
          <w:tcPr>
            <w:tcW w:w="603" w:type="pct"/>
            <w:tcBorders>
              <w:top w:val="nil"/>
              <w:left w:val="nil"/>
              <w:bottom w:val="double" w:sz="4" w:space="0" w:color="auto"/>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21,5</w:t>
            </w:r>
          </w:p>
        </w:tc>
        <w:tc>
          <w:tcPr>
            <w:tcW w:w="375" w:type="pct"/>
            <w:tcBorders>
              <w:top w:val="nil"/>
              <w:left w:val="nil"/>
              <w:bottom w:val="double" w:sz="4" w:space="0" w:color="auto"/>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28,3</w:t>
            </w:r>
          </w:p>
        </w:tc>
        <w:tc>
          <w:tcPr>
            <w:tcW w:w="612" w:type="pct"/>
            <w:tcBorders>
              <w:top w:val="nil"/>
              <w:left w:val="nil"/>
              <w:bottom w:val="double" w:sz="4" w:space="0" w:color="auto"/>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27,4</w:t>
            </w:r>
          </w:p>
        </w:tc>
        <w:tc>
          <w:tcPr>
            <w:tcW w:w="590" w:type="pct"/>
            <w:tcBorders>
              <w:top w:val="nil"/>
              <w:left w:val="nil"/>
              <w:bottom w:val="double" w:sz="4" w:space="0" w:color="auto"/>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22,1</w:t>
            </w:r>
          </w:p>
        </w:tc>
        <w:tc>
          <w:tcPr>
            <w:tcW w:w="753" w:type="pct"/>
            <w:tcBorders>
              <w:top w:val="nil"/>
              <w:left w:val="nil"/>
              <w:bottom w:val="double" w:sz="4" w:space="0" w:color="auto"/>
              <w:right w:val="nil"/>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17,2</w:t>
            </w:r>
          </w:p>
        </w:tc>
        <w:tc>
          <w:tcPr>
            <w:tcW w:w="676" w:type="pct"/>
            <w:tcBorders>
              <w:top w:val="nil"/>
              <w:left w:val="nil"/>
              <w:bottom w:val="double" w:sz="4" w:space="0" w:color="auto"/>
            </w:tcBorders>
            <w:shd w:val="clear" w:color="auto" w:fill="DAEEF3" w:themeFill="accent5" w:themeFillTint="33"/>
            <w:noWrap/>
            <w:vAlign w:val="center"/>
            <w:hideMark/>
          </w:tcPr>
          <w:p w:rsidR="00324B2E" w:rsidRPr="00CB7DD4" w:rsidRDefault="00324B2E" w:rsidP="005C6195">
            <w:pPr>
              <w:spacing w:line="240" w:lineRule="auto"/>
              <w:jc w:val="center"/>
              <w:rPr>
                <w:rFonts w:ascii="Times New Roman" w:eastAsia="Times New Roman" w:hAnsi="Times New Roman"/>
                <w:b/>
                <w:color w:val="000000"/>
                <w:sz w:val="20"/>
                <w:szCs w:val="20"/>
                <w:lang w:eastAsia="fr-FR"/>
              </w:rPr>
            </w:pPr>
            <w:r w:rsidRPr="00CB7DD4">
              <w:rPr>
                <w:rFonts w:ascii="Times New Roman" w:eastAsia="Times New Roman" w:hAnsi="Times New Roman"/>
                <w:b/>
                <w:color w:val="000000"/>
                <w:sz w:val="20"/>
                <w:szCs w:val="20"/>
                <w:lang w:eastAsia="fr-FR"/>
              </w:rPr>
              <w:t>22,1</w:t>
            </w:r>
          </w:p>
        </w:tc>
      </w:tr>
      <w:tr w:rsidR="00582942" w:rsidRPr="00CB7DD4" w:rsidTr="00AB3BBB">
        <w:trPr>
          <w:trHeight w:val="300"/>
        </w:trPr>
        <w:tc>
          <w:tcPr>
            <w:tcW w:w="5000" w:type="pct"/>
            <w:gridSpan w:val="7"/>
            <w:tcBorders>
              <w:top w:val="double" w:sz="4" w:space="0" w:color="auto"/>
              <w:bottom w:val="nil"/>
            </w:tcBorders>
            <w:shd w:val="clear" w:color="auto" w:fill="DAEEF3" w:themeFill="accent5" w:themeFillTint="33"/>
            <w:noWrap/>
            <w:vAlign w:val="center"/>
            <w:hideMark/>
          </w:tcPr>
          <w:p w:rsidR="00582942" w:rsidRPr="00582942" w:rsidRDefault="00582942" w:rsidP="00582942">
            <w:pPr>
              <w:spacing w:line="240" w:lineRule="auto"/>
              <w:jc w:val="left"/>
              <w:rPr>
                <w:rFonts w:ascii="Times New Roman" w:hAnsi="Times New Roman"/>
                <w:sz w:val="24"/>
                <w:szCs w:val="24"/>
              </w:rPr>
            </w:pPr>
            <w:r w:rsidRPr="00521974">
              <w:rPr>
                <w:rFonts w:ascii="Times New Roman" w:hAnsi="Times New Roman"/>
                <w:sz w:val="24"/>
                <w:szCs w:val="24"/>
              </w:rPr>
              <w:t xml:space="preserve">Source : INSAE, </w:t>
            </w:r>
            <w:r>
              <w:rPr>
                <w:rFonts w:ascii="Times New Roman" w:hAnsi="Times New Roman"/>
                <w:sz w:val="24"/>
                <w:szCs w:val="24"/>
              </w:rPr>
              <w:t>2013</w:t>
            </w:r>
          </w:p>
        </w:tc>
      </w:tr>
    </w:tbl>
    <w:p w:rsidR="00324B2E" w:rsidRDefault="00324B2E" w:rsidP="00F55B57">
      <w:pPr>
        <w:spacing w:line="240" w:lineRule="auto"/>
        <w:rPr>
          <w:rFonts w:ascii="Times New Roman" w:hAnsi="Times New Roman"/>
          <w:bCs/>
          <w:sz w:val="24"/>
          <w:szCs w:val="24"/>
        </w:rPr>
      </w:pPr>
    </w:p>
    <w:p w:rsidR="00324B2E" w:rsidRPr="00521974" w:rsidRDefault="00832112" w:rsidP="00324B2E">
      <w:pPr>
        <w:spacing w:line="276" w:lineRule="auto"/>
        <w:rPr>
          <w:rFonts w:ascii="Times New Roman" w:hAnsi="Times New Roman"/>
          <w:bCs/>
          <w:sz w:val="24"/>
          <w:szCs w:val="24"/>
        </w:rPr>
      </w:pPr>
      <w:r w:rsidRPr="00C96FD7">
        <w:rPr>
          <w:rFonts w:ascii="Times New Roman" w:hAnsi="Times New Roman"/>
          <w:bCs/>
          <w:sz w:val="24"/>
          <w:szCs w:val="24"/>
        </w:rPr>
        <w:t>En 1994, le franc CFA est dévalué de 100%</w:t>
      </w:r>
      <w:r w:rsidR="00324B2E" w:rsidRPr="00521974">
        <w:rPr>
          <w:rFonts w:ascii="Times New Roman" w:hAnsi="Times New Roman"/>
          <w:bCs/>
          <w:sz w:val="24"/>
          <w:szCs w:val="24"/>
        </w:rPr>
        <w:t xml:space="preserve">. L’économie béninoise étant très peu diversifiée, la part du PIB allouée aux importations est la plus élevée possible cette année que sur toute la période. La baisse du pouvoir d’achat des ménages </w:t>
      </w:r>
      <w:r w:rsidR="00324B2E">
        <w:rPr>
          <w:rFonts w:ascii="Times New Roman" w:hAnsi="Times New Roman"/>
          <w:bCs/>
          <w:sz w:val="24"/>
          <w:szCs w:val="24"/>
        </w:rPr>
        <w:t>induite</w:t>
      </w:r>
      <w:r w:rsidR="00324B2E" w:rsidRPr="00521974">
        <w:rPr>
          <w:rFonts w:ascii="Times New Roman" w:hAnsi="Times New Roman"/>
          <w:bCs/>
          <w:sz w:val="24"/>
          <w:szCs w:val="24"/>
        </w:rPr>
        <w:t xml:space="preserve"> par cette politique monétaire conduit à infléchir la part de la consommation finale dans le PIB. La bonne performance pour l’économie en cette année provient des exportations qui représentaient 28,3% du PIB, niveau record sur toute la période.  </w:t>
      </w:r>
    </w:p>
    <w:p w:rsidR="00324B2E" w:rsidRPr="00F55B57" w:rsidRDefault="00324B2E" w:rsidP="00324B2E">
      <w:pPr>
        <w:spacing w:line="276" w:lineRule="auto"/>
        <w:rPr>
          <w:rFonts w:ascii="Times New Roman" w:hAnsi="Times New Roman"/>
          <w:bCs/>
          <w:sz w:val="12"/>
          <w:szCs w:val="12"/>
        </w:rPr>
      </w:pPr>
    </w:p>
    <w:p w:rsidR="00324B2E" w:rsidRPr="00521974" w:rsidRDefault="00324B2E" w:rsidP="00324B2E">
      <w:pPr>
        <w:spacing w:line="276" w:lineRule="auto"/>
        <w:rPr>
          <w:rFonts w:ascii="Times New Roman" w:hAnsi="Times New Roman"/>
          <w:bCs/>
          <w:sz w:val="24"/>
          <w:szCs w:val="24"/>
        </w:rPr>
      </w:pPr>
      <w:r w:rsidRPr="00521974">
        <w:rPr>
          <w:rFonts w:ascii="Times New Roman" w:hAnsi="Times New Roman"/>
          <w:bCs/>
          <w:sz w:val="24"/>
          <w:szCs w:val="24"/>
        </w:rPr>
        <w:t xml:space="preserve">Entre 1995 et 1999, le secteur primaire devient le plus important dans la structure du PIB. Du côté de la demande, le plus grand changement provient </w:t>
      </w:r>
      <w:r w:rsidR="00E4444D">
        <w:rPr>
          <w:rFonts w:ascii="Times New Roman" w:hAnsi="Times New Roman"/>
          <w:bCs/>
          <w:sz w:val="24"/>
          <w:szCs w:val="24"/>
        </w:rPr>
        <w:t xml:space="preserve">dans une certaine mesure </w:t>
      </w:r>
      <w:r w:rsidRPr="00521974">
        <w:rPr>
          <w:rFonts w:ascii="Times New Roman" w:hAnsi="Times New Roman"/>
          <w:bCs/>
          <w:sz w:val="24"/>
          <w:szCs w:val="24"/>
        </w:rPr>
        <w:t xml:space="preserve">de la politique budgétaire avec la baisse de la part des dépenses courantes de </w:t>
      </w:r>
      <w:r w:rsidR="0071342D" w:rsidRPr="00521974">
        <w:rPr>
          <w:rFonts w:ascii="Times New Roman" w:hAnsi="Times New Roman"/>
          <w:bCs/>
          <w:sz w:val="24"/>
          <w:szCs w:val="24"/>
        </w:rPr>
        <w:t>l’</w:t>
      </w:r>
      <w:r w:rsidR="0071342D">
        <w:rPr>
          <w:rFonts w:ascii="Times New Roman" w:hAnsi="Times New Roman"/>
          <w:bCs/>
          <w:sz w:val="24"/>
          <w:szCs w:val="24"/>
        </w:rPr>
        <w:t>E</w:t>
      </w:r>
      <w:r w:rsidR="0071342D" w:rsidRPr="00521974">
        <w:rPr>
          <w:rFonts w:ascii="Times New Roman" w:hAnsi="Times New Roman"/>
          <w:bCs/>
          <w:sz w:val="24"/>
          <w:szCs w:val="24"/>
        </w:rPr>
        <w:t xml:space="preserve">tat </w:t>
      </w:r>
      <w:r w:rsidRPr="00521974">
        <w:rPr>
          <w:rFonts w:ascii="Times New Roman" w:hAnsi="Times New Roman"/>
          <w:bCs/>
          <w:sz w:val="24"/>
          <w:szCs w:val="24"/>
        </w:rPr>
        <w:t>au profit des dépenses d’investissement public.</w:t>
      </w:r>
      <w:r w:rsidR="00E4444D">
        <w:rPr>
          <w:rFonts w:ascii="Times New Roman" w:hAnsi="Times New Roman"/>
          <w:bCs/>
          <w:sz w:val="24"/>
          <w:szCs w:val="24"/>
        </w:rPr>
        <w:t xml:space="preserve"> </w:t>
      </w:r>
      <w:r w:rsidRPr="00B13DE9">
        <w:rPr>
          <w:rFonts w:ascii="Times New Roman" w:hAnsi="Times New Roman"/>
          <w:bCs/>
          <w:sz w:val="24"/>
          <w:szCs w:val="24"/>
        </w:rPr>
        <w:t>Les ménages restent néanmoins très affectés avec le poids le plus faible de la consommation finale dans le PIB</w:t>
      </w:r>
      <w:r w:rsidRPr="000D47E1">
        <w:rPr>
          <w:rFonts w:ascii="Times New Roman" w:hAnsi="Times New Roman"/>
          <w:bCs/>
          <w:sz w:val="24"/>
          <w:szCs w:val="24"/>
        </w:rPr>
        <w:t>.</w:t>
      </w:r>
      <w:r w:rsidRPr="00521974">
        <w:rPr>
          <w:rFonts w:ascii="Times New Roman" w:hAnsi="Times New Roman"/>
          <w:bCs/>
          <w:sz w:val="24"/>
          <w:szCs w:val="24"/>
        </w:rPr>
        <w:t xml:space="preserve"> Cette situation s’explique par les effets de la mise en œuvre des programmes d’ajustement structurel qui ont permis à </w:t>
      </w:r>
      <w:r w:rsidR="0071342D" w:rsidRPr="00521974">
        <w:rPr>
          <w:rFonts w:ascii="Times New Roman" w:hAnsi="Times New Roman"/>
          <w:bCs/>
          <w:sz w:val="24"/>
          <w:szCs w:val="24"/>
        </w:rPr>
        <w:t>l’</w:t>
      </w:r>
      <w:r w:rsidR="0071342D">
        <w:rPr>
          <w:rFonts w:ascii="Times New Roman" w:hAnsi="Times New Roman"/>
          <w:bCs/>
          <w:sz w:val="24"/>
          <w:szCs w:val="24"/>
        </w:rPr>
        <w:t>E</w:t>
      </w:r>
      <w:r w:rsidR="0071342D" w:rsidRPr="00521974">
        <w:rPr>
          <w:rFonts w:ascii="Times New Roman" w:hAnsi="Times New Roman"/>
          <w:bCs/>
          <w:sz w:val="24"/>
          <w:szCs w:val="24"/>
        </w:rPr>
        <w:t xml:space="preserve">tat </w:t>
      </w:r>
      <w:r w:rsidRPr="00521974">
        <w:rPr>
          <w:rFonts w:ascii="Times New Roman" w:hAnsi="Times New Roman"/>
          <w:bCs/>
          <w:sz w:val="24"/>
          <w:szCs w:val="24"/>
        </w:rPr>
        <w:t xml:space="preserve">de réduire ses dépenses et surtout ses dépenses courantes. </w:t>
      </w:r>
    </w:p>
    <w:p w:rsidR="00324B2E" w:rsidRDefault="00324B2E" w:rsidP="00324B2E">
      <w:pPr>
        <w:spacing w:line="276" w:lineRule="auto"/>
        <w:rPr>
          <w:rFonts w:ascii="Times New Roman" w:hAnsi="Times New Roman"/>
          <w:bCs/>
          <w:sz w:val="24"/>
          <w:szCs w:val="24"/>
        </w:rPr>
      </w:pPr>
    </w:p>
    <w:p w:rsidR="00324B2E" w:rsidRPr="00521974" w:rsidRDefault="00324B2E" w:rsidP="00324B2E">
      <w:pPr>
        <w:spacing w:line="276" w:lineRule="auto"/>
        <w:rPr>
          <w:rFonts w:ascii="Times New Roman" w:hAnsi="Times New Roman"/>
          <w:bCs/>
          <w:sz w:val="24"/>
          <w:szCs w:val="24"/>
        </w:rPr>
      </w:pPr>
      <w:r w:rsidRPr="00521974">
        <w:rPr>
          <w:rFonts w:ascii="Times New Roman" w:hAnsi="Times New Roman"/>
          <w:bCs/>
          <w:sz w:val="24"/>
          <w:szCs w:val="24"/>
        </w:rPr>
        <w:t xml:space="preserve">Entre 2000 et 2006, les deux plus grands changements proviennent </w:t>
      </w:r>
      <w:r>
        <w:rPr>
          <w:rFonts w:ascii="Times New Roman" w:hAnsi="Times New Roman"/>
          <w:bCs/>
          <w:sz w:val="24"/>
          <w:szCs w:val="24"/>
        </w:rPr>
        <w:t>de l’accroissement des dépenses de consommation des ménages et d</w:t>
      </w:r>
      <w:r w:rsidRPr="00521974">
        <w:rPr>
          <w:rFonts w:ascii="Times New Roman" w:hAnsi="Times New Roman"/>
          <w:bCs/>
          <w:sz w:val="24"/>
          <w:szCs w:val="24"/>
        </w:rPr>
        <w:t xml:space="preserve">es dépenses d’investissement de </w:t>
      </w:r>
      <w:r w:rsidR="0071342D" w:rsidRPr="00521974">
        <w:rPr>
          <w:rFonts w:ascii="Times New Roman" w:hAnsi="Times New Roman"/>
          <w:bCs/>
          <w:sz w:val="24"/>
          <w:szCs w:val="24"/>
        </w:rPr>
        <w:t>l’</w:t>
      </w:r>
      <w:r w:rsidR="0071342D">
        <w:rPr>
          <w:rFonts w:ascii="Times New Roman" w:hAnsi="Times New Roman"/>
          <w:bCs/>
          <w:sz w:val="24"/>
          <w:szCs w:val="24"/>
        </w:rPr>
        <w:t>E</w:t>
      </w:r>
      <w:r w:rsidR="0071342D" w:rsidRPr="00521974">
        <w:rPr>
          <w:rFonts w:ascii="Times New Roman" w:hAnsi="Times New Roman"/>
          <w:bCs/>
          <w:sz w:val="24"/>
          <w:szCs w:val="24"/>
        </w:rPr>
        <w:t xml:space="preserve">tat </w:t>
      </w:r>
      <w:r w:rsidRPr="00521974">
        <w:rPr>
          <w:rFonts w:ascii="Times New Roman" w:hAnsi="Times New Roman"/>
          <w:bCs/>
          <w:sz w:val="24"/>
          <w:szCs w:val="24"/>
        </w:rPr>
        <w:t>qui sont toujours plus préféré</w:t>
      </w:r>
      <w:r w:rsidR="0071342D">
        <w:rPr>
          <w:rFonts w:ascii="Times New Roman" w:hAnsi="Times New Roman"/>
          <w:bCs/>
          <w:sz w:val="24"/>
          <w:szCs w:val="24"/>
        </w:rPr>
        <w:t>e</w:t>
      </w:r>
      <w:r w:rsidRPr="00521974">
        <w:rPr>
          <w:rFonts w:ascii="Times New Roman" w:hAnsi="Times New Roman"/>
          <w:bCs/>
          <w:sz w:val="24"/>
          <w:szCs w:val="24"/>
        </w:rPr>
        <w:t>s aux dépenses courantes consacrées à la consommation finale publique. Du côté de l’offre, la structure du PIB est dominée par un secteur tertiaire qui dépasse légèrement le primaire.</w:t>
      </w:r>
    </w:p>
    <w:p w:rsidR="00324B2E" w:rsidRPr="00F55B57" w:rsidRDefault="00324B2E" w:rsidP="00F55B57">
      <w:pPr>
        <w:spacing w:line="240" w:lineRule="auto"/>
        <w:rPr>
          <w:rFonts w:ascii="Times New Roman" w:hAnsi="Times New Roman"/>
          <w:bCs/>
          <w:sz w:val="12"/>
          <w:szCs w:val="12"/>
        </w:rPr>
      </w:pPr>
    </w:p>
    <w:p w:rsidR="00324B2E" w:rsidRDefault="00324B2E" w:rsidP="00324B2E">
      <w:pPr>
        <w:spacing w:line="276" w:lineRule="auto"/>
        <w:rPr>
          <w:rFonts w:ascii="Times New Roman" w:hAnsi="Times New Roman"/>
          <w:bCs/>
          <w:sz w:val="24"/>
          <w:szCs w:val="24"/>
        </w:rPr>
      </w:pPr>
      <w:r w:rsidRPr="004978DE">
        <w:rPr>
          <w:rFonts w:ascii="Times New Roman" w:hAnsi="Times New Roman"/>
          <w:bCs/>
          <w:sz w:val="24"/>
          <w:szCs w:val="24"/>
        </w:rPr>
        <w:t xml:space="preserve">Entre 2006 et 2011, les poids des investissements et de la consommation finale </w:t>
      </w:r>
      <w:r>
        <w:rPr>
          <w:rFonts w:ascii="Times New Roman" w:hAnsi="Times New Roman"/>
          <w:bCs/>
          <w:sz w:val="24"/>
          <w:szCs w:val="24"/>
        </w:rPr>
        <w:t xml:space="preserve">dans la structure du PIB </w:t>
      </w:r>
      <w:r w:rsidRPr="004978DE">
        <w:rPr>
          <w:rFonts w:ascii="Times New Roman" w:hAnsi="Times New Roman"/>
          <w:bCs/>
          <w:sz w:val="24"/>
          <w:szCs w:val="24"/>
        </w:rPr>
        <w:t>se sont améliorés</w:t>
      </w:r>
      <w:r w:rsidRPr="00521974">
        <w:rPr>
          <w:rFonts w:ascii="Times New Roman" w:hAnsi="Times New Roman"/>
          <w:bCs/>
          <w:sz w:val="24"/>
          <w:szCs w:val="24"/>
        </w:rPr>
        <w:t xml:space="preserve"> mais les exportations ont chuté en raison des difficultés liées à la filière coton et aux échanges informels entre le Bénin et le Nigéria. </w:t>
      </w:r>
    </w:p>
    <w:p w:rsidR="00324B2E" w:rsidRPr="00F55B57" w:rsidRDefault="00324B2E" w:rsidP="00F55B57">
      <w:pPr>
        <w:spacing w:line="240" w:lineRule="auto"/>
        <w:rPr>
          <w:rFonts w:ascii="Times New Roman" w:hAnsi="Times New Roman"/>
          <w:bCs/>
          <w:sz w:val="12"/>
          <w:szCs w:val="12"/>
        </w:rPr>
      </w:pPr>
    </w:p>
    <w:p w:rsidR="00324B2E" w:rsidRDefault="00324B2E" w:rsidP="00324B2E">
      <w:pPr>
        <w:spacing w:line="276" w:lineRule="auto"/>
        <w:rPr>
          <w:rFonts w:ascii="Times New Roman" w:hAnsi="Times New Roman"/>
          <w:bCs/>
          <w:sz w:val="24"/>
          <w:szCs w:val="24"/>
        </w:rPr>
      </w:pPr>
      <w:r w:rsidRPr="00067897">
        <w:rPr>
          <w:rFonts w:ascii="Times New Roman" w:hAnsi="Times New Roman"/>
          <w:bCs/>
          <w:sz w:val="24"/>
          <w:szCs w:val="24"/>
        </w:rPr>
        <w:t xml:space="preserve">Ces transformations structurelles ont induit en particulier depuis 1994, </w:t>
      </w:r>
      <w:r w:rsidR="00C23C7E">
        <w:rPr>
          <w:rFonts w:ascii="Times New Roman" w:hAnsi="Times New Roman"/>
          <w:bCs/>
          <w:sz w:val="24"/>
          <w:szCs w:val="24"/>
        </w:rPr>
        <w:t>une augmentation du revenu par tête</w:t>
      </w:r>
      <w:r w:rsidR="00E4444D">
        <w:rPr>
          <w:rFonts w:ascii="Times New Roman" w:hAnsi="Times New Roman"/>
          <w:bCs/>
          <w:sz w:val="24"/>
          <w:szCs w:val="24"/>
        </w:rPr>
        <w:t xml:space="preserve"> </w:t>
      </w:r>
      <w:r w:rsidRPr="00067897">
        <w:rPr>
          <w:rFonts w:ascii="Times New Roman" w:hAnsi="Times New Roman"/>
          <w:bCs/>
          <w:sz w:val="24"/>
          <w:szCs w:val="24"/>
        </w:rPr>
        <w:t>qui varie entre 1,2 et 1,9 dollar américain</w:t>
      </w:r>
      <w:r>
        <w:rPr>
          <w:rFonts w:ascii="Times New Roman" w:hAnsi="Times New Roman"/>
          <w:bCs/>
          <w:sz w:val="24"/>
          <w:szCs w:val="24"/>
        </w:rPr>
        <w:t xml:space="preserve">, ce qui </w:t>
      </w:r>
      <w:r w:rsidRPr="000677EE">
        <w:rPr>
          <w:rFonts w:ascii="Times New Roman" w:hAnsi="Times New Roman"/>
          <w:bCs/>
          <w:sz w:val="24"/>
          <w:szCs w:val="24"/>
        </w:rPr>
        <w:t>signifie que l</w:t>
      </w:r>
      <w:r w:rsidR="00C2688F">
        <w:rPr>
          <w:rFonts w:ascii="Times New Roman" w:hAnsi="Times New Roman"/>
          <w:bCs/>
          <w:sz w:val="24"/>
          <w:szCs w:val="24"/>
        </w:rPr>
        <w:t>a plupart des</w:t>
      </w:r>
      <w:r w:rsidRPr="000677EE">
        <w:rPr>
          <w:rFonts w:ascii="Times New Roman" w:hAnsi="Times New Roman"/>
          <w:bCs/>
          <w:sz w:val="24"/>
          <w:szCs w:val="24"/>
        </w:rPr>
        <w:t xml:space="preserve"> </w:t>
      </w:r>
      <w:r w:rsidR="0071342D">
        <w:rPr>
          <w:rFonts w:ascii="Times New Roman" w:hAnsi="Times New Roman"/>
          <w:bCs/>
          <w:sz w:val="24"/>
          <w:szCs w:val="24"/>
        </w:rPr>
        <w:t>B</w:t>
      </w:r>
      <w:r w:rsidRPr="000677EE">
        <w:rPr>
          <w:rFonts w:ascii="Times New Roman" w:hAnsi="Times New Roman"/>
          <w:bCs/>
          <w:sz w:val="24"/>
          <w:szCs w:val="24"/>
        </w:rPr>
        <w:t>éninois</w:t>
      </w:r>
      <w:r w:rsidR="00E4444D">
        <w:rPr>
          <w:rFonts w:ascii="Times New Roman" w:hAnsi="Times New Roman"/>
          <w:bCs/>
          <w:sz w:val="24"/>
          <w:szCs w:val="24"/>
        </w:rPr>
        <w:t xml:space="preserve"> </w:t>
      </w:r>
      <w:r>
        <w:rPr>
          <w:rFonts w:ascii="Times New Roman" w:hAnsi="Times New Roman"/>
          <w:bCs/>
          <w:sz w:val="24"/>
          <w:szCs w:val="24"/>
        </w:rPr>
        <w:t>dispose de</w:t>
      </w:r>
      <w:r w:rsidRPr="000677EE">
        <w:rPr>
          <w:rFonts w:ascii="Times New Roman" w:hAnsi="Times New Roman"/>
          <w:bCs/>
          <w:sz w:val="24"/>
          <w:szCs w:val="24"/>
        </w:rPr>
        <w:t xml:space="preserve"> moins de 2$ par jour pour faire face à </w:t>
      </w:r>
      <w:r>
        <w:rPr>
          <w:rFonts w:ascii="Times New Roman" w:hAnsi="Times New Roman"/>
          <w:bCs/>
          <w:sz w:val="24"/>
          <w:szCs w:val="24"/>
        </w:rPr>
        <w:t xml:space="preserve">l’ensemble de </w:t>
      </w:r>
      <w:r w:rsidR="0071342D">
        <w:rPr>
          <w:rFonts w:ascii="Times New Roman" w:hAnsi="Times New Roman"/>
          <w:bCs/>
          <w:sz w:val="24"/>
          <w:szCs w:val="24"/>
        </w:rPr>
        <w:t>s</w:t>
      </w:r>
      <w:r w:rsidR="0071342D" w:rsidRPr="000677EE">
        <w:rPr>
          <w:rFonts w:ascii="Times New Roman" w:hAnsi="Times New Roman"/>
          <w:bCs/>
          <w:sz w:val="24"/>
          <w:szCs w:val="24"/>
        </w:rPr>
        <w:t xml:space="preserve">es </w:t>
      </w:r>
      <w:r w:rsidRPr="000677EE">
        <w:rPr>
          <w:rFonts w:ascii="Times New Roman" w:hAnsi="Times New Roman"/>
          <w:bCs/>
          <w:sz w:val="24"/>
          <w:szCs w:val="24"/>
        </w:rPr>
        <w:t xml:space="preserve">besoins. </w:t>
      </w:r>
      <w:r>
        <w:rPr>
          <w:rFonts w:ascii="Times New Roman" w:hAnsi="Times New Roman"/>
          <w:bCs/>
          <w:sz w:val="24"/>
          <w:szCs w:val="24"/>
        </w:rPr>
        <w:t xml:space="preserve">Cette tendance s’explique par la portée limitée et variable de la croissance économique au cours de ces deux dernières décennies. Elle a </w:t>
      </w:r>
      <w:r w:rsidRPr="004B35C4">
        <w:rPr>
          <w:rFonts w:ascii="Times New Roman" w:hAnsi="Times New Roman"/>
          <w:bCs/>
          <w:sz w:val="24"/>
          <w:szCs w:val="24"/>
        </w:rPr>
        <w:t>eu un impact négatif sur l’accumulation globale de richesses</w:t>
      </w:r>
      <w:r>
        <w:rPr>
          <w:rFonts w:ascii="Times New Roman" w:hAnsi="Times New Roman"/>
          <w:bCs/>
          <w:sz w:val="24"/>
          <w:szCs w:val="24"/>
        </w:rPr>
        <w:t>.</w:t>
      </w:r>
    </w:p>
    <w:p w:rsidR="00324B2E" w:rsidRPr="00F55B57" w:rsidRDefault="00324B2E" w:rsidP="00F55B57">
      <w:pPr>
        <w:spacing w:line="240" w:lineRule="auto"/>
        <w:rPr>
          <w:rFonts w:ascii="Times New Roman" w:hAnsi="Times New Roman"/>
          <w:bCs/>
          <w:sz w:val="12"/>
          <w:szCs w:val="12"/>
        </w:rPr>
      </w:pPr>
    </w:p>
    <w:p w:rsidR="00324B2E" w:rsidRDefault="00324B2E" w:rsidP="00324B2E">
      <w:pPr>
        <w:spacing w:line="276" w:lineRule="auto"/>
        <w:rPr>
          <w:rFonts w:ascii="Times New Roman" w:hAnsi="Times New Roman"/>
          <w:sz w:val="24"/>
          <w:szCs w:val="24"/>
        </w:rPr>
      </w:pPr>
      <w:r w:rsidRPr="006618B2">
        <w:rPr>
          <w:rFonts w:ascii="Times New Roman" w:hAnsi="Times New Roman"/>
          <w:b/>
          <w:bCs/>
          <w:sz w:val="24"/>
          <w:szCs w:val="24"/>
        </w:rPr>
        <w:t>La c</w:t>
      </w:r>
      <w:r w:rsidRPr="009F7E53">
        <w:rPr>
          <w:rFonts w:ascii="Times New Roman" w:hAnsi="Times New Roman"/>
          <w:b/>
          <w:bCs/>
          <w:sz w:val="24"/>
          <w:szCs w:val="24"/>
        </w:rPr>
        <w:t xml:space="preserve">roissance économique au Bénin reste </w:t>
      </w:r>
      <w:r>
        <w:rPr>
          <w:rFonts w:ascii="Times New Roman" w:hAnsi="Times New Roman"/>
          <w:b/>
          <w:bCs/>
          <w:sz w:val="24"/>
          <w:szCs w:val="24"/>
        </w:rPr>
        <w:t xml:space="preserve">aujourd’hui assez </w:t>
      </w:r>
      <w:r w:rsidRPr="009F7E53">
        <w:rPr>
          <w:rFonts w:ascii="Times New Roman" w:hAnsi="Times New Roman"/>
          <w:b/>
          <w:bCs/>
          <w:sz w:val="24"/>
          <w:szCs w:val="24"/>
        </w:rPr>
        <w:t>faible pour permettre au Bénin d’amorcer le processus d’une réduction conséquente du niveau de la pauvreté</w:t>
      </w:r>
      <w:r>
        <w:rPr>
          <w:rFonts w:ascii="Times New Roman" w:hAnsi="Times New Roman"/>
          <w:b/>
          <w:bCs/>
          <w:sz w:val="24"/>
          <w:szCs w:val="24"/>
        </w:rPr>
        <w:t xml:space="preserve">. </w:t>
      </w:r>
      <w:r w:rsidRPr="00521974">
        <w:rPr>
          <w:rFonts w:ascii="Times New Roman" w:hAnsi="Times New Roman"/>
          <w:sz w:val="24"/>
          <w:szCs w:val="24"/>
        </w:rPr>
        <w:t xml:space="preserve">Au cours des deux dernières décennies, </w:t>
      </w:r>
      <w:r>
        <w:rPr>
          <w:rFonts w:ascii="Times New Roman" w:hAnsi="Times New Roman"/>
          <w:sz w:val="24"/>
          <w:szCs w:val="24"/>
        </w:rPr>
        <w:t>le taux de croissance</w:t>
      </w:r>
      <w:r w:rsidRPr="00521974">
        <w:rPr>
          <w:rFonts w:ascii="Times New Roman" w:hAnsi="Times New Roman"/>
          <w:sz w:val="24"/>
          <w:szCs w:val="24"/>
        </w:rPr>
        <w:t xml:space="preserve"> au Bénin a évolué à un rythme moyen annuel de </w:t>
      </w:r>
      <w:r>
        <w:rPr>
          <w:rFonts w:ascii="Times New Roman" w:hAnsi="Times New Roman"/>
          <w:sz w:val="24"/>
          <w:szCs w:val="24"/>
        </w:rPr>
        <w:t xml:space="preserve">4,2%, </w:t>
      </w:r>
      <w:r w:rsidRPr="007B43D0">
        <w:rPr>
          <w:rFonts w:ascii="Times New Roman" w:hAnsi="Times New Roman"/>
          <w:sz w:val="24"/>
          <w:szCs w:val="24"/>
        </w:rPr>
        <w:t xml:space="preserve">ce qui est </w:t>
      </w:r>
      <w:r>
        <w:rPr>
          <w:rFonts w:ascii="Times New Roman" w:hAnsi="Times New Roman"/>
          <w:sz w:val="24"/>
          <w:szCs w:val="24"/>
        </w:rPr>
        <w:t xml:space="preserve">de </w:t>
      </w:r>
      <w:r w:rsidRPr="007B43D0">
        <w:rPr>
          <w:rFonts w:ascii="Times New Roman" w:hAnsi="Times New Roman"/>
          <w:sz w:val="24"/>
          <w:szCs w:val="24"/>
        </w:rPr>
        <w:t xml:space="preserve">loin </w:t>
      </w:r>
      <w:r>
        <w:rPr>
          <w:rFonts w:ascii="Times New Roman" w:hAnsi="Times New Roman"/>
          <w:sz w:val="24"/>
          <w:szCs w:val="24"/>
        </w:rPr>
        <w:t>inférieur au</w:t>
      </w:r>
      <w:r w:rsidRPr="007B43D0">
        <w:rPr>
          <w:rFonts w:ascii="Times New Roman" w:hAnsi="Times New Roman"/>
          <w:sz w:val="24"/>
          <w:szCs w:val="24"/>
        </w:rPr>
        <w:t xml:space="preserve"> taux de 7 % par an jugé nécessaire pour atteindre les </w:t>
      </w:r>
      <w:r w:rsidR="0071342D">
        <w:rPr>
          <w:rFonts w:ascii="Times New Roman" w:hAnsi="Times New Roman"/>
          <w:sz w:val="24"/>
          <w:szCs w:val="24"/>
        </w:rPr>
        <w:t>O</w:t>
      </w:r>
      <w:r w:rsidR="0071342D" w:rsidRPr="007B43D0">
        <w:rPr>
          <w:rFonts w:ascii="Times New Roman" w:hAnsi="Times New Roman"/>
          <w:sz w:val="24"/>
          <w:szCs w:val="24"/>
        </w:rPr>
        <w:t xml:space="preserve">bjectifs </w:t>
      </w:r>
      <w:r w:rsidRPr="007B43D0">
        <w:rPr>
          <w:rFonts w:ascii="Times New Roman" w:hAnsi="Times New Roman"/>
          <w:sz w:val="24"/>
          <w:szCs w:val="24"/>
        </w:rPr>
        <w:t xml:space="preserve">de </w:t>
      </w:r>
      <w:r w:rsidR="0071342D">
        <w:rPr>
          <w:rFonts w:ascii="Times New Roman" w:hAnsi="Times New Roman"/>
          <w:sz w:val="24"/>
          <w:szCs w:val="24"/>
        </w:rPr>
        <w:t>D</w:t>
      </w:r>
      <w:r w:rsidR="0071342D" w:rsidRPr="007B43D0">
        <w:rPr>
          <w:rFonts w:ascii="Times New Roman" w:hAnsi="Times New Roman"/>
          <w:sz w:val="24"/>
          <w:szCs w:val="24"/>
        </w:rPr>
        <w:t xml:space="preserve">éveloppement </w:t>
      </w:r>
      <w:r w:rsidRPr="007B43D0">
        <w:rPr>
          <w:rFonts w:ascii="Times New Roman" w:hAnsi="Times New Roman"/>
          <w:sz w:val="24"/>
          <w:szCs w:val="24"/>
        </w:rPr>
        <w:t>pour le Millénaire</w:t>
      </w:r>
      <w:r w:rsidRPr="007B43D0">
        <w:rPr>
          <w:rFonts w:ascii="Times New Roman" w:hAnsi="Times New Roman"/>
          <w:sz w:val="24"/>
          <w:szCs w:val="24"/>
          <w:vertAlign w:val="superscript"/>
        </w:rPr>
        <w:footnoteReference w:id="45"/>
      </w:r>
      <w:r w:rsidRPr="007B43D0">
        <w:rPr>
          <w:rFonts w:ascii="Times New Roman" w:hAnsi="Times New Roman"/>
          <w:sz w:val="24"/>
          <w:szCs w:val="24"/>
        </w:rPr>
        <w:t xml:space="preserve">. </w:t>
      </w:r>
    </w:p>
    <w:p w:rsidR="00311096" w:rsidRDefault="00311096"/>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311096" w:rsidTr="00311096">
        <w:trPr>
          <w:trHeight w:val="352"/>
        </w:trPr>
        <w:tc>
          <w:tcPr>
            <w:tcW w:w="9180" w:type="dxa"/>
            <w:shd w:val="clear" w:color="auto" w:fill="92CDDC" w:themeFill="accent5" w:themeFillTint="99"/>
          </w:tcPr>
          <w:p w:rsidR="00311096" w:rsidRPr="00311096" w:rsidRDefault="00311096" w:rsidP="00311096">
            <w:pPr>
              <w:spacing w:line="240" w:lineRule="auto"/>
              <w:ind w:left="-57"/>
              <w:jc w:val="left"/>
              <w:rPr>
                <w:rFonts w:ascii="Times New Roman" w:hAnsi="Times New Roman"/>
                <w:noProof/>
                <w:sz w:val="24"/>
                <w:szCs w:val="24"/>
                <w:lang w:eastAsia="fr-FR"/>
              </w:rPr>
            </w:pPr>
            <w:bookmarkStart w:id="70" w:name="_Toc382043043"/>
            <w:r w:rsidRPr="00311096">
              <w:rPr>
                <w:rFonts w:ascii="Times New Roman" w:hAnsi="Times New Roman"/>
                <w:sz w:val="24"/>
                <w:szCs w:val="24"/>
              </w:rPr>
              <w:t>Graphique 2.</w:t>
            </w:r>
            <w:r w:rsidR="00182C97" w:rsidRPr="00311096">
              <w:rPr>
                <w:rFonts w:ascii="Times New Roman" w:hAnsi="Times New Roman"/>
                <w:sz w:val="24"/>
                <w:szCs w:val="24"/>
              </w:rPr>
              <w:fldChar w:fldCharType="begin"/>
            </w:r>
            <w:r w:rsidRPr="00311096">
              <w:rPr>
                <w:rFonts w:ascii="Times New Roman" w:hAnsi="Times New Roman"/>
                <w:sz w:val="24"/>
                <w:szCs w:val="24"/>
              </w:rPr>
              <w:instrText xml:space="preserve"> SEQ Graphique_3. \* ARABIC </w:instrText>
            </w:r>
            <w:r w:rsidR="00182C97" w:rsidRPr="00311096">
              <w:rPr>
                <w:rFonts w:ascii="Times New Roman" w:hAnsi="Times New Roman"/>
                <w:sz w:val="24"/>
                <w:szCs w:val="24"/>
              </w:rPr>
              <w:fldChar w:fldCharType="separate"/>
            </w:r>
            <w:r w:rsidR="00AB1967">
              <w:rPr>
                <w:rFonts w:ascii="Times New Roman" w:hAnsi="Times New Roman"/>
                <w:noProof/>
                <w:sz w:val="24"/>
                <w:szCs w:val="24"/>
              </w:rPr>
              <w:t>1</w:t>
            </w:r>
            <w:r w:rsidR="00182C97" w:rsidRPr="00311096">
              <w:rPr>
                <w:rFonts w:ascii="Times New Roman" w:hAnsi="Times New Roman"/>
                <w:sz w:val="24"/>
                <w:szCs w:val="24"/>
              </w:rPr>
              <w:fldChar w:fldCharType="end"/>
            </w:r>
            <w:r w:rsidRPr="00311096">
              <w:rPr>
                <w:rFonts w:ascii="Times New Roman" w:hAnsi="Times New Roman"/>
                <w:sz w:val="24"/>
                <w:szCs w:val="24"/>
              </w:rPr>
              <w:t>: Évolution de la croissance entre 1990 et 2011</w:t>
            </w:r>
            <w:bookmarkEnd w:id="70"/>
          </w:p>
        </w:tc>
      </w:tr>
      <w:tr w:rsidR="00AB3BBB" w:rsidTr="00394FEA">
        <w:tc>
          <w:tcPr>
            <w:tcW w:w="9180" w:type="dxa"/>
            <w:shd w:val="clear" w:color="auto" w:fill="DAEEF3" w:themeFill="accent5" w:themeFillTint="33"/>
          </w:tcPr>
          <w:p w:rsidR="00AB3BBB" w:rsidRDefault="00AB3BBB" w:rsidP="00394FEA">
            <w:pPr>
              <w:spacing w:before="120" w:after="120" w:line="240" w:lineRule="auto"/>
              <w:ind w:left="-57"/>
              <w:jc w:val="center"/>
            </w:pPr>
            <w:r w:rsidRPr="002F055A">
              <w:rPr>
                <w:noProof/>
                <w:lang w:eastAsia="fr-FR"/>
              </w:rPr>
              <w:drawing>
                <wp:inline distT="0" distB="0" distL="0" distR="0" wp14:anchorId="7DCEDDFB" wp14:editId="0426DD2C">
                  <wp:extent cx="5674525" cy="2149150"/>
                  <wp:effectExtent l="15130" t="4770" r="7565" b="0"/>
                  <wp:docPr id="59"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AB3BBB" w:rsidRPr="00E16B3C" w:rsidTr="00394FEA">
        <w:tc>
          <w:tcPr>
            <w:tcW w:w="9180" w:type="dxa"/>
            <w:shd w:val="clear" w:color="auto" w:fill="DAEEF3" w:themeFill="accent5" w:themeFillTint="33"/>
          </w:tcPr>
          <w:p w:rsidR="00AB3BBB" w:rsidRPr="00E16B3C" w:rsidRDefault="00AB3BBB" w:rsidP="00394FE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2013</w:t>
            </w:r>
          </w:p>
        </w:tc>
      </w:tr>
    </w:tbl>
    <w:p w:rsidR="00AB3BBB" w:rsidRDefault="00AB3BBB" w:rsidP="00F55B57">
      <w:pPr>
        <w:spacing w:line="240" w:lineRule="auto"/>
      </w:pPr>
    </w:p>
    <w:p w:rsidR="00F55B57" w:rsidRDefault="00F55B57" w:rsidP="00F55B57">
      <w:pPr>
        <w:spacing w:line="276" w:lineRule="auto"/>
        <w:rPr>
          <w:rFonts w:ascii="Times New Roman" w:hAnsi="Times New Roman"/>
          <w:sz w:val="24"/>
          <w:szCs w:val="24"/>
        </w:rPr>
      </w:pPr>
      <w:r w:rsidRPr="00521974">
        <w:rPr>
          <w:rFonts w:ascii="Times New Roman" w:hAnsi="Times New Roman"/>
          <w:sz w:val="24"/>
          <w:szCs w:val="24"/>
        </w:rPr>
        <w:t>En 2001, le pays a réalisé le niveau de croissance le plus élevé (6,2%) sur toute la période en raison de la bonne performance de l’agriculture (2,1 point</w:t>
      </w:r>
      <w:r w:rsidR="0071342D">
        <w:rPr>
          <w:rFonts w:ascii="Times New Roman" w:hAnsi="Times New Roman"/>
          <w:sz w:val="24"/>
          <w:szCs w:val="24"/>
        </w:rPr>
        <w:t>s</w:t>
      </w:r>
      <w:r w:rsidRPr="00521974">
        <w:rPr>
          <w:rFonts w:ascii="Times New Roman" w:hAnsi="Times New Roman"/>
          <w:sz w:val="24"/>
          <w:szCs w:val="24"/>
        </w:rPr>
        <w:t xml:space="preserve"> de contribution à la croissance) et un environnement international favorable pour la réexportation. </w:t>
      </w:r>
    </w:p>
    <w:p w:rsidR="00F55B57" w:rsidRPr="00F55B57" w:rsidRDefault="00F55B57" w:rsidP="00F55B57">
      <w:pPr>
        <w:spacing w:line="240"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A l’inverse, 1994, l’année de la dévaluation du franc CFA, est l’année la moins performante avec un taux de croissance de 2,0%. Certes</w:t>
      </w:r>
      <w:r>
        <w:rPr>
          <w:rFonts w:ascii="Times New Roman" w:hAnsi="Times New Roman"/>
          <w:sz w:val="24"/>
          <w:szCs w:val="24"/>
        </w:rPr>
        <w:t>,</w:t>
      </w:r>
      <w:r w:rsidRPr="00521974">
        <w:rPr>
          <w:rFonts w:ascii="Times New Roman" w:hAnsi="Times New Roman"/>
          <w:sz w:val="24"/>
          <w:szCs w:val="24"/>
        </w:rPr>
        <w:t xml:space="preserve"> l’agriculture s’est contractée durant cette année mais les effets de </w:t>
      </w:r>
      <w:r>
        <w:rPr>
          <w:rFonts w:ascii="Times New Roman" w:hAnsi="Times New Roman"/>
          <w:sz w:val="24"/>
          <w:szCs w:val="24"/>
        </w:rPr>
        <w:t>cette</w:t>
      </w:r>
      <w:r w:rsidRPr="00521974">
        <w:rPr>
          <w:rFonts w:ascii="Times New Roman" w:hAnsi="Times New Roman"/>
          <w:sz w:val="24"/>
          <w:szCs w:val="24"/>
        </w:rPr>
        <w:t xml:space="preserve"> politique monétaire ont plus durement affecté le secteur tertiaire au travers de l’activité commerciale</w:t>
      </w:r>
      <w:r>
        <w:rPr>
          <w:rFonts w:ascii="Times New Roman" w:hAnsi="Times New Roman"/>
          <w:sz w:val="24"/>
          <w:szCs w:val="24"/>
        </w:rPr>
        <w:t>. L</w:t>
      </w:r>
      <w:r w:rsidRPr="00521974">
        <w:rPr>
          <w:rFonts w:ascii="Times New Roman" w:hAnsi="Times New Roman"/>
          <w:sz w:val="24"/>
          <w:szCs w:val="24"/>
        </w:rPr>
        <w:t>e</w:t>
      </w:r>
      <w:r>
        <w:rPr>
          <w:rFonts w:ascii="Times New Roman" w:hAnsi="Times New Roman"/>
          <w:sz w:val="24"/>
          <w:szCs w:val="24"/>
        </w:rPr>
        <w:t xml:space="preserve"> secteur</w:t>
      </w:r>
      <w:r w:rsidRPr="00521974">
        <w:rPr>
          <w:rFonts w:ascii="Times New Roman" w:hAnsi="Times New Roman"/>
          <w:sz w:val="24"/>
          <w:szCs w:val="24"/>
        </w:rPr>
        <w:t xml:space="preserve"> secondaire </w:t>
      </w:r>
      <w:r>
        <w:rPr>
          <w:rFonts w:ascii="Times New Roman" w:hAnsi="Times New Roman"/>
          <w:sz w:val="24"/>
          <w:szCs w:val="24"/>
        </w:rPr>
        <w:t>a connu également d’énormes</w:t>
      </w:r>
      <w:r w:rsidRPr="00521974">
        <w:rPr>
          <w:rFonts w:ascii="Times New Roman" w:hAnsi="Times New Roman"/>
          <w:sz w:val="24"/>
          <w:szCs w:val="24"/>
        </w:rPr>
        <w:t xml:space="preserve"> difficultés </w:t>
      </w:r>
      <w:r>
        <w:rPr>
          <w:rFonts w:ascii="Times New Roman" w:hAnsi="Times New Roman"/>
          <w:sz w:val="24"/>
          <w:szCs w:val="24"/>
        </w:rPr>
        <w:t xml:space="preserve">liées </w:t>
      </w:r>
      <w:r w:rsidR="0071342D">
        <w:rPr>
          <w:rFonts w:ascii="Times New Roman" w:hAnsi="Times New Roman"/>
          <w:sz w:val="24"/>
          <w:szCs w:val="24"/>
        </w:rPr>
        <w:t xml:space="preserve">à </w:t>
      </w:r>
      <w:r>
        <w:rPr>
          <w:rFonts w:ascii="Times New Roman" w:hAnsi="Times New Roman"/>
          <w:sz w:val="24"/>
          <w:szCs w:val="24"/>
        </w:rPr>
        <w:t>l’</w:t>
      </w:r>
      <w:r w:rsidRPr="00521974">
        <w:rPr>
          <w:rFonts w:ascii="Times New Roman" w:hAnsi="Times New Roman"/>
          <w:sz w:val="24"/>
          <w:szCs w:val="24"/>
        </w:rPr>
        <w:t>import</w:t>
      </w:r>
      <w:r>
        <w:rPr>
          <w:rFonts w:ascii="Times New Roman" w:hAnsi="Times New Roman"/>
          <w:sz w:val="24"/>
          <w:szCs w:val="24"/>
        </w:rPr>
        <w:t>ation</w:t>
      </w:r>
      <w:r w:rsidR="00E52421">
        <w:rPr>
          <w:rFonts w:ascii="Times New Roman" w:hAnsi="Times New Roman"/>
          <w:sz w:val="24"/>
          <w:szCs w:val="24"/>
        </w:rPr>
        <w:t xml:space="preserve"> </w:t>
      </w:r>
      <w:r>
        <w:rPr>
          <w:rFonts w:ascii="Times New Roman" w:hAnsi="Times New Roman"/>
          <w:sz w:val="24"/>
          <w:szCs w:val="24"/>
        </w:rPr>
        <w:t>d</w:t>
      </w:r>
      <w:r w:rsidRPr="00521974">
        <w:rPr>
          <w:rFonts w:ascii="Times New Roman" w:hAnsi="Times New Roman"/>
          <w:sz w:val="24"/>
          <w:szCs w:val="24"/>
        </w:rPr>
        <w:t xml:space="preserve">es intrants </w:t>
      </w:r>
      <w:r>
        <w:rPr>
          <w:rFonts w:ascii="Times New Roman" w:hAnsi="Times New Roman"/>
          <w:sz w:val="24"/>
          <w:szCs w:val="24"/>
        </w:rPr>
        <w:t>devenus plus chers consécutivement à la dévaluation et rares</w:t>
      </w:r>
      <w:r w:rsidRPr="00521974">
        <w:rPr>
          <w:rFonts w:ascii="Times New Roman" w:hAnsi="Times New Roman"/>
          <w:sz w:val="24"/>
          <w:szCs w:val="24"/>
        </w:rPr>
        <w:t xml:space="preserve"> dans l’économie.</w:t>
      </w:r>
    </w:p>
    <w:p w:rsidR="00324B2E" w:rsidRPr="00F55B57" w:rsidRDefault="00324B2E" w:rsidP="00F55B57">
      <w:pPr>
        <w:spacing w:line="240" w:lineRule="auto"/>
        <w:rPr>
          <w:rFonts w:ascii="Times New Roman" w:hAnsi="Times New Roman"/>
          <w:sz w:val="12"/>
          <w:szCs w:val="12"/>
        </w:rPr>
      </w:pPr>
    </w:p>
    <w:p w:rsidR="00E52421" w:rsidRDefault="00324B2E" w:rsidP="00E52421">
      <w:pPr>
        <w:spacing w:line="276" w:lineRule="auto"/>
        <w:rPr>
          <w:rFonts w:ascii="Times New Roman" w:hAnsi="Times New Roman"/>
          <w:bCs/>
          <w:sz w:val="24"/>
          <w:szCs w:val="24"/>
        </w:rPr>
      </w:pPr>
      <w:r>
        <w:rPr>
          <w:rFonts w:ascii="Times New Roman" w:hAnsi="Times New Roman"/>
          <w:bCs/>
          <w:sz w:val="24"/>
          <w:szCs w:val="24"/>
        </w:rPr>
        <w:t>Comme le montre le graphique ci-dessus, c</w:t>
      </w:r>
      <w:r w:rsidRPr="006E1245">
        <w:rPr>
          <w:rFonts w:ascii="Times New Roman" w:hAnsi="Times New Roman"/>
          <w:bCs/>
          <w:sz w:val="24"/>
          <w:szCs w:val="24"/>
        </w:rPr>
        <w:t xml:space="preserve">ette tendance erratique et baissière de la croissance économique devient plus préoccupante lorsqu’on regarde le taux de croissance démographique au Bénin. En effet, la population du Bénin croît </w:t>
      </w:r>
      <w:r w:rsidR="00E52421" w:rsidRPr="006E1245">
        <w:rPr>
          <w:rFonts w:ascii="Times New Roman" w:hAnsi="Times New Roman"/>
          <w:bCs/>
          <w:sz w:val="24"/>
          <w:szCs w:val="24"/>
        </w:rPr>
        <w:t>à un taux</w:t>
      </w:r>
      <w:r w:rsidR="00E52421">
        <w:rPr>
          <w:rStyle w:val="Appelnotedebasdep"/>
          <w:rFonts w:ascii="Times New Roman" w:hAnsi="Times New Roman"/>
          <w:bCs/>
          <w:sz w:val="24"/>
          <w:szCs w:val="24"/>
        </w:rPr>
        <w:footnoteReference w:id="46"/>
      </w:r>
      <w:r w:rsidR="00E52421" w:rsidRPr="006E1245">
        <w:rPr>
          <w:rFonts w:ascii="Times New Roman" w:hAnsi="Times New Roman"/>
          <w:bCs/>
          <w:sz w:val="24"/>
          <w:szCs w:val="24"/>
        </w:rPr>
        <w:t xml:space="preserve"> de 3,5% avec un indice synthétique de fécondité de base qui est de </w:t>
      </w:r>
      <w:r w:rsidR="00E52421">
        <w:rPr>
          <w:rFonts w:ascii="Times New Roman" w:hAnsi="Times New Roman"/>
          <w:bCs/>
          <w:sz w:val="24"/>
          <w:szCs w:val="24"/>
        </w:rPr>
        <w:t>4,9</w:t>
      </w:r>
      <w:r w:rsidR="00E52421" w:rsidRPr="006E1245">
        <w:rPr>
          <w:rFonts w:ascii="Times New Roman" w:hAnsi="Times New Roman"/>
          <w:bCs/>
          <w:sz w:val="24"/>
          <w:szCs w:val="24"/>
        </w:rPr>
        <w:t xml:space="preserve"> enfants en moyenne par femme</w:t>
      </w:r>
      <w:r w:rsidR="00E52421">
        <w:rPr>
          <w:rFonts w:ascii="Times New Roman" w:hAnsi="Times New Roman"/>
          <w:bCs/>
          <w:sz w:val="24"/>
          <w:szCs w:val="24"/>
        </w:rPr>
        <w:t xml:space="preserve"> (INSAE, 2013)</w:t>
      </w:r>
      <w:r w:rsidR="00E52421" w:rsidRPr="006E1245">
        <w:rPr>
          <w:rFonts w:ascii="Times New Roman" w:hAnsi="Times New Roman"/>
          <w:bCs/>
          <w:sz w:val="24"/>
          <w:szCs w:val="24"/>
        </w:rPr>
        <w:t xml:space="preserve">. </w:t>
      </w:r>
    </w:p>
    <w:p w:rsidR="00324B2E" w:rsidRDefault="00324B2E" w:rsidP="00324B2E">
      <w:pPr>
        <w:spacing w:line="276" w:lineRule="auto"/>
        <w:rPr>
          <w:rFonts w:ascii="Times New Roman" w:hAnsi="Times New Roman"/>
          <w:bCs/>
          <w:sz w:val="24"/>
          <w:szCs w:val="24"/>
        </w:rPr>
      </w:pPr>
      <w:r w:rsidRPr="006E1245">
        <w:rPr>
          <w:rFonts w:ascii="Times New Roman" w:hAnsi="Times New Roman"/>
          <w:bCs/>
          <w:sz w:val="24"/>
          <w:szCs w:val="24"/>
        </w:rPr>
        <w:t xml:space="preserve">. </w:t>
      </w:r>
    </w:p>
    <w:p w:rsidR="00324B2E" w:rsidRDefault="00324B2E" w:rsidP="00324B2E">
      <w:pPr>
        <w:spacing w:line="276" w:lineRule="auto"/>
        <w:rPr>
          <w:rFonts w:ascii="Times New Roman" w:hAnsi="Times New Roman"/>
          <w:sz w:val="24"/>
          <w:szCs w:val="24"/>
        </w:rPr>
      </w:pPr>
      <w:r w:rsidRPr="00152F6D">
        <w:rPr>
          <w:rFonts w:ascii="Times New Roman" w:hAnsi="Times New Roman"/>
          <w:b/>
          <w:bCs/>
          <w:sz w:val="24"/>
          <w:szCs w:val="24"/>
        </w:rPr>
        <w:t xml:space="preserve">La répartition sectorielle de la croissance met en évidence la prédominance du secteur agricole.  </w:t>
      </w:r>
      <w:r w:rsidRPr="00C177CF">
        <w:rPr>
          <w:rFonts w:ascii="Times New Roman" w:hAnsi="Times New Roman"/>
          <w:bCs/>
          <w:sz w:val="24"/>
          <w:szCs w:val="24"/>
        </w:rPr>
        <w:t>De 1990 à 2011,</w:t>
      </w:r>
      <w:r w:rsidRPr="00521974">
        <w:rPr>
          <w:rFonts w:ascii="Times New Roman" w:hAnsi="Times New Roman"/>
          <w:sz w:val="24"/>
          <w:szCs w:val="24"/>
        </w:rPr>
        <w:t xml:space="preserve"> l’économie du pays est tirée par les activités du secteur primaire</w:t>
      </w:r>
      <w:r w:rsidRPr="00521974">
        <w:rPr>
          <w:rStyle w:val="Appelnotedebasdep"/>
          <w:rFonts w:ascii="Times New Roman" w:hAnsi="Times New Roman"/>
          <w:sz w:val="24"/>
          <w:szCs w:val="24"/>
        </w:rPr>
        <w:footnoteReference w:id="47"/>
      </w:r>
      <w:r w:rsidRPr="00521974">
        <w:rPr>
          <w:rFonts w:ascii="Times New Roman" w:hAnsi="Times New Roman"/>
          <w:sz w:val="24"/>
          <w:szCs w:val="24"/>
        </w:rPr>
        <w:t xml:space="preserve"> qui ont contribué </w:t>
      </w:r>
      <w:r>
        <w:rPr>
          <w:rFonts w:ascii="Times New Roman" w:hAnsi="Times New Roman"/>
          <w:sz w:val="24"/>
          <w:szCs w:val="24"/>
        </w:rPr>
        <w:t>de</w:t>
      </w:r>
      <w:r w:rsidRPr="00521974">
        <w:rPr>
          <w:rFonts w:ascii="Times New Roman" w:hAnsi="Times New Roman"/>
          <w:sz w:val="24"/>
          <w:szCs w:val="24"/>
        </w:rPr>
        <w:t xml:space="preserve"> 1,7 point à la croissance moyenne annuelle</w:t>
      </w:r>
      <w:r>
        <w:rPr>
          <w:rFonts w:ascii="Times New Roman" w:hAnsi="Times New Roman"/>
          <w:sz w:val="24"/>
          <w:szCs w:val="24"/>
        </w:rPr>
        <w:t>. De plus, l</w:t>
      </w:r>
      <w:r w:rsidRPr="00521974">
        <w:rPr>
          <w:rFonts w:ascii="Times New Roman" w:hAnsi="Times New Roman"/>
          <w:sz w:val="24"/>
          <w:szCs w:val="24"/>
        </w:rPr>
        <w:t>’agriculture</w:t>
      </w:r>
      <w:r>
        <w:rPr>
          <w:rFonts w:ascii="Times New Roman" w:hAnsi="Times New Roman"/>
          <w:sz w:val="24"/>
          <w:szCs w:val="24"/>
        </w:rPr>
        <w:t xml:space="preserve">, avec </w:t>
      </w:r>
      <w:r w:rsidRPr="00521974">
        <w:rPr>
          <w:rFonts w:ascii="Times New Roman" w:hAnsi="Times New Roman"/>
          <w:sz w:val="24"/>
          <w:szCs w:val="24"/>
        </w:rPr>
        <w:t xml:space="preserve">1,3 point </w:t>
      </w:r>
      <w:r>
        <w:rPr>
          <w:rFonts w:ascii="Times New Roman" w:hAnsi="Times New Roman"/>
          <w:sz w:val="24"/>
          <w:szCs w:val="24"/>
        </w:rPr>
        <w:t xml:space="preserve">de contribution </w:t>
      </w:r>
      <w:r w:rsidRPr="00521974">
        <w:rPr>
          <w:rFonts w:ascii="Times New Roman" w:hAnsi="Times New Roman"/>
          <w:sz w:val="24"/>
          <w:szCs w:val="24"/>
        </w:rPr>
        <w:t>à la croissance</w:t>
      </w:r>
      <w:r>
        <w:rPr>
          <w:rFonts w:ascii="Times New Roman" w:hAnsi="Times New Roman"/>
          <w:sz w:val="24"/>
          <w:szCs w:val="24"/>
        </w:rPr>
        <w:t>, dépasse le</w:t>
      </w:r>
      <w:r w:rsidRPr="00521974">
        <w:rPr>
          <w:rFonts w:ascii="Times New Roman" w:hAnsi="Times New Roman"/>
          <w:sz w:val="24"/>
          <w:szCs w:val="24"/>
        </w:rPr>
        <w:t xml:space="preserve"> secteur tertiaire (1,2 point à la croissance). </w:t>
      </w:r>
      <w:r w:rsidRPr="00B04F10">
        <w:rPr>
          <w:rFonts w:ascii="Times New Roman" w:hAnsi="Times New Roman"/>
          <w:sz w:val="24"/>
          <w:szCs w:val="24"/>
        </w:rPr>
        <w:t>C’est un résultat qui n’échappe pas aux autorités béninoises qui ont pendant longtemps axé leurs politiques économiques de développement sur l’agriculture.</w:t>
      </w:r>
      <w:r w:rsidRPr="00521974">
        <w:rPr>
          <w:rFonts w:ascii="Times New Roman" w:hAnsi="Times New Roman"/>
          <w:sz w:val="24"/>
          <w:szCs w:val="24"/>
        </w:rPr>
        <w:t xml:space="preserve"> Au centre des stratégies mises en place pour accélérer la croissance économique, l’agriculture occupe toujours une place de choix avec une prédilection pour la culture de coton. En effet, premier produit </w:t>
      </w:r>
      <w:r w:rsidR="00164A6D">
        <w:rPr>
          <w:rFonts w:ascii="Times New Roman" w:hAnsi="Times New Roman"/>
          <w:sz w:val="24"/>
          <w:szCs w:val="24"/>
        </w:rPr>
        <w:t>pourvoyeur</w:t>
      </w:r>
      <w:r w:rsidR="00164A6D" w:rsidRPr="00521974">
        <w:rPr>
          <w:rFonts w:ascii="Times New Roman" w:hAnsi="Times New Roman"/>
          <w:sz w:val="24"/>
          <w:szCs w:val="24"/>
        </w:rPr>
        <w:t xml:space="preserve"> </w:t>
      </w:r>
      <w:r w:rsidRPr="00521974">
        <w:rPr>
          <w:rFonts w:ascii="Times New Roman" w:hAnsi="Times New Roman"/>
          <w:sz w:val="24"/>
          <w:szCs w:val="24"/>
        </w:rPr>
        <w:t>de devises, les exportations du coton et ses produits dérivés représentent à elles seules plus de 70% des exportations officielles annuelles du pays. En plus de l’objectif d’entrée de devises qui est centré sur la filière coton, l’agriculture est l’élément primordial pour assurer la sécurité alimentaire. Ainsi, pour faire face à des crises alimentaires dues aux chocs climatiques affectant négativement la production agricole au plan national et international, le pays a adopté un plan stratégique de relance du secteur agricole</w:t>
      </w:r>
      <w:r>
        <w:rPr>
          <w:rFonts w:ascii="Times New Roman" w:hAnsi="Times New Roman"/>
          <w:sz w:val="24"/>
          <w:szCs w:val="24"/>
        </w:rPr>
        <w:t>. Ce plan</w:t>
      </w:r>
      <w:r w:rsidR="00E52421">
        <w:rPr>
          <w:rFonts w:ascii="Times New Roman" w:hAnsi="Times New Roman"/>
          <w:sz w:val="24"/>
          <w:szCs w:val="24"/>
        </w:rPr>
        <w:t xml:space="preserve"> </w:t>
      </w:r>
      <w:r w:rsidRPr="00521974">
        <w:rPr>
          <w:rFonts w:ascii="Times New Roman" w:hAnsi="Times New Roman"/>
          <w:sz w:val="24"/>
          <w:szCs w:val="24"/>
        </w:rPr>
        <w:t>identifie plus de 10 filières agricoles qui aideront</w:t>
      </w:r>
      <w:r>
        <w:rPr>
          <w:rFonts w:ascii="Times New Roman" w:hAnsi="Times New Roman"/>
          <w:sz w:val="24"/>
          <w:szCs w:val="24"/>
        </w:rPr>
        <w:t>,</w:t>
      </w:r>
      <w:r w:rsidRPr="00521974">
        <w:rPr>
          <w:rFonts w:ascii="Times New Roman" w:hAnsi="Times New Roman"/>
          <w:sz w:val="24"/>
          <w:szCs w:val="24"/>
        </w:rPr>
        <w:t xml:space="preserve"> en plus de la filière coton</w:t>
      </w:r>
      <w:r>
        <w:rPr>
          <w:rFonts w:ascii="Times New Roman" w:hAnsi="Times New Roman"/>
          <w:sz w:val="24"/>
          <w:szCs w:val="24"/>
        </w:rPr>
        <w:t>,</w:t>
      </w:r>
      <w:r w:rsidRPr="00521974">
        <w:rPr>
          <w:rFonts w:ascii="Times New Roman" w:hAnsi="Times New Roman"/>
          <w:sz w:val="24"/>
          <w:szCs w:val="24"/>
        </w:rPr>
        <w:t xml:space="preserve"> à avoir une croissance importante et satisfaire aux questions relatives à la sécurité alimentaire.</w:t>
      </w:r>
    </w:p>
    <w:p w:rsidR="00324B2E" w:rsidRPr="00F55B57"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Pr>
          <w:rFonts w:ascii="Times New Roman" w:hAnsi="Times New Roman"/>
          <w:b/>
          <w:sz w:val="24"/>
          <w:szCs w:val="24"/>
        </w:rPr>
        <w:t>Les</w:t>
      </w:r>
      <w:r w:rsidRPr="00541D92">
        <w:rPr>
          <w:rFonts w:ascii="Times New Roman" w:hAnsi="Times New Roman"/>
          <w:b/>
          <w:sz w:val="24"/>
          <w:szCs w:val="24"/>
        </w:rPr>
        <w:t xml:space="preserve"> droits et taxes indirects et la taxe sur la valeur aj</w:t>
      </w:r>
      <w:r w:rsidR="00576730">
        <w:rPr>
          <w:rFonts w:ascii="Times New Roman" w:hAnsi="Times New Roman"/>
          <w:b/>
          <w:sz w:val="24"/>
          <w:szCs w:val="24"/>
        </w:rPr>
        <w:t>o</w:t>
      </w:r>
      <w:r w:rsidRPr="00541D92">
        <w:rPr>
          <w:rFonts w:ascii="Times New Roman" w:hAnsi="Times New Roman"/>
          <w:b/>
          <w:sz w:val="24"/>
          <w:szCs w:val="24"/>
        </w:rPr>
        <w:t xml:space="preserve">utée (TVA) </w:t>
      </w:r>
      <w:r>
        <w:rPr>
          <w:rFonts w:ascii="Times New Roman" w:hAnsi="Times New Roman"/>
          <w:b/>
          <w:sz w:val="24"/>
          <w:szCs w:val="24"/>
        </w:rPr>
        <w:t xml:space="preserve">constituent également </w:t>
      </w:r>
      <w:r w:rsidR="003B052D">
        <w:rPr>
          <w:rFonts w:ascii="Times New Roman" w:hAnsi="Times New Roman"/>
          <w:b/>
          <w:sz w:val="24"/>
          <w:szCs w:val="24"/>
        </w:rPr>
        <w:t xml:space="preserve">une source importante de ressources </w:t>
      </w:r>
      <w:r w:rsidRPr="00541D92">
        <w:rPr>
          <w:rFonts w:ascii="Times New Roman" w:hAnsi="Times New Roman"/>
          <w:b/>
          <w:sz w:val="24"/>
          <w:szCs w:val="24"/>
        </w:rPr>
        <w:t>au Bénin</w:t>
      </w:r>
      <w:r>
        <w:rPr>
          <w:rFonts w:ascii="Times New Roman" w:hAnsi="Times New Roman"/>
          <w:b/>
          <w:sz w:val="24"/>
          <w:szCs w:val="24"/>
        </w:rPr>
        <w:t>.</w:t>
      </w:r>
      <w:r w:rsidR="00E52421">
        <w:rPr>
          <w:rFonts w:ascii="Times New Roman" w:hAnsi="Times New Roman"/>
          <w:b/>
          <w:sz w:val="24"/>
          <w:szCs w:val="24"/>
        </w:rPr>
        <w:t xml:space="preserve"> </w:t>
      </w:r>
      <w:r w:rsidRPr="00E60977">
        <w:rPr>
          <w:rFonts w:ascii="Times New Roman" w:hAnsi="Times New Roman"/>
          <w:sz w:val="24"/>
          <w:szCs w:val="24"/>
        </w:rPr>
        <w:t>E</w:t>
      </w:r>
      <w:r w:rsidRPr="00521974">
        <w:rPr>
          <w:rFonts w:ascii="Times New Roman" w:hAnsi="Times New Roman"/>
          <w:sz w:val="24"/>
          <w:szCs w:val="24"/>
        </w:rPr>
        <w:t>ntre 1990 et 2011, les impôts indirects ont contribué à 0,5 point à la croissance moyenne annuelle. Ces prélèvements frappent principalement les produits issus des importations</w:t>
      </w:r>
      <w:r w:rsidRPr="00521974">
        <w:rPr>
          <w:rStyle w:val="Appelnotedebasdep"/>
          <w:rFonts w:ascii="Times New Roman" w:hAnsi="Times New Roman"/>
          <w:sz w:val="24"/>
          <w:szCs w:val="24"/>
        </w:rPr>
        <w:footnoteReference w:id="48"/>
      </w:r>
      <w:r w:rsidRPr="00521974">
        <w:rPr>
          <w:rFonts w:ascii="Times New Roman" w:hAnsi="Times New Roman"/>
          <w:sz w:val="24"/>
          <w:szCs w:val="24"/>
        </w:rPr>
        <w:t xml:space="preserve"> et laissent libres les produits agricoles qui représentent plus du tiers de</w:t>
      </w:r>
      <w:r w:rsidR="00C226EE">
        <w:rPr>
          <w:rFonts w:ascii="Times New Roman" w:hAnsi="Times New Roman"/>
          <w:sz w:val="24"/>
          <w:szCs w:val="24"/>
        </w:rPr>
        <w:t>s</w:t>
      </w:r>
      <w:r w:rsidR="002C47ED">
        <w:rPr>
          <w:rFonts w:ascii="Times New Roman" w:hAnsi="Times New Roman"/>
          <w:sz w:val="24"/>
          <w:szCs w:val="24"/>
        </w:rPr>
        <w:t xml:space="preserve"> ressource</w:t>
      </w:r>
      <w:r w:rsidR="00C226EE">
        <w:rPr>
          <w:rFonts w:ascii="Times New Roman" w:hAnsi="Times New Roman"/>
          <w:sz w:val="24"/>
          <w:szCs w:val="24"/>
        </w:rPr>
        <w:t>s</w:t>
      </w:r>
      <w:r w:rsidR="002C47ED">
        <w:rPr>
          <w:rFonts w:ascii="Times New Roman" w:hAnsi="Times New Roman"/>
          <w:sz w:val="24"/>
          <w:szCs w:val="24"/>
        </w:rPr>
        <w:t xml:space="preserve"> annuelle</w:t>
      </w:r>
      <w:r w:rsidR="00C226EE">
        <w:rPr>
          <w:rFonts w:ascii="Times New Roman" w:hAnsi="Times New Roman"/>
          <w:sz w:val="24"/>
          <w:szCs w:val="24"/>
        </w:rPr>
        <w:t>s</w:t>
      </w:r>
      <w:r w:rsidR="002C47ED">
        <w:rPr>
          <w:rFonts w:ascii="Times New Roman" w:hAnsi="Times New Roman"/>
          <w:sz w:val="24"/>
          <w:szCs w:val="24"/>
        </w:rPr>
        <w:t xml:space="preserve"> mobilisée</w:t>
      </w:r>
      <w:r w:rsidR="00C226EE">
        <w:rPr>
          <w:rFonts w:ascii="Times New Roman" w:hAnsi="Times New Roman"/>
          <w:sz w:val="24"/>
          <w:szCs w:val="24"/>
        </w:rPr>
        <w:t>s</w:t>
      </w:r>
      <w:r w:rsidRPr="00521974">
        <w:rPr>
          <w:rFonts w:ascii="Times New Roman" w:hAnsi="Times New Roman"/>
          <w:sz w:val="24"/>
          <w:szCs w:val="24"/>
        </w:rPr>
        <w:t xml:space="preserve">. Ce choix politique est aussi dicté par un secteur primaire quasiment informel </w:t>
      </w:r>
      <w:r>
        <w:rPr>
          <w:rFonts w:ascii="Times New Roman" w:hAnsi="Times New Roman"/>
          <w:sz w:val="24"/>
          <w:szCs w:val="24"/>
        </w:rPr>
        <w:t xml:space="preserve">et </w:t>
      </w:r>
      <w:r w:rsidRPr="00521974">
        <w:rPr>
          <w:rFonts w:ascii="Times New Roman" w:hAnsi="Times New Roman"/>
          <w:sz w:val="24"/>
          <w:szCs w:val="24"/>
        </w:rPr>
        <w:t xml:space="preserve">difficile à </w:t>
      </w:r>
      <w:r>
        <w:rPr>
          <w:rFonts w:ascii="Times New Roman" w:hAnsi="Times New Roman"/>
          <w:sz w:val="24"/>
          <w:szCs w:val="24"/>
        </w:rPr>
        <w:t>intégrer</w:t>
      </w:r>
      <w:r w:rsidRPr="00521974">
        <w:rPr>
          <w:rFonts w:ascii="Times New Roman" w:hAnsi="Times New Roman"/>
          <w:sz w:val="24"/>
          <w:szCs w:val="24"/>
        </w:rPr>
        <w:t xml:space="preserve"> dans la mobilisation des recettes fiscales. Dans ce contexte, le poids de ces impôts indirects dans le PIB qui est en moyenne de 8,2% sur la période, demeure très en deçà de ce qu’il </w:t>
      </w:r>
      <w:r>
        <w:rPr>
          <w:rFonts w:ascii="Times New Roman" w:hAnsi="Times New Roman"/>
          <w:sz w:val="24"/>
          <w:szCs w:val="24"/>
        </w:rPr>
        <w:t>aurait pu</w:t>
      </w:r>
      <w:r w:rsidRPr="00521974">
        <w:rPr>
          <w:rFonts w:ascii="Times New Roman" w:hAnsi="Times New Roman"/>
          <w:sz w:val="24"/>
          <w:szCs w:val="24"/>
        </w:rPr>
        <w:t xml:space="preserve"> être. Une telle situation crée au niveau des agents économiques une sorte d’inégalité avec pour conséquence des concurrences déloyales parfois en faveur des entreprises moins fiscalisée</w:t>
      </w:r>
      <w:r w:rsidR="00576730">
        <w:rPr>
          <w:rFonts w:ascii="Times New Roman" w:hAnsi="Times New Roman"/>
          <w:sz w:val="24"/>
          <w:szCs w:val="24"/>
        </w:rPr>
        <w:t>s</w:t>
      </w:r>
      <w:r w:rsidRPr="00521974">
        <w:rPr>
          <w:rFonts w:ascii="Times New Roman" w:hAnsi="Times New Roman"/>
          <w:sz w:val="24"/>
          <w:szCs w:val="24"/>
        </w:rPr>
        <w:t xml:space="preserve"> (ici l’informel). </w:t>
      </w:r>
    </w:p>
    <w:p w:rsidR="00324B2E" w:rsidRPr="00F55B57"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 xml:space="preserve">En 2008, conscient des effets négatifs que la fiscalité peut avoir sur l’activité économique, </w:t>
      </w:r>
      <w:r w:rsidR="00576730" w:rsidRPr="00521974">
        <w:rPr>
          <w:rFonts w:ascii="Times New Roman" w:hAnsi="Times New Roman"/>
          <w:sz w:val="24"/>
          <w:szCs w:val="24"/>
        </w:rPr>
        <w:t>l’</w:t>
      </w:r>
      <w:r w:rsidR="00576730">
        <w:rPr>
          <w:rFonts w:ascii="Times New Roman" w:hAnsi="Times New Roman"/>
          <w:sz w:val="24"/>
          <w:szCs w:val="24"/>
        </w:rPr>
        <w:t>E</w:t>
      </w:r>
      <w:r w:rsidR="00576730" w:rsidRPr="00521974">
        <w:rPr>
          <w:rFonts w:ascii="Times New Roman" w:hAnsi="Times New Roman"/>
          <w:sz w:val="24"/>
          <w:szCs w:val="24"/>
        </w:rPr>
        <w:t xml:space="preserve">tat </w:t>
      </w:r>
      <w:r w:rsidRPr="00521974">
        <w:rPr>
          <w:rFonts w:ascii="Times New Roman" w:hAnsi="Times New Roman"/>
          <w:sz w:val="24"/>
          <w:szCs w:val="24"/>
        </w:rPr>
        <w:t xml:space="preserve">béninois </w:t>
      </w:r>
      <w:r w:rsidR="00576730">
        <w:rPr>
          <w:rFonts w:ascii="Times New Roman" w:hAnsi="Times New Roman"/>
          <w:sz w:val="24"/>
          <w:szCs w:val="24"/>
        </w:rPr>
        <w:t>a</w:t>
      </w:r>
      <w:r w:rsidR="00576730" w:rsidRPr="00521974">
        <w:rPr>
          <w:rFonts w:ascii="Times New Roman" w:hAnsi="Times New Roman"/>
          <w:sz w:val="24"/>
          <w:szCs w:val="24"/>
        </w:rPr>
        <w:t xml:space="preserve"> </w:t>
      </w:r>
      <w:r w:rsidRPr="00521974">
        <w:rPr>
          <w:rFonts w:ascii="Times New Roman" w:hAnsi="Times New Roman"/>
          <w:sz w:val="24"/>
          <w:szCs w:val="24"/>
        </w:rPr>
        <w:t xml:space="preserve">mis en place un Groupe de Réflexion sur la Fiscalité de Développement (GRFD) dont l’objectif est de proposer une fiscalité qui, tout en fournissant des ressources au Budget Général de l’Etat, contribue à l’amélioration du climat des affaires, à la création de richesse et au développement socio-économique du pays. Ce groupe a formulé des recommandations sur un certain nombre de mesures et réformes à mettre en œuvre pour asseoir véritablement la fiscalité de développement. </w:t>
      </w:r>
      <w:r>
        <w:rPr>
          <w:rFonts w:ascii="Times New Roman" w:hAnsi="Times New Roman"/>
          <w:sz w:val="24"/>
          <w:szCs w:val="24"/>
        </w:rPr>
        <w:t xml:space="preserve">Les études d’impact ex-ante réalisées ont </w:t>
      </w:r>
      <w:r w:rsidRPr="00521974">
        <w:rPr>
          <w:rFonts w:ascii="Times New Roman" w:hAnsi="Times New Roman"/>
          <w:bCs/>
          <w:sz w:val="24"/>
          <w:szCs w:val="24"/>
        </w:rPr>
        <w:t xml:space="preserve"> montré que la</w:t>
      </w:r>
      <w:r w:rsidRPr="00521974">
        <w:rPr>
          <w:rFonts w:ascii="Times New Roman" w:hAnsi="Times New Roman"/>
          <w:sz w:val="24"/>
          <w:szCs w:val="24"/>
        </w:rPr>
        <w:t xml:space="preserve"> « mise en œuvre des mesures quantifiables serait génératrice d’un gain de croissance du PIB </w:t>
      </w:r>
      <w:r w:rsidR="00C66B5E">
        <w:rPr>
          <w:rFonts w:ascii="Times New Roman" w:hAnsi="Times New Roman"/>
          <w:sz w:val="24"/>
          <w:szCs w:val="24"/>
        </w:rPr>
        <w:t>de</w:t>
      </w:r>
      <w:r w:rsidR="00C66B5E" w:rsidRPr="00521974">
        <w:rPr>
          <w:rFonts w:ascii="Times New Roman" w:hAnsi="Times New Roman"/>
          <w:sz w:val="24"/>
          <w:szCs w:val="24"/>
        </w:rPr>
        <w:t xml:space="preserve"> </w:t>
      </w:r>
      <w:r w:rsidRPr="00521974">
        <w:rPr>
          <w:rFonts w:ascii="Times New Roman" w:hAnsi="Times New Roman"/>
          <w:sz w:val="24"/>
          <w:szCs w:val="24"/>
        </w:rPr>
        <w:t xml:space="preserve">2,4 points la première année, 0,3 point la deuxième année et 0,8 point la troisième année ». </w:t>
      </w:r>
      <w:r>
        <w:rPr>
          <w:rFonts w:ascii="Times New Roman" w:hAnsi="Times New Roman"/>
          <w:sz w:val="24"/>
          <w:szCs w:val="24"/>
        </w:rPr>
        <w:t xml:space="preserve">En outre, </w:t>
      </w:r>
      <w:r w:rsidRPr="00521974">
        <w:rPr>
          <w:rFonts w:ascii="Times New Roman" w:hAnsi="Times New Roman"/>
          <w:sz w:val="24"/>
          <w:szCs w:val="24"/>
        </w:rPr>
        <w:t> la mise en œuvre simultanée de toutes les mesures préconisées par le GRFD va donner un coup d’accélérateur à l’activité économique à travers principalement deux canaux</w:t>
      </w:r>
      <w:r>
        <w:rPr>
          <w:rFonts w:ascii="Times New Roman" w:hAnsi="Times New Roman"/>
          <w:sz w:val="24"/>
          <w:szCs w:val="24"/>
        </w:rPr>
        <w:t xml:space="preserve"> : </w:t>
      </w:r>
      <w:r w:rsidRPr="00521974">
        <w:rPr>
          <w:rFonts w:ascii="Times New Roman" w:hAnsi="Times New Roman"/>
          <w:sz w:val="24"/>
          <w:szCs w:val="24"/>
        </w:rPr>
        <w:t xml:space="preserve">le premier est l’effet </w:t>
      </w:r>
      <w:r>
        <w:rPr>
          <w:rFonts w:ascii="Times New Roman" w:hAnsi="Times New Roman"/>
          <w:sz w:val="24"/>
          <w:szCs w:val="24"/>
        </w:rPr>
        <w:t>induit</w:t>
      </w:r>
      <w:r w:rsidR="00E52421">
        <w:rPr>
          <w:rFonts w:ascii="Times New Roman" w:hAnsi="Times New Roman"/>
          <w:sz w:val="24"/>
          <w:szCs w:val="24"/>
        </w:rPr>
        <w:t xml:space="preserve"> </w:t>
      </w:r>
      <w:r>
        <w:rPr>
          <w:rFonts w:ascii="Times New Roman" w:hAnsi="Times New Roman"/>
          <w:sz w:val="24"/>
          <w:szCs w:val="24"/>
        </w:rPr>
        <w:t>par</w:t>
      </w:r>
      <w:r w:rsidR="00E52421">
        <w:rPr>
          <w:rFonts w:ascii="Times New Roman" w:hAnsi="Times New Roman"/>
          <w:sz w:val="24"/>
          <w:szCs w:val="24"/>
        </w:rPr>
        <w:t xml:space="preserve"> </w:t>
      </w:r>
      <w:r>
        <w:rPr>
          <w:rFonts w:ascii="Times New Roman" w:hAnsi="Times New Roman"/>
          <w:sz w:val="24"/>
          <w:szCs w:val="24"/>
        </w:rPr>
        <w:t>la</w:t>
      </w:r>
      <w:r w:rsidRPr="00521974">
        <w:rPr>
          <w:rFonts w:ascii="Times New Roman" w:hAnsi="Times New Roman"/>
          <w:sz w:val="24"/>
          <w:szCs w:val="24"/>
        </w:rPr>
        <w:t xml:space="preserve"> réduction d’impôts sur les entreprises</w:t>
      </w:r>
      <w:r>
        <w:rPr>
          <w:rFonts w:ascii="Times New Roman" w:hAnsi="Times New Roman"/>
          <w:sz w:val="24"/>
          <w:szCs w:val="24"/>
        </w:rPr>
        <w:t xml:space="preserve"> -</w:t>
      </w:r>
      <w:r w:rsidRPr="00521974">
        <w:rPr>
          <w:rFonts w:ascii="Times New Roman" w:hAnsi="Times New Roman"/>
          <w:sz w:val="24"/>
          <w:szCs w:val="24"/>
        </w:rPr>
        <w:t xml:space="preserve"> et le second</w:t>
      </w:r>
      <w:r>
        <w:rPr>
          <w:rFonts w:ascii="Times New Roman" w:hAnsi="Times New Roman"/>
          <w:sz w:val="24"/>
          <w:szCs w:val="24"/>
        </w:rPr>
        <w:t>,</w:t>
      </w:r>
      <w:r w:rsidR="00E52421">
        <w:rPr>
          <w:rFonts w:ascii="Times New Roman" w:hAnsi="Times New Roman"/>
          <w:sz w:val="24"/>
          <w:szCs w:val="24"/>
        </w:rPr>
        <w:t xml:space="preserve"> </w:t>
      </w:r>
      <w:r>
        <w:rPr>
          <w:rFonts w:ascii="Times New Roman" w:hAnsi="Times New Roman"/>
          <w:sz w:val="24"/>
          <w:szCs w:val="24"/>
        </w:rPr>
        <w:t xml:space="preserve">l’impact de la réduction des impôts </w:t>
      </w:r>
      <w:r w:rsidRPr="00521974">
        <w:rPr>
          <w:rFonts w:ascii="Times New Roman" w:hAnsi="Times New Roman"/>
          <w:sz w:val="24"/>
          <w:szCs w:val="24"/>
        </w:rPr>
        <w:t>sur les ménages. Ce résultat montre que la politique fiscale du Bénin est toujours une clé pour accroître le PIB de façon durable. Par ailleurs, le poids des impôts indirects dans le produit intérieur brut du Bénin montre la place prépondérante du Port de Cotonou qui reste le moteur du commerce international</w:t>
      </w:r>
      <w:r>
        <w:rPr>
          <w:rFonts w:ascii="Times New Roman" w:hAnsi="Times New Roman"/>
          <w:sz w:val="24"/>
          <w:szCs w:val="24"/>
        </w:rPr>
        <w:t xml:space="preserve"> au Bénin</w:t>
      </w:r>
      <w:r w:rsidRPr="00521974">
        <w:rPr>
          <w:rStyle w:val="Appelnotedebasdep"/>
          <w:rFonts w:ascii="Times New Roman" w:hAnsi="Times New Roman"/>
          <w:sz w:val="24"/>
          <w:szCs w:val="24"/>
        </w:rPr>
        <w:footnoteReference w:id="49"/>
      </w:r>
      <w:r w:rsidRPr="00521974">
        <w:rPr>
          <w:rFonts w:ascii="Times New Roman" w:hAnsi="Times New Roman"/>
          <w:sz w:val="24"/>
          <w:szCs w:val="24"/>
        </w:rPr>
        <w:t xml:space="preserve">.  </w:t>
      </w:r>
    </w:p>
    <w:p w:rsidR="00324B2E" w:rsidRPr="00F55B57" w:rsidRDefault="00324B2E" w:rsidP="00F55B57">
      <w:pPr>
        <w:spacing w:line="240"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Pr>
          <w:rFonts w:ascii="Times New Roman" w:hAnsi="Times New Roman"/>
          <w:b/>
          <w:sz w:val="24"/>
          <w:szCs w:val="24"/>
        </w:rPr>
        <w:t>L</w:t>
      </w:r>
      <w:r w:rsidRPr="00473242">
        <w:rPr>
          <w:rFonts w:ascii="Times New Roman" w:hAnsi="Times New Roman"/>
          <w:b/>
          <w:sz w:val="24"/>
          <w:szCs w:val="24"/>
        </w:rPr>
        <w:t>’inflation</w:t>
      </w:r>
      <w:r w:rsidRPr="00473242">
        <w:rPr>
          <w:rStyle w:val="Appelnotedebasdep"/>
          <w:rFonts w:ascii="Times New Roman" w:hAnsi="Times New Roman"/>
          <w:b/>
          <w:sz w:val="24"/>
          <w:szCs w:val="24"/>
        </w:rPr>
        <w:footnoteReference w:id="50"/>
      </w:r>
      <w:r w:rsidRPr="00473242">
        <w:rPr>
          <w:rFonts w:ascii="Times New Roman" w:hAnsi="Times New Roman"/>
          <w:b/>
          <w:sz w:val="24"/>
          <w:szCs w:val="24"/>
        </w:rPr>
        <w:t xml:space="preserve"> est en moyenne (5,1%) supérieure aux normes communautaires de 3% en raison de la dévaluation du Franc CFA de 1994.</w:t>
      </w:r>
      <w:r w:rsidRPr="00521974">
        <w:rPr>
          <w:rFonts w:ascii="Times New Roman" w:hAnsi="Times New Roman"/>
          <w:sz w:val="24"/>
          <w:szCs w:val="24"/>
        </w:rPr>
        <w:t xml:space="preserve"> Avant cette dévaluation (1990-1993), le Bénin affichait une inflation moyenne de 2,1%. Mais le choc introduit par cette politique monétaire ne ramènera l’inflation à moins de 3% qu’en 1999, cinq ans après. Ensuite le niveau général des prix est resté relativement stable autour de 2% jusqu’en 2008 où la conjugaison des crises alimentaire, énergétique et financière </w:t>
      </w:r>
      <w:r w:rsidR="00576730" w:rsidRPr="00521974">
        <w:rPr>
          <w:rFonts w:ascii="Times New Roman" w:hAnsi="Times New Roman"/>
          <w:sz w:val="24"/>
          <w:szCs w:val="24"/>
        </w:rPr>
        <w:t>entra</w:t>
      </w:r>
      <w:r w:rsidR="00576730">
        <w:rPr>
          <w:rFonts w:ascii="Times New Roman" w:hAnsi="Times New Roman"/>
          <w:sz w:val="24"/>
          <w:szCs w:val="24"/>
        </w:rPr>
        <w:t>î</w:t>
      </w:r>
      <w:r w:rsidR="00576730" w:rsidRPr="00521974">
        <w:rPr>
          <w:rFonts w:ascii="Times New Roman" w:hAnsi="Times New Roman"/>
          <w:sz w:val="24"/>
          <w:szCs w:val="24"/>
        </w:rPr>
        <w:t xml:space="preserve">neront </w:t>
      </w:r>
      <w:r w:rsidRPr="00521974">
        <w:rPr>
          <w:rFonts w:ascii="Times New Roman" w:hAnsi="Times New Roman"/>
          <w:sz w:val="24"/>
          <w:szCs w:val="24"/>
        </w:rPr>
        <w:t>la hausse des prix jusqu’à hauteur de 7,9%. Ce diagnostic montre la relative stabilité des prix au Bénin d’autant que les plus grandes fluctuations sont le fait de chocs exogènes comme la dévaluation et la crise économique mondiale de 2008.</w:t>
      </w:r>
    </w:p>
    <w:p w:rsidR="00A25FB1" w:rsidRDefault="00A25FB1"/>
    <w:tbl>
      <w:tblPr>
        <w:tblW w:w="9361"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552"/>
        <w:gridCol w:w="1134"/>
        <w:gridCol w:w="993"/>
        <w:gridCol w:w="1134"/>
        <w:gridCol w:w="1134"/>
        <w:gridCol w:w="1134"/>
        <w:gridCol w:w="1280"/>
      </w:tblGrid>
      <w:tr w:rsidR="00A25FB1" w:rsidRPr="00A25FB1" w:rsidTr="007E61A6">
        <w:trPr>
          <w:trHeight w:val="300"/>
          <w:jc w:val="center"/>
        </w:trPr>
        <w:tc>
          <w:tcPr>
            <w:tcW w:w="9361" w:type="dxa"/>
            <w:gridSpan w:val="7"/>
            <w:tcBorders>
              <w:top w:val="double" w:sz="4" w:space="0" w:color="auto"/>
              <w:bottom w:val="single" w:sz="4" w:space="0" w:color="auto"/>
            </w:tcBorders>
            <w:shd w:val="clear" w:color="auto" w:fill="DAEEF3" w:themeFill="accent5" w:themeFillTint="33"/>
            <w:noWrap/>
            <w:vAlign w:val="center"/>
            <w:hideMark/>
          </w:tcPr>
          <w:p w:rsidR="00832112" w:rsidRPr="00832112" w:rsidRDefault="00832112" w:rsidP="00832112">
            <w:pPr>
              <w:spacing w:line="240" w:lineRule="auto"/>
              <w:jc w:val="left"/>
              <w:rPr>
                <w:rFonts w:ascii="Times New Roman" w:eastAsia="Times New Roman" w:hAnsi="Times New Roman"/>
                <w:color w:val="000000"/>
                <w:sz w:val="24"/>
                <w:szCs w:val="24"/>
                <w:lang w:eastAsia="fr-FR"/>
              </w:rPr>
            </w:pPr>
            <w:bookmarkStart w:id="71" w:name="_Toc373430368"/>
            <w:r w:rsidRPr="00832112">
              <w:rPr>
                <w:rFonts w:ascii="Times New Roman" w:hAnsi="Times New Roman"/>
                <w:sz w:val="24"/>
                <w:szCs w:val="24"/>
              </w:rPr>
              <w:t>Tableau 2.</w:t>
            </w:r>
            <w:r w:rsidR="00182C97" w:rsidRPr="00A25FB1">
              <w:rPr>
                <w:rFonts w:ascii="Times New Roman" w:eastAsia="Times New Roman" w:hAnsi="Times New Roman"/>
                <w:bCs/>
                <w:sz w:val="24"/>
                <w:szCs w:val="24"/>
              </w:rPr>
              <w:fldChar w:fldCharType="begin"/>
            </w:r>
            <w:r w:rsidR="00F71B08">
              <w:rPr>
                <w:rFonts w:ascii="Times New Roman" w:eastAsia="Times New Roman" w:hAnsi="Times New Roman"/>
                <w:bCs/>
                <w:sz w:val="24"/>
                <w:szCs w:val="24"/>
              </w:rPr>
              <w:instrText xml:space="preserve"> SEQ Tableau_2. \* ARABIC </w:instrText>
            </w:r>
            <w:r w:rsidR="00182C97" w:rsidRPr="00A25FB1">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2</w:t>
            </w:r>
            <w:r w:rsidR="00182C97" w:rsidRPr="00A25FB1">
              <w:rPr>
                <w:rFonts w:ascii="Times New Roman" w:eastAsia="Times New Roman" w:hAnsi="Times New Roman"/>
                <w:bCs/>
                <w:sz w:val="24"/>
                <w:szCs w:val="24"/>
              </w:rPr>
              <w:fldChar w:fldCharType="end"/>
            </w:r>
            <w:r w:rsidR="00A25FB1" w:rsidRPr="00A25FB1">
              <w:rPr>
                <w:rFonts w:ascii="Times New Roman" w:eastAsia="Times New Roman" w:hAnsi="Times New Roman"/>
                <w:bCs/>
                <w:sz w:val="24"/>
                <w:szCs w:val="24"/>
              </w:rPr>
              <w:t>: Profil de la croissance depuis 1990</w:t>
            </w:r>
            <w:bookmarkEnd w:id="71"/>
          </w:p>
        </w:tc>
      </w:tr>
      <w:tr w:rsidR="00AB3BBB" w:rsidRPr="00DF7DB8" w:rsidTr="00394FEA">
        <w:trPr>
          <w:trHeight w:val="300"/>
          <w:jc w:val="center"/>
        </w:trPr>
        <w:tc>
          <w:tcPr>
            <w:tcW w:w="2552" w:type="dxa"/>
            <w:tcBorders>
              <w:top w:val="double" w:sz="4" w:space="0" w:color="auto"/>
              <w:bottom w:val="single" w:sz="4" w:space="0" w:color="auto"/>
              <w:right w:val="single" w:sz="4" w:space="0" w:color="auto"/>
            </w:tcBorders>
            <w:shd w:val="clear" w:color="auto" w:fill="DAEEF3" w:themeFill="accent5" w:themeFillTint="33"/>
            <w:noWrap/>
            <w:vAlign w:val="center"/>
            <w:hideMark/>
          </w:tcPr>
          <w:p w:rsidR="00AB3BBB" w:rsidRPr="00DF7DB8" w:rsidRDefault="00AB3BBB" w:rsidP="00394FEA">
            <w:pPr>
              <w:spacing w:line="240" w:lineRule="auto"/>
              <w:rPr>
                <w:rFonts w:ascii="Times New Roman" w:eastAsia="Times New Roman" w:hAnsi="Times New Roman"/>
                <w:color w:val="000000"/>
                <w:lang w:eastAsia="fr-FR"/>
              </w:rPr>
            </w:pPr>
            <w:r w:rsidRPr="00DF7DB8">
              <w:rPr>
                <w:rFonts w:ascii="Times New Roman" w:eastAsia="Times New Roman" w:hAnsi="Times New Roman"/>
                <w:color w:val="000000"/>
                <w:lang w:eastAsia="fr-FR"/>
              </w:rPr>
              <w:t>Période</w:t>
            </w:r>
          </w:p>
        </w:tc>
        <w:tc>
          <w:tcPr>
            <w:tcW w:w="1134" w:type="dxa"/>
            <w:tcBorders>
              <w:top w:val="double" w:sz="4" w:space="0" w:color="auto"/>
              <w:left w:val="single" w:sz="4" w:space="0" w:color="auto"/>
              <w:bottom w:val="single" w:sz="4" w:space="0" w:color="auto"/>
            </w:tcBorders>
            <w:shd w:val="clear" w:color="auto" w:fill="DAEEF3" w:themeFill="accent5" w:themeFillTint="33"/>
            <w:noWrap/>
            <w:vAlign w:val="center"/>
            <w:hideMark/>
          </w:tcPr>
          <w:p w:rsidR="00AB3BBB" w:rsidRPr="00AB3BBB" w:rsidRDefault="00AB3BBB" w:rsidP="00394FEA">
            <w:pPr>
              <w:spacing w:line="240" w:lineRule="auto"/>
              <w:jc w:val="center"/>
              <w:rPr>
                <w:rFonts w:ascii="Times New Roman" w:eastAsia="Times New Roman" w:hAnsi="Times New Roman"/>
                <w:color w:val="000000"/>
                <w:lang w:eastAsia="fr-FR"/>
              </w:rPr>
            </w:pPr>
            <w:r w:rsidRPr="00AB3BBB">
              <w:rPr>
                <w:rFonts w:ascii="Times New Roman" w:eastAsia="Times New Roman" w:hAnsi="Times New Roman"/>
                <w:color w:val="000000"/>
                <w:lang w:eastAsia="fr-FR"/>
              </w:rPr>
              <w:t>1990-1994</w:t>
            </w:r>
          </w:p>
        </w:tc>
        <w:tc>
          <w:tcPr>
            <w:tcW w:w="993" w:type="dxa"/>
            <w:tcBorders>
              <w:top w:val="double" w:sz="4" w:space="0" w:color="auto"/>
              <w:bottom w:val="single" w:sz="4" w:space="0" w:color="auto"/>
            </w:tcBorders>
            <w:shd w:val="clear" w:color="auto" w:fill="DAEEF3" w:themeFill="accent5" w:themeFillTint="33"/>
            <w:noWrap/>
            <w:vAlign w:val="center"/>
            <w:hideMark/>
          </w:tcPr>
          <w:p w:rsidR="00AB3BBB" w:rsidRPr="00AB3BBB" w:rsidRDefault="00AB3BBB" w:rsidP="00394FEA">
            <w:pPr>
              <w:spacing w:line="240" w:lineRule="auto"/>
              <w:jc w:val="center"/>
              <w:rPr>
                <w:rFonts w:ascii="Times New Roman" w:eastAsia="Times New Roman" w:hAnsi="Times New Roman"/>
                <w:color w:val="000000"/>
                <w:lang w:eastAsia="fr-FR"/>
              </w:rPr>
            </w:pPr>
            <w:r w:rsidRPr="00AB3BBB">
              <w:rPr>
                <w:rFonts w:ascii="Times New Roman" w:eastAsia="Times New Roman" w:hAnsi="Times New Roman"/>
                <w:color w:val="000000"/>
                <w:lang w:eastAsia="fr-FR"/>
              </w:rPr>
              <w:t>1994</w:t>
            </w:r>
          </w:p>
        </w:tc>
        <w:tc>
          <w:tcPr>
            <w:tcW w:w="1134" w:type="dxa"/>
            <w:tcBorders>
              <w:top w:val="double" w:sz="4" w:space="0" w:color="auto"/>
              <w:bottom w:val="single" w:sz="4" w:space="0" w:color="auto"/>
            </w:tcBorders>
            <w:shd w:val="clear" w:color="auto" w:fill="DAEEF3" w:themeFill="accent5" w:themeFillTint="33"/>
            <w:noWrap/>
            <w:vAlign w:val="center"/>
            <w:hideMark/>
          </w:tcPr>
          <w:p w:rsidR="00AB3BBB" w:rsidRPr="00AB3BBB" w:rsidRDefault="00AB3BBB" w:rsidP="00394FEA">
            <w:pPr>
              <w:spacing w:line="240" w:lineRule="auto"/>
              <w:jc w:val="center"/>
              <w:rPr>
                <w:rFonts w:ascii="Times New Roman" w:eastAsia="Times New Roman" w:hAnsi="Times New Roman"/>
                <w:color w:val="000000"/>
                <w:lang w:eastAsia="fr-FR"/>
              </w:rPr>
            </w:pPr>
            <w:r w:rsidRPr="00AB3BBB">
              <w:rPr>
                <w:rFonts w:ascii="Times New Roman" w:eastAsia="Times New Roman" w:hAnsi="Times New Roman"/>
                <w:color w:val="000000"/>
                <w:lang w:eastAsia="fr-FR"/>
              </w:rPr>
              <w:t>1994-1999</w:t>
            </w:r>
          </w:p>
        </w:tc>
        <w:tc>
          <w:tcPr>
            <w:tcW w:w="1134" w:type="dxa"/>
            <w:tcBorders>
              <w:top w:val="double" w:sz="4" w:space="0" w:color="auto"/>
              <w:bottom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2000-2005</w:t>
            </w:r>
          </w:p>
        </w:tc>
        <w:tc>
          <w:tcPr>
            <w:tcW w:w="1134" w:type="dxa"/>
            <w:tcBorders>
              <w:top w:val="double" w:sz="4" w:space="0" w:color="auto"/>
              <w:bottom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2006-2011</w:t>
            </w:r>
          </w:p>
        </w:tc>
        <w:tc>
          <w:tcPr>
            <w:tcW w:w="1280" w:type="dxa"/>
            <w:tcBorders>
              <w:top w:val="double" w:sz="4" w:space="0" w:color="auto"/>
              <w:bottom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Moyenne (1990-2011)</w:t>
            </w:r>
          </w:p>
        </w:tc>
      </w:tr>
      <w:tr w:rsidR="00AB3BBB" w:rsidRPr="00DF7DB8" w:rsidTr="00394FEA">
        <w:trPr>
          <w:trHeight w:val="300"/>
          <w:jc w:val="center"/>
        </w:trPr>
        <w:tc>
          <w:tcPr>
            <w:tcW w:w="2552" w:type="dxa"/>
            <w:tcBorders>
              <w:top w:val="single" w:sz="4" w:space="0" w:color="auto"/>
              <w:bottom w:val="nil"/>
              <w:right w:val="single" w:sz="4" w:space="0" w:color="auto"/>
            </w:tcBorders>
            <w:shd w:val="clear" w:color="auto" w:fill="DAEEF3" w:themeFill="accent5" w:themeFillTint="33"/>
            <w:noWrap/>
            <w:vAlign w:val="center"/>
            <w:hideMark/>
          </w:tcPr>
          <w:p w:rsidR="00AB3BBB" w:rsidRPr="00DF7DB8" w:rsidRDefault="00AB3BBB" w:rsidP="00F55B57">
            <w:pPr>
              <w:spacing w:line="240" w:lineRule="auto"/>
              <w:jc w:val="left"/>
              <w:rPr>
                <w:rFonts w:ascii="Times New Roman" w:eastAsia="Times New Roman" w:hAnsi="Times New Roman"/>
                <w:color w:val="000000"/>
                <w:lang w:eastAsia="fr-FR"/>
              </w:rPr>
            </w:pPr>
            <w:r w:rsidRPr="00DF7DB8">
              <w:rPr>
                <w:rFonts w:ascii="Times New Roman" w:eastAsia="Times New Roman" w:hAnsi="Times New Roman"/>
                <w:color w:val="000000"/>
                <w:lang w:eastAsia="fr-FR"/>
              </w:rPr>
              <w:t>Taux de croissance</w:t>
            </w:r>
          </w:p>
        </w:tc>
        <w:tc>
          <w:tcPr>
            <w:tcW w:w="1134" w:type="dxa"/>
            <w:tcBorders>
              <w:top w:val="single" w:sz="4" w:space="0" w:color="auto"/>
              <w:left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4,3</w:t>
            </w:r>
          </w:p>
        </w:tc>
        <w:tc>
          <w:tcPr>
            <w:tcW w:w="993" w:type="dxa"/>
            <w:tcBorders>
              <w:top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2,0</w:t>
            </w:r>
          </w:p>
        </w:tc>
        <w:tc>
          <w:tcPr>
            <w:tcW w:w="1134" w:type="dxa"/>
            <w:tcBorders>
              <w:top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5,1</w:t>
            </w:r>
          </w:p>
        </w:tc>
        <w:tc>
          <w:tcPr>
            <w:tcW w:w="1134" w:type="dxa"/>
            <w:tcBorders>
              <w:top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4,2</w:t>
            </w:r>
          </w:p>
        </w:tc>
        <w:tc>
          <w:tcPr>
            <w:tcW w:w="1134" w:type="dxa"/>
            <w:tcBorders>
              <w:top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3,7</w:t>
            </w:r>
          </w:p>
        </w:tc>
        <w:tc>
          <w:tcPr>
            <w:tcW w:w="1280" w:type="dxa"/>
            <w:tcBorders>
              <w:top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4,2</w:t>
            </w:r>
          </w:p>
        </w:tc>
      </w:tr>
      <w:tr w:rsidR="00AB3BBB" w:rsidRPr="00DF7DB8" w:rsidTr="00394FEA">
        <w:trPr>
          <w:trHeight w:val="300"/>
          <w:jc w:val="center"/>
        </w:trPr>
        <w:tc>
          <w:tcPr>
            <w:tcW w:w="2552" w:type="dxa"/>
            <w:tcBorders>
              <w:top w:val="nil"/>
              <w:bottom w:val="nil"/>
              <w:right w:val="single" w:sz="4" w:space="0" w:color="auto"/>
            </w:tcBorders>
            <w:shd w:val="clear" w:color="auto" w:fill="DAEEF3" w:themeFill="accent5" w:themeFillTint="33"/>
            <w:noWrap/>
            <w:vAlign w:val="center"/>
            <w:hideMark/>
          </w:tcPr>
          <w:p w:rsidR="00AB3BBB" w:rsidRPr="00DF7DB8" w:rsidRDefault="00AB3BBB" w:rsidP="00F55B57">
            <w:pPr>
              <w:spacing w:line="240" w:lineRule="auto"/>
              <w:jc w:val="left"/>
              <w:rPr>
                <w:rFonts w:ascii="Times New Roman" w:eastAsia="Times New Roman" w:hAnsi="Times New Roman"/>
                <w:color w:val="000000"/>
                <w:lang w:eastAsia="fr-FR"/>
              </w:rPr>
            </w:pPr>
            <w:r w:rsidRPr="00DF7DB8">
              <w:rPr>
                <w:rFonts w:ascii="Times New Roman" w:eastAsia="Times New Roman" w:hAnsi="Times New Roman"/>
                <w:color w:val="000000"/>
                <w:lang w:eastAsia="fr-FR"/>
              </w:rPr>
              <w:t>Déflateur du PIB</w:t>
            </w:r>
          </w:p>
        </w:tc>
        <w:tc>
          <w:tcPr>
            <w:tcW w:w="1134" w:type="dxa"/>
            <w:tcBorders>
              <w:left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2,1</w:t>
            </w:r>
          </w:p>
        </w:tc>
        <w:tc>
          <w:tcPr>
            <w:tcW w:w="993"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35,0</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6,3</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2,7</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3,2</w:t>
            </w:r>
          </w:p>
        </w:tc>
        <w:tc>
          <w:tcPr>
            <w:tcW w:w="1280"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5,1</w:t>
            </w:r>
          </w:p>
        </w:tc>
      </w:tr>
      <w:tr w:rsidR="00AB3BBB" w:rsidRPr="00DF7DB8" w:rsidTr="00394FEA">
        <w:trPr>
          <w:trHeight w:val="300"/>
          <w:jc w:val="center"/>
        </w:trPr>
        <w:tc>
          <w:tcPr>
            <w:tcW w:w="2552" w:type="dxa"/>
            <w:tcBorders>
              <w:top w:val="nil"/>
              <w:bottom w:val="nil"/>
              <w:right w:val="single" w:sz="4" w:space="0" w:color="auto"/>
            </w:tcBorders>
            <w:shd w:val="clear" w:color="auto" w:fill="DAEEF3" w:themeFill="accent5" w:themeFillTint="33"/>
            <w:noWrap/>
            <w:vAlign w:val="center"/>
            <w:hideMark/>
          </w:tcPr>
          <w:p w:rsidR="00AB3BBB" w:rsidRPr="00DF7DB8" w:rsidRDefault="00AB3BBB" w:rsidP="00F55B57">
            <w:pPr>
              <w:spacing w:line="240" w:lineRule="auto"/>
              <w:jc w:val="left"/>
              <w:rPr>
                <w:rFonts w:ascii="Times New Roman" w:eastAsia="Times New Roman" w:hAnsi="Times New Roman"/>
                <w:color w:val="000000"/>
                <w:lang w:eastAsia="fr-FR"/>
              </w:rPr>
            </w:pPr>
            <w:r w:rsidRPr="00DF7DB8">
              <w:rPr>
                <w:rFonts w:ascii="Times New Roman" w:eastAsia="Times New Roman" w:hAnsi="Times New Roman"/>
                <w:color w:val="000000"/>
                <w:lang w:eastAsia="fr-FR"/>
              </w:rPr>
              <w:t>Solde commercial (%PIB)</w:t>
            </w:r>
          </w:p>
        </w:tc>
        <w:tc>
          <w:tcPr>
            <w:tcW w:w="1134" w:type="dxa"/>
            <w:tcBorders>
              <w:left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-9,4</w:t>
            </w:r>
          </w:p>
        </w:tc>
        <w:tc>
          <w:tcPr>
            <w:tcW w:w="993"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-7,7</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-5,7</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-7,9</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-9,0</w:t>
            </w:r>
          </w:p>
        </w:tc>
        <w:tc>
          <w:tcPr>
            <w:tcW w:w="1280"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-8,0</w:t>
            </w:r>
          </w:p>
        </w:tc>
      </w:tr>
      <w:tr w:rsidR="00AB3BBB" w:rsidRPr="00DF7DB8" w:rsidTr="00394FEA">
        <w:trPr>
          <w:trHeight w:val="300"/>
          <w:jc w:val="center"/>
        </w:trPr>
        <w:tc>
          <w:tcPr>
            <w:tcW w:w="2552" w:type="dxa"/>
            <w:tcBorders>
              <w:top w:val="nil"/>
              <w:bottom w:val="nil"/>
              <w:right w:val="single" w:sz="4" w:space="0" w:color="auto"/>
            </w:tcBorders>
            <w:shd w:val="clear" w:color="auto" w:fill="DAEEF3" w:themeFill="accent5" w:themeFillTint="33"/>
            <w:noWrap/>
            <w:vAlign w:val="center"/>
            <w:hideMark/>
          </w:tcPr>
          <w:p w:rsidR="00AB3BBB" w:rsidRPr="00DF7DB8" w:rsidRDefault="00AB3BBB" w:rsidP="00F55B57">
            <w:pPr>
              <w:spacing w:line="240" w:lineRule="auto"/>
              <w:jc w:val="left"/>
              <w:rPr>
                <w:rFonts w:ascii="Times New Roman" w:eastAsia="Times New Roman" w:hAnsi="Times New Roman"/>
                <w:color w:val="000000"/>
                <w:lang w:eastAsia="fr-FR"/>
              </w:rPr>
            </w:pPr>
            <w:r w:rsidRPr="00DF7DB8">
              <w:rPr>
                <w:rFonts w:ascii="Times New Roman" w:eastAsia="Times New Roman" w:hAnsi="Times New Roman"/>
                <w:color w:val="000000"/>
                <w:lang w:eastAsia="fr-FR"/>
              </w:rPr>
              <w:t>Solde budgétaire global hors dons (%PIB)</w:t>
            </w:r>
          </w:p>
        </w:tc>
        <w:tc>
          <w:tcPr>
            <w:tcW w:w="1134" w:type="dxa"/>
            <w:tcBorders>
              <w:left w:val="sing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-6,9</w:t>
            </w:r>
          </w:p>
        </w:tc>
        <w:tc>
          <w:tcPr>
            <w:tcW w:w="993"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-6,3</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-3,4</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-3,7</w:t>
            </w:r>
          </w:p>
        </w:tc>
        <w:tc>
          <w:tcPr>
            <w:tcW w:w="1134"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-4,4</w:t>
            </w:r>
          </w:p>
        </w:tc>
        <w:tc>
          <w:tcPr>
            <w:tcW w:w="1280" w:type="dxa"/>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-4,3</w:t>
            </w:r>
          </w:p>
        </w:tc>
      </w:tr>
      <w:tr w:rsidR="00AB3BBB" w:rsidRPr="00DF7DB8" w:rsidTr="00394FEA">
        <w:trPr>
          <w:trHeight w:val="300"/>
          <w:jc w:val="center"/>
        </w:trPr>
        <w:tc>
          <w:tcPr>
            <w:tcW w:w="2552" w:type="dxa"/>
            <w:tcBorders>
              <w:top w:val="nil"/>
              <w:bottom w:val="double" w:sz="4" w:space="0" w:color="auto"/>
              <w:right w:val="single" w:sz="4" w:space="0" w:color="auto"/>
            </w:tcBorders>
            <w:shd w:val="clear" w:color="auto" w:fill="DAEEF3" w:themeFill="accent5" w:themeFillTint="33"/>
            <w:noWrap/>
            <w:vAlign w:val="center"/>
            <w:hideMark/>
          </w:tcPr>
          <w:p w:rsidR="00AB3BBB" w:rsidRPr="00DF7DB8" w:rsidRDefault="00AB3BBB" w:rsidP="00F55B57">
            <w:pPr>
              <w:spacing w:line="240" w:lineRule="auto"/>
              <w:jc w:val="left"/>
              <w:rPr>
                <w:rFonts w:ascii="Times New Roman" w:eastAsia="Times New Roman" w:hAnsi="Times New Roman"/>
                <w:color w:val="000000"/>
                <w:lang w:eastAsia="fr-FR"/>
              </w:rPr>
            </w:pPr>
            <w:r w:rsidRPr="00DF7DB8">
              <w:rPr>
                <w:rFonts w:ascii="Times New Roman" w:eastAsia="Times New Roman" w:hAnsi="Times New Roman"/>
                <w:color w:val="000000"/>
                <w:lang w:eastAsia="fr-FR"/>
              </w:rPr>
              <w:t>Solde budgétaire global y compris dons (%PIB)</w:t>
            </w:r>
          </w:p>
        </w:tc>
        <w:tc>
          <w:tcPr>
            <w:tcW w:w="1134" w:type="dxa"/>
            <w:tcBorders>
              <w:left w:val="single" w:sz="4" w:space="0" w:color="auto"/>
              <w:bottom w:val="doub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-5,2</w:t>
            </w:r>
          </w:p>
        </w:tc>
        <w:tc>
          <w:tcPr>
            <w:tcW w:w="993" w:type="dxa"/>
            <w:tcBorders>
              <w:bottom w:val="doub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-3,9</w:t>
            </w:r>
          </w:p>
        </w:tc>
        <w:tc>
          <w:tcPr>
            <w:tcW w:w="1134" w:type="dxa"/>
            <w:tcBorders>
              <w:bottom w:val="doub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0,2</w:t>
            </w:r>
          </w:p>
        </w:tc>
        <w:tc>
          <w:tcPr>
            <w:tcW w:w="1134" w:type="dxa"/>
            <w:tcBorders>
              <w:bottom w:val="doub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-1,8</w:t>
            </w:r>
          </w:p>
        </w:tc>
        <w:tc>
          <w:tcPr>
            <w:tcW w:w="1134" w:type="dxa"/>
            <w:tcBorders>
              <w:bottom w:val="doub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-2,1</w:t>
            </w:r>
          </w:p>
        </w:tc>
        <w:tc>
          <w:tcPr>
            <w:tcW w:w="1280" w:type="dxa"/>
            <w:tcBorders>
              <w:bottom w:val="double" w:sz="4" w:space="0" w:color="auto"/>
            </w:tcBorders>
            <w:shd w:val="clear" w:color="auto" w:fill="DAEEF3" w:themeFill="accent5" w:themeFillTint="33"/>
            <w:noWrap/>
            <w:vAlign w:val="center"/>
            <w:hideMark/>
          </w:tcPr>
          <w:p w:rsidR="00AB3BBB" w:rsidRPr="00DF7DB8" w:rsidRDefault="00AB3BBB" w:rsidP="00394FEA">
            <w:pPr>
              <w:spacing w:line="240" w:lineRule="auto"/>
              <w:jc w:val="center"/>
              <w:rPr>
                <w:rFonts w:ascii="Times New Roman" w:eastAsia="Times New Roman" w:hAnsi="Times New Roman"/>
                <w:color w:val="000000"/>
                <w:lang w:eastAsia="fr-FR"/>
              </w:rPr>
            </w:pPr>
            <w:r w:rsidRPr="00DF7DB8">
              <w:rPr>
                <w:rFonts w:ascii="Times New Roman" w:eastAsia="Times New Roman" w:hAnsi="Times New Roman"/>
                <w:color w:val="000000"/>
                <w:lang w:eastAsia="fr-FR"/>
              </w:rPr>
              <w:t>-1,9</w:t>
            </w:r>
          </w:p>
        </w:tc>
      </w:tr>
      <w:tr w:rsidR="00AB3BBB" w:rsidRPr="00DF7DB8" w:rsidTr="00394FEA">
        <w:trPr>
          <w:trHeight w:val="300"/>
          <w:jc w:val="center"/>
        </w:trPr>
        <w:tc>
          <w:tcPr>
            <w:tcW w:w="9361" w:type="dxa"/>
            <w:gridSpan w:val="7"/>
            <w:tcBorders>
              <w:top w:val="double" w:sz="4" w:space="0" w:color="auto"/>
              <w:bottom w:val="nil"/>
            </w:tcBorders>
            <w:shd w:val="clear" w:color="auto" w:fill="DAEEF3" w:themeFill="accent5" w:themeFillTint="33"/>
            <w:noWrap/>
            <w:vAlign w:val="center"/>
            <w:hideMark/>
          </w:tcPr>
          <w:p w:rsidR="00AB3BBB" w:rsidRPr="00DF7DB8" w:rsidRDefault="00AB3BBB" w:rsidP="00394FEA">
            <w:pPr>
              <w:spacing w:line="240" w:lineRule="auto"/>
              <w:rPr>
                <w:rFonts w:ascii="Times New Roman" w:eastAsia="Times New Roman" w:hAnsi="Times New Roman"/>
                <w:color w:val="000000"/>
                <w:lang w:eastAsia="fr-FR"/>
              </w:rPr>
            </w:pPr>
            <w:r w:rsidRPr="00521974">
              <w:rPr>
                <w:rFonts w:ascii="Times New Roman" w:hAnsi="Times New Roman"/>
                <w:sz w:val="24"/>
                <w:szCs w:val="24"/>
              </w:rPr>
              <w:t xml:space="preserve">Source : INSAE, </w:t>
            </w:r>
            <w:r>
              <w:rPr>
                <w:rFonts w:ascii="Times New Roman" w:hAnsi="Times New Roman"/>
                <w:sz w:val="24"/>
                <w:szCs w:val="24"/>
              </w:rPr>
              <w:t>2013</w:t>
            </w:r>
          </w:p>
        </w:tc>
      </w:tr>
    </w:tbl>
    <w:p w:rsidR="00AB3BBB" w:rsidRDefault="00AB3BBB" w:rsidP="00AB3BBB">
      <w:pPr>
        <w:spacing w:line="240" w:lineRule="auto"/>
        <w:rPr>
          <w:rFonts w:ascii="Times New Roman" w:hAnsi="Times New Roman"/>
          <w:sz w:val="24"/>
          <w:szCs w:val="24"/>
        </w:rPr>
      </w:pPr>
    </w:p>
    <w:p w:rsidR="00F55B57" w:rsidRDefault="00F55B57" w:rsidP="00F55B57">
      <w:pPr>
        <w:spacing w:line="276" w:lineRule="auto"/>
        <w:rPr>
          <w:rFonts w:ascii="Times New Roman" w:hAnsi="Times New Roman"/>
          <w:sz w:val="24"/>
          <w:szCs w:val="24"/>
        </w:rPr>
      </w:pPr>
      <w:r w:rsidRPr="00473242">
        <w:rPr>
          <w:rFonts w:ascii="Times New Roman" w:hAnsi="Times New Roman"/>
          <w:b/>
          <w:sz w:val="24"/>
          <w:szCs w:val="24"/>
        </w:rPr>
        <w:t>Sur le plan des échanges entre le Bénin et le reste du monde, on constate que le solde commercial du pays est déficitaire de même que le solde budgétaire global hors dons (voir tableau ci-dessus).</w:t>
      </w:r>
      <w:r w:rsidRPr="00521974">
        <w:rPr>
          <w:rFonts w:ascii="Times New Roman" w:hAnsi="Times New Roman"/>
          <w:sz w:val="24"/>
          <w:szCs w:val="24"/>
        </w:rPr>
        <w:t xml:space="preserve"> Cette situation souvent qualifié</w:t>
      </w:r>
      <w:r w:rsidR="00576730">
        <w:rPr>
          <w:rFonts w:ascii="Times New Roman" w:hAnsi="Times New Roman"/>
          <w:sz w:val="24"/>
          <w:szCs w:val="24"/>
        </w:rPr>
        <w:t>e</w:t>
      </w:r>
      <w:r w:rsidRPr="00521974">
        <w:rPr>
          <w:rFonts w:ascii="Times New Roman" w:hAnsi="Times New Roman"/>
          <w:sz w:val="24"/>
          <w:szCs w:val="24"/>
        </w:rPr>
        <w:t xml:space="preserve"> de « </w:t>
      </w:r>
      <w:r w:rsidR="00832112" w:rsidRPr="00D66DAD">
        <w:rPr>
          <w:rFonts w:ascii="Times New Roman" w:hAnsi="Times New Roman"/>
          <w:sz w:val="24"/>
          <w:szCs w:val="24"/>
        </w:rPr>
        <w:t>déficits jumeaux</w:t>
      </w:r>
      <w:r w:rsidR="00832112" w:rsidRPr="00D66DAD">
        <w:rPr>
          <w:rStyle w:val="Appelnotedebasdep"/>
          <w:rFonts w:ascii="Times New Roman" w:hAnsi="Times New Roman"/>
          <w:sz w:val="24"/>
          <w:szCs w:val="24"/>
        </w:rPr>
        <w:footnoteReference w:id="51"/>
      </w:r>
      <w:r w:rsidRPr="00521974">
        <w:rPr>
          <w:rFonts w:ascii="Times New Roman" w:hAnsi="Times New Roman"/>
          <w:sz w:val="24"/>
          <w:szCs w:val="24"/>
        </w:rPr>
        <w:t xml:space="preserve"> » par les économistes explique les nombreux efforts demandés au Bénin pour réduire les dépenses courantes qui peuvent être plus faciles à réduire que les dépenses d’investissement </w:t>
      </w:r>
      <w:r>
        <w:rPr>
          <w:rFonts w:ascii="Times New Roman" w:hAnsi="Times New Roman"/>
          <w:sz w:val="24"/>
          <w:szCs w:val="24"/>
        </w:rPr>
        <w:t>indispensables à la relance de la croissance économique.</w:t>
      </w:r>
    </w:p>
    <w:p w:rsidR="00324B2E" w:rsidRPr="00F55B57" w:rsidRDefault="00324B2E" w:rsidP="00324B2E">
      <w:pPr>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3C7913">
        <w:rPr>
          <w:rFonts w:ascii="Times New Roman" w:hAnsi="Times New Roman"/>
          <w:sz w:val="24"/>
          <w:szCs w:val="24"/>
        </w:rPr>
        <w:t xml:space="preserve">Ce diagnostic soulève certaines questions </w:t>
      </w:r>
      <w:r>
        <w:rPr>
          <w:rFonts w:ascii="Times New Roman" w:hAnsi="Times New Roman"/>
          <w:sz w:val="24"/>
          <w:szCs w:val="24"/>
        </w:rPr>
        <w:t>que</w:t>
      </w:r>
      <w:r w:rsidRPr="003C7913">
        <w:rPr>
          <w:rFonts w:ascii="Times New Roman" w:hAnsi="Times New Roman"/>
          <w:sz w:val="24"/>
          <w:szCs w:val="24"/>
        </w:rPr>
        <w:t xml:space="preserve"> sont les principaux défis auxquels il est urgent de faire face. </w:t>
      </w:r>
      <w:r>
        <w:rPr>
          <w:rFonts w:ascii="Times New Roman" w:hAnsi="Times New Roman"/>
          <w:sz w:val="24"/>
          <w:szCs w:val="24"/>
        </w:rPr>
        <w:t xml:space="preserve">Ces derniers ont déjà été </w:t>
      </w:r>
      <w:r w:rsidRPr="003C7913">
        <w:rPr>
          <w:rFonts w:ascii="Times New Roman" w:hAnsi="Times New Roman"/>
          <w:sz w:val="24"/>
          <w:szCs w:val="24"/>
        </w:rPr>
        <w:t>mentionnés</w:t>
      </w:r>
      <w:r>
        <w:rPr>
          <w:rFonts w:ascii="Times New Roman" w:hAnsi="Times New Roman"/>
          <w:sz w:val="24"/>
          <w:szCs w:val="24"/>
        </w:rPr>
        <w:t>, pour la plupart,</w:t>
      </w:r>
      <w:r w:rsidRPr="003C7913">
        <w:rPr>
          <w:rFonts w:ascii="Times New Roman" w:hAnsi="Times New Roman"/>
          <w:sz w:val="24"/>
          <w:szCs w:val="24"/>
        </w:rPr>
        <w:t xml:space="preserve"> dans la stratégie de croissance pour la réduction de la pauvreté de 2011-2015</w:t>
      </w:r>
      <w:r>
        <w:rPr>
          <w:rFonts w:ascii="Times New Roman" w:hAnsi="Times New Roman"/>
          <w:sz w:val="24"/>
          <w:szCs w:val="24"/>
        </w:rPr>
        <w:t xml:space="preserve">. En d’autres termes, il s’agit de </w:t>
      </w:r>
      <w:r w:rsidRPr="003C7913">
        <w:rPr>
          <w:rFonts w:ascii="Times New Roman" w:hAnsi="Times New Roman"/>
          <w:sz w:val="24"/>
          <w:szCs w:val="24"/>
        </w:rPr>
        <w:t>la diversification de l’économie, la mise en œuvre des réformes structurelles favorisant les investissements, toute</w:t>
      </w:r>
      <w:r>
        <w:rPr>
          <w:rFonts w:ascii="Times New Roman" w:hAnsi="Times New Roman"/>
          <w:sz w:val="24"/>
          <w:szCs w:val="24"/>
        </w:rPr>
        <w:t>s</w:t>
      </w:r>
      <w:r w:rsidRPr="003C7913">
        <w:rPr>
          <w:rFonts w:ascii="Times New Roman" w:hAnsi="Times New Roman"/>
          <w:sz w:val="24"/>
          <w:szCs w:val="24"/>
        </w:rPr>
        <w:t xml:space="preserve"> chose</w:t>
      </w:r>
      <w:r>
        <w:rPr>
          <w:rFonts w:ascii="Times New Roman" w:hAnsi="Times New Roman"/>
          <w:sz w:val="24"/>
          <w:szCs w:val="24"/>
        </w:rPr>
        <w:t>s</w:t>
      </w:r>
      <w:r w:rsidRPr="003C7913">
        <w:rPr>
          <w:rFonts w:ascii="Times New Roman" w:hAnsi="Times New Roman"/>
          <w:sz w:val="24"/>
          <w:szCs w:val="24"/>
        </w:rPr>
        <w:t xml:space="preserve"> concourant à rendre l’économie plus compétitive à l’aide d’investissements capables d’accroître considérablement les exportations et d’assurer une demande intérieure encore largement satisfaite par des importations.</w:t>
      </w:r>
    </w:p>
    <w:p w:rsidR="00324B2E" w:rsidRPr="00F55B57"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CB7DD4">
        <w:rPr>
          <w:rFonts w:ascii="Times New Roman" w:hAnsi="Times New Roman"/>
          <w:b/>
          <w:sz w:val="24"/>
          <w:szCs w:val="24"/>
        </w:rPr>
        <w:t xml:space="preserve">Dynamique sectorielle de la croissance et ciblage des pauvres: </w:t>
      </w:r>
      <w:r w:rsidRPr="00CB7DD4">
        <w:rPr>
          <w:rFonts w:ascii="Times New Roman" w:hAnsi="Times New Roman"/>
          <w:sz w:val="24"/>
          <w:szCs w:val="24"/>
        </w:rPr>
        <w:t>Durant</w:t>
      </w:r>
      <w:r w:rsidRPr="005375F5">
        <w:rPr>
          <w:rFonts w:ascii="Times New Roman" w:hAnsi="Times New Roman"/>
          <w:sz w:val="24"/>
          <w:szCs w:val="24"/>
        </w:rPr>
        <w:t xml:space="preserve"> la dernière décennie, le Bénin a adopté de nouvelles orientations stratégiques de développement (OSD) inspirées d’une vision de long terme « Bénin 2025 Alafia ». Dans ces orientations, la structure économique du pays est organisée autour de cinq principaux secteurs appelés « pôles de développement ». Elle</w:t>
      </w:r>
      <w:r>
        <w:rPr>
          <w:rFonts w:ascii="Times New Roman" w:hAnsi="Times New Roman"/>
          <w:sz w:val="24"/>
          <w:szCs w:val="24"/>
        </w:rPr>
        <w:t>s</w:t>
      </w:r>
      <w:r w:rsidR="00E52421">
        <w:rPr>
          <w:rFonts w:ascii="Times New Roman" w:hAnsi="Times New Roman"/>
          <w:sz w:val="24"/>
          <w:szCs w:val="24"/>
        </w:rPr>
        <w:t xml:space="preserve"> </w:t>
      </w:r>
      <w:r>
        <w:rPr>
          <w:rFonts w:ascii="Times New Roman" w:hAnsi="Times New Roman"/>
          <w:sz w:val="24"/>
          <w:szCs w:val="24"/>
        </w:rPr>
        <w:t>sont</w:t>
      </w:r>
      <w:r w:rsidRPr="005375F5">
        <w:rPr>
          <w:rFonts w:ascii="Times New Roman" w:hAnsi="Times New Roman"/>
          <w:sz w:val="24"/>
          <w:szCs w:val="24"/>
        </w:rPr>
        <w:t xml:space="preserve"> traduite</w:t>
      </w:r>
      <w:r>
        <w:rPr>
          <w:rFonts w:ascii="Times New Roman" w:hAnsi="Times New Roman"/>
          <w:sz w:val="24"/>
          <w:szCs w:val="24"/>
        </w:rPr>
        <w:t>s</w:t>
      </w:r>
      <w:r w:rsidRPr="005375F5">
        <w:rPr>
          <w:rFonts w:ascii="Times New Roman" w:hAnsi="Times New Roman"/>
          <w:sz w:val="24"/>
          <w:szCs w:val="24"/>
        </w:rPr>
        <w:t xml:space="preserve"> par la diversification de l’économie dans la Stratégie de Croissance </w:t>
      </w:r>
      <w:r w:rsidR="00A25FB1">
        <w:rPr>
          <w:rFonts w:ascii="Times New Roman" w:hAnsi="Times New Roman"/>
          <w:sz w:val="24"/>
          <w:szCs w:val="24"/>
        </w:rPr>
        <w:t xml:space="preserve">pour la </w:t>
      </w:r>
      <w:r w:rsidRPr="005375F5">
        <w:rPr>
          <w:rFonts w:ascii="Times New Roman" w:hAnsi="Times New Roman"/>
          <w:sz w:val="24"/>
          <w:szCs w:val="24"/>
        </w:rPr>
        <w:t>Réduction de la Pauvreté (SCRP). Les stratégies mises en œuvre repose</w:t>
      </w:r>
      <w:r>
        <w:rPr>
          <w:rFonts w:ascii="Times New Roman" w:hAnsi="Times New Roman"/>
          <w:sz w:val="24"/>
          <w:szCs w:val="24"/>
        </w:rPr>
        <w:t>nt</w:t>
      </w:r>
      <w:r w:rsidRPr="005375F5">
        <w:rPr>
          <w:rFonts w:ascii="Times New Roman" w:hAnsi="Times New Roman"/>
          <w:sz w:val="24"/>
          <w:szCs w:val="24"/>
        </w:rPr>
        <w:t xml:space="preserve"> sur deux piliers principaux qui sont : (i) la dynamisation de</w:t>
      </w:r>
      <w:r>
        <w:rPr>
          <w:rFonts w:ascii="Times New Roman" w:hAnsi="Times New Roman"/>
          <w:sz w:val="24"/>
          <w:szCs w:val="24"/>
        </w:rPr>
        <w:t>s</w:t>
      </w:r>
      <w:r w:rsidRPr="005375F5">
        <w:rPr>
          <w:rFonts w:ascii="Times New Roman" w:hAnsi="Times New Roman"/>
          <w:sz w:val="24"/>
          <w:szCs w:val="24"/>
        </w:rPr>
        <w:t xml:space="preserve"> pôles de croissance et de développement et (ii) la mécanisation et la modernisation de l’agriculture. Cette dernière mesure est en phase avec le diagnostic ci-dessus présenté sur les causes de la faible croissance qui caractérise le Bénin. La dynamisation des nouveaux pôles de croissance et de développement est déclinée en stratégies sectorielles et organisée sur un pilier central constitué par le secteur des transports, du commerce et de la logistique et sur quatre piliers périphériques: (i) le coton textile ; (ii) l’agroalimentaire; (iii) le BTP-matériaux de construction ; et (iv) le tourisme-culture-artisanat</w:t>
      </w:r>
      <w:r>
        <w:rPr>
          <w:rFonts w:ascii="Times New Roman" w:hAnsi="Times New Roman"/>
          <w:sz w:val="24"/>
          <w:szCs w:val="24"/>
        </w:rPr>
        <w:t xml:space="preserve">. </w:t>
      </w:r>
      <w:r w:rsidRPr="007F3CE5">
        <w:rPr>
          <w:rFonts w:ascii="Times New Roman" w:hAnsi="Times New Roman"/>
          <w:sz w:val="24"/>
          <w:szCs w:val="24"/>
        </w:rPr>
        <w:t xml:space="preserve">L’objet de cette section est d’une part, d’analyser les performances de ces pôles en termes de croissance et d’autre part, de faire la connexion entre le taux de croissance dans ces secteurs et la pauvreté. </w:t>
      </w:r>
      <w:r>
        <w:rPr>
          <w:rFonts w:ascii="Times New Roman" w:hAnsi="Times New Roman"/>
          <w:sz w:val="24"/>
          <w:szCs w:val="24"/>
        </w:rPr>
        <w:t xml:space="preserve">Elle est focalisée essentiellement sur les quatre pôles prioritaires à savoir : (i) </w:t>
      </w:r>
      <w:r w:rsidR="00576730">
        <w:rPr>
          <w:rFonts w:ascii="Times New Roman" w:hAnsi="Times New Roman"/>
          <w:sz w:val="24"/>
          <w:szCs w:val="24"/>
        </w:rPr>
        <w:t xml:space="preserve">« agriculture </w:t>
      </w:r>
      <w:r>
        <w:rPr>
          <w:rFonts w:ascii="Times New Roman" w:hAnsi="Times New Roman"/>
          <w:sz w:val="24"/>
          <w:szCs w:val="24"/>
        </w:rPr>
        <w:t>et agro-alimentaire</w:t>
      </w:r>
      <w:r w:rsidR="00576730">
        <w:rPr>
          <w:rFonts w:ascii="Times New Roman" w:hAnsi="Times New Roman"/>
          <w:sz w:val="24"/>
          <w:szCs w:val="24"/>
        </w:rPr>
        <w:t> »</w:t>
      </w:r>
      <w:r>
        <w:rPr>
          <w:rFonts w:ascii="Times New Roman" w:hAnsi="Times New Roman"/>
          <w:sz w:val="24"/>
          <w:szCs w:val="24"/>
        </w:rPr>
        <w:t xml:space="preserve">, (ii) </w:t>
      </w:r>
      <w:r w:rsidR="00576730">
        <w:rPr>
          <w:rFonts w:ascii="Times New Roman" w:hAnsi="Times New Roman"/>
          <w:sz w:val="24"/>
          <w:szCs w:val="24"/>
        </w:rPr>
        <w:t>« coton</w:t>
      </w:r>
      <w:r>
        <w:rPr>
          <w:rFonts w:ascii="Times New Roman" w:hAnsi="Times New Roman"/>
          <w:sz w:val="24"/>
          <w:szCs w:val="24"/>
        </w:rPr>
        <w:t>-textile</w:t>
      </w:r>
      <w:r w:rsidR="00576730">
        <w:rPr>
          <w:rFonts w:ascii="Times New Roman" w:hAnsi="Times New Roman"/>
          <w:sz w:val="24"/>
          <w:szCs w:val="24"/>
        </w:rPr>
        <w:t> »</w:t>
      </w:r>
      <w:r>
        <w:rPr>
          <w:rFonts w:ascii="Times New Roman" w:hAnsi="Times New Roman"/>
          <w:sz w:val="24"/>
          <w:szCs w:val="24"/>
        </w:rPr>
        <w:t xml:space="preserve">, (iii) </w:t>
      </w:r>
      <w:r w:rsidR="00576730">
        <w:rPr>
          <w:rFonts w:ascii="Times New Roman" w:hAnsi="Times New Roman"/>
          <w:sz w:val="24"/>
          <w:szCs w:val="24"/>
        </w:rPr>
        <w:t xml:space="preserve">« commerce </w:t>
      </w:r>
      <w:r>
        <w:rPr>
          <w:rFonts w:ascii="Times New Roman" w:hAnsi="Times New Roman"/>
          <w:sz w:val="24"/>
          <w:szCs w:val="24"/>
        </w:rPr>
        <w:t xml:space="preserve">et </w:t>
      </w:r>
      <w:r w:rsidR="00576730">
        <w:rPr>
          <w:rFonts w:ascii="Times New Roman" w:hAnsi="Times New Roman"/>
          <w:sz w:val="24"/>
          <w:szCs w:val="24"/>
        </w:rPr>
        <w:t>logistique »</w:t>
      </w:r>
      <w:r>
        <w:rPr>
          <w:rFonts w:ascii="Times New Roman" w:hAnsi="Times New Roman"/>
          <w:sz w:val="24"/>
          <w:szCs w:val="24"/>
        </w:rPr>
        <w:t xml:space="preserve"> et (iv) </w:t>
      </w:r>
      <w:r w:rsidR="00576730">
        <w:rPr>
          <w:rFonts w:ascii="Times New Roman" w:hAnsi="Times New Roman"/>
          <w:sz w:val="24"/>
          <w:szCs w:val="24"/>
        </w:rPr>
        <w:t>« tourisme artisanat</w:t>
      </w:r>
      <w:r>
        <w:rPr>
          <w:rFonts w:ascii="Times New Roman" w:hAnsi="Times New Roman"/>
          <w:sz w:val="24"/>
          <w:szCs w:val="24"/>
        </w:rPr>
        <w:t>-</w:t>
      </w:r>
      <w:r w:rsidR="00576730">
        <w:rPr>
          <w:rFonts w:ascii="Times New Roman" w:hAnsi="Times New Roman"/>
          <w:sz w:val="24"/>
          <w:szCs w:val="24"/>
        </w:rPr>
        <w:t>culture »</w:t>
      </w:r>
      <w:r>
        <w:rPr>
          <w:rFonts w:ascii="Times New Roman" w:hAnsi="Times New Roman"/>
          <w:sz w:val="24"/>
          <w:szCs w:val="24"/>
        </w:rPr>
        <w:t xml:space="preserve">. </w:t>
      </w:r>
    </w:p>
    <w:p w:rsidR="00C85F00" w:rsidRPr="00F55B57" w:rsidRDefault="00C85F00" w:rsidP="00324B2E">
      <w:pPr>
        <w:spacing w:line="276" w:lineRule="auto"/>
        <w:rPr>
          <w:rFonts w:ascii="Times New Roman" w:hAnsi="Times New Roman"/>
          <w:sz w:val="12"/>
          <w:szCs w:val="12"/>
        </w:rPr>
      </w:pPr>
    </w:p>
    <w:p w:rsidR="00324B2E" w:rsidRPr="00D5409A" w:rsidRDefault="00324B2E" w:rsidP="00930D19">
      <w:pPr>
        <w:numPr>
          <w:ilvl w:val="0"/>
          <w:numId w:val="15"/>
        </w:numPr>
        <w:spacing w:line="276" w:lineRule="auto"/>
        <w:rPr>
          <w:rFonts w:ascii="Times New Roman" w:hAnsi="Times New Roman"/>
          <w:b/>
          <w:sz w:val="24"/>
          <w:szCs w:val="24"/>
        </w:rPr>
      </w:pPr>
      <w:r>
        <w:rPr>
          <w:rFonts w:ascii="Times New Roman" w:hAnsi="Times New Roman"/>
          <w:b/>
          <w:sz w:val="24"/>
          <w:szCs w:val="24"/>
        </w:rPr>
        <w:t>A</w:t>
      </w:r>
      <w:r w:rsidRPr="00D5409A">
        <w:rPr>
          <w:rFonts w:ascii="Times New Roman" w:hAnsi="Times New Roman"/>
          <w:b/>
          <w:sz w:val="24"/>
          <w:szCs w:val="24"/>
        </w:rPr>
        <w:t xml:space="preserve">griculture </w:t>
      </w:r>
      <w:r>
        <w:rPr>
          <w:rFonts w:ascii="Times New Roman" w:hAnsi="Times New Roman"/>
          <w:b/>
          <w:sz w:val="24"/>
          <w:szCs w:val="24"/>
        </w:rPr>
        <w:t>et a</w:t>
      </w:r>
      <w:r w:rsidRPr="00D5409A">
        <w:rPr>
          <w:rFonts w:ascii="Times New Roman" w:hAnsi="Times New Roman"/>
          <w:b/>
          <w:sz w:val="24"/>
          <w:szCs w:val="24"/>
        </w:rPr>
        <w:t xml:space="preserve">groalimentaire </w:t>
      </w:r>
    </w:p>
    <w:p w:rsidR="00324B2E" w:rsidRPr="00F55B57" w:rsidRDefault="00324B2E" w:rsidP="00F55B57">
      <w:pPr>
        <w:spacing w:line="240" w:lineRule="auto"/>
        <w:rPr>
          <w:rFonts w:ascii="Times New Roman" w:hAnsi="Times New Roman"/>
          <w:b/>
          <w:sz w:val="12"/>
          <w:szCs w:val="12"/>
        </w:rPr>
      </w:pPr>
    </w:p>
    <w:p w:rsidR="00324B2E" w:rsidRPr="00521974" w:rsidRDefault="00324B2E" w:rsidP="00324B2E">
      <w:pPr>
        <w:spacing w:line="276" w:lineRule="auto"/>
        <w:rPr>
          <w:rFonts w:ascii="Times New Roman" w:hAnsi="Times New Roman"/>
          <w:sz w:val="24"/>
          <w:szCs w:val="24"/>
        </w:rPr>
      </w:pPr>
      <w:r>
        <w:rPr>
          <w:rFonts w:ascii="Times New Roman" w:hAnsi="Times New Roman"/>
          <w:b/>
          <w:sz w:val="24"/>
          <w:szCs w:val="24"/>
        </w:rPr>
        <w:t xml:space="preserve">Le </w:t>
      </w:r>
      <w:r w:rsidRPr="00EE3F8F">
        <w:rPr>
          <w:rFonts w:ascii="Times New Roman" w:hAnsi="Times New Roman"/>
          <w:b/>
          <w:sz w:val="24"/>
          <w:szCs w:val="24"/>
        </w:rPr>
        <w:t>pôle</w:t>
      </w:r>
      <w:r>
        <w:rPr>
          <w:rFonts w:ascii="Times New Roman" w:hAnsi="Times New Roman"/>
          <w:b/>
          <w:sz w:val="24"/>
          <w:szCs w:val="24"/>
        </w:rPr>
        <w:t xml:space="preserve"> </w:t>
      </w:r>
      <w:r w:rsidR="00576730">
        <w:rPr>
          <w:rFonts w:ascii="Times New Roman" w:hAnsi="Times New Roman"/>
          <w:b/>
          <w:sz w:val="24"/>
          <w:szCs w:val="24"/>
        </w:rPr>
        <w:t>« a</w:t>
      </w:r>
      <w:r w:rsidR="00576730" w:rsidRPr="00521974">
        <w:rPr>
          <w:rFonts w:ascii="Times New Roman" w:hAnsi="Times New Roman"/>
          <w:b/>
          <w:sz w:val="24"/>
          <w:szCs w:val="24"/>
        </w:rPr>
        <w:t xml:space="preserve">griculture </w:t>
      </w:r>
      <w:r>
        <w:rPr>
          <w:rFonts w:ascii="Times New Roman" w:hAnsi="Times New Roman"/>
          <w:b/>
          <w:sz w:val="24"/>
          <w:szCs w:val="24"/>
        </w:rPr>
        <w:t>et a</w:t>
      </w:r>
      <w:r w:rsidRPr="00521974">
        <w:rPr>
          <w:rFonts w:ascii="Times New Roman" w:hAnsi="Times New Roman"/>
          <w:b/>
          <w:sz w:val="24"/>
          <w:szCs w:val="24"/>
        </w:rPr>
        <w:t>groalimentaire</w:t>
      </w:r>
      <w:r w:rsidR="00576730">
        <w:rPr>
          <w:rFonts w:ascii="Times New Roman" w:hAnsi="Times New Roman"/>
          <w:b/>
          <w:sz w:val="24"/>
          <w:szCs w:val="24"/>
        </w:rPr>
        <w:t> »</w:t>
      </w:r>
      <w:r w:rsidRPr="00521974">
        <w:rPr>
          <w:rStyle w:val="Appelnotedebasdep"/>
          <w:rFonts w:ascii="Times New Roman" w:hAnsi="Times New Roman"/>
          <w:b/>
          <w:sz w:val="24"/>
          <w:szCs w:val="24"/>
        </w:rPr>
        <w:footnoteReference w:id="52"/>
      </w:r>
      <w:r w:rsidRPr="00521974">
        <w:rPr>
          <w:rFonts w:ascii="Times New Roman" w:hAnsi="Times New Roman"/>
          <w:b/>
          <w:sz w:val="24"/>
          <w:szCs w:val="24"/>
        </w:rPr>
        <w:t> </w:t>
      </w:r>
      <w:r w:rsidRPr="00EE3F8F">
        <w:rPr>
          <w:rFonts w:ascii="Times New Roman" w:hAnsi="Times New Roman"/>
          <w:b/>
          <w:sz w:val="24"/>
          <w:szCs w:val="24"/>
        </w:rPr>
        <w:t xml:space="preserve"> est le plus important en termes de contribution au produit intérieur brut du Bénin (32% du PIB).</w:t>
      </w:r>
      <w:r w:rsidR="00576730">
        <w:rPr>
          <w:rFonts w:ascii="Times New Roman" w:hAnsi="Times New Roman"/>
          <w:b/>
          <w:sz w:val="24"/>
          <w:szCs w:val="24"/>
        </w:rPr>
        <w:t xml:space="preserve"> </w:t>
      </w:r>
      <w:r w:rsidRPr="001108FC">
        <w:rPr>
          <w:rFonts w:ascii="Times New Roman" w:hAnsi="Times New Roman"/>
          <w:b/>
          <w:sz w:val="24"/>
          <w:szCs w:val="24"/>
        </w:rPr>
        <w:t>La contribution de ce pôle à la croissance est toujours tirée par l’agriculture vivrière, mais avec une variation dans le rôle des autres branches</w:t>
      </w:r>
      <w:r>
        <w:rPr>
          <w:rFonts w:ascii="Times New Roman" w:hAnsi="Times New Roman"/>
          <w:b/>
          <w:sz w:val="24"/>
          <w:szCs w:val="24"/>
        </w:rPr>
        <w:t>.</w:t>
      </w:r>
      <w:r w:rsidRPr="00521974">
        <w:rPr>
          <w:rFonts w:ascii="Times New Roman" w:hAnsi="Times New Roman"/>
          <w:sz w:val="24"/>
          <w:szCs w:val="24"/>
        </w:rPr>
        <w:t xml:space="preserve"> Il est constitué de deux </w:t>
      </w:r>
      <w:r w:rsidR="00C2688F" w:rsidRPr="00521974">
        <w:rPr>
          <w:rFonts w:ascii="Times New Roman" w:hAnsi="Times New Roman"/>
          <w:sz w:val="24"/>
          <w:szCs w:val="24"/>
        </w:rPr>
        <w:t>sous-ensembles</w:t>
      </w:r>
      <w:r w:rsidRPr="00521974">
        <w:rPr>
          <w:rFonts w:ascii="Times New Roman" w:hAnsi="Times New Roman"/>
          <w:sz w:val="24"/>
          <w:szCs w:val="24"/>
        </w:rPr>
        <w:t xml:space="preserve"> fortement liés. L’agroalimentaire, qui tire sa majorité d’intrants de l’agriculture et cette dernière qui, à travers l’élevage utilise des produits agroalimentaires pour son fonctionnement. Cette interdépendance est beaucoup plus en faveur de l’agroalimentaire (artisanale surtout) car les principaux intrants de l’agriculture ne sont pas des produits agroalimentaires mais des produits agricoles et chimiques</w:t>
      </w:r>
    </w:p>
    <w:p w:rsidR="00324B2E" w:rsidRPr="00F55B57"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 xml:space="preserve">Ce pôle est judicieusement choisi, avec une branche d’offre (agriculture) et une branche de demande (agroalimentaire). Une amélioration de la productivité de la branche d’offre exige des efforts du même sens pour la branche de demande afin d’assurer la transformation de la production supplémentaire. Le marché intérieur étant limité, la question non négligeable à résoudre est relative aux débouchés. Mais avant d’y penser, il est important d’analyser la situation depuis 2006, l’année d’adoption des orientations stratégiques de développement. </w:t>
      </w:r>
    </w:p>
    <w:p w:rsidR="00324B2E" w:rsidRPr="00F55B57"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Le tableau ci-dessous fournit le détail de la structure du pôle « agroalimentaire » par branche depuis 2006. L’analyse du tableau laisse apparaître que l’agriculture vivrière contribue à 48% à la valeur ajoutée de ce pôle. Cette branche « agriculture vivrière » est composée de plusieurs sous branches qu’on peut classer en culture de céréales, de tubercules, de légumineuses, de légumes frais et épices, et culture de certains fruits. Parmi les céréales, le maïs reste le produit le plus important</w:t>
      </w:r>
      <w:r>
        <w:rPr>
          <w:rFonts w:ascii="Times New Roman" w:hAnsi="Times New Roman"/>
          <w:sz w:val="24"/>
          <w:szCs w:val="24"/>
        </w:rPr>
        <w:t>. A</w:t>
      </w:r>
      <w:r w:rsidRPr="00521974">
        <w:rPr>
          <w:rFonts w:ascii="Times New Roman" w:hAnsi="Times New Roman"/>
          <w:sz w:val="24"/>
          <w:szCs w:val="24"/>
        </w:rPr>
        <w:t>u niveau des tubercules</w:t>
      </w:r>
      <w:r>
        <w:rPr>
          <w:rFonts w:ascii="Times New Roman" w:hAnsi="Times New Roman"/>
          <w:sz w:val="24"/>
          <w:szCs w:val="24"/>
        </w:rPr>
        <w:t>,</w:t>
      </w:r>
      <w:r w:rsidRPr="00521974">
        <w:rPr>
          <w:rFonts w:ascii="Times New Roman" w:hAnsi="Times New Roman"/>
          <w:sz w:val="24"/>
          <w:szCs w:val="24"/>
        </w:rPr>
        <w:t xml:space="preserve"> il s’agit plutôt de l’igname en terme de valeur ajoutée et de manioc en terme de poids (quantité), dans les légumineuses nous avons le haricot, et au niveau des légumes frais et épices, la tomate. </w:t>
      </w:r>
    </w:p>
    <w:p w:rsidR="00324B2E" w:rsidRDefault="00324B2E" w:rsidP="00324B2E">
      <w:pPr>
        <w:spacing w:line="276" w:lineRule="auto"/>
        <w:rPr>
          <w:rFonts w:ascii="Times New Roman" w:hAnsi="Times New Roman"/>
          <w:sz w:val="24"/>
          <w:szCs w:val="24"/>
        </w:rPr>
      </w:pPr>
    </w:p>
    <w:tbl>
      <w:tblPr>
        <w:tblW w:w="5106"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317"/>
        <w:gridCol w:w="680"/>
        <w:gridCol w:w="680"/>
        <w:gridCol w:w="680"/>
        <w:gridCol w:w="680"/>
        <w:gridCol w:w="680"/>
        <w:gridCol w:w="690"/>
      </w:tblGrid>
      <w:tr w:rsidR="00311096" w:rsidRPr="00521974" w:rsidTr="00311096">
        <w:trPr>
          <w:trHeight w:val="302"/>
        </w:trPr>
        <w:tc>
          <w:tcPr>
            <w:tcW w:w="5000" w:type="pct"/>
            <w:gridSpan w:val="7"/>
            <w:tcBorders>
              <w:top w:val="nil"/>
              <w:bottom w:val="double" w:sz="4" w:space="0" w:color="auto"/>
            </w:tcBorders>
            <w:shd w:val="clear" w:color="auto" w:fill="92CDDC" w:themeFill="accent5" w:themeFillTint="99"/>
            <w:noWrap/>
            <w:vAlign w:val="bottom"/>
            <w:hideMark/>
          </w:tcPr>
          <w:p w:rsidR="00311096" w:rsidRPr="00311096" w:rsidRDefault="00311096" w:rsidP="00311096">
            <w:pPr>
              <w:spacing w:line="240" w:lineRule="auto"/>
              <w:jc w:val="left"/>
              <w:rPr>
                <w:rFonts w:ascii="Times New Roman" w:eastAsia="Times New Roman" w:hAnsi="Times New Roman"/>
                <w:b/>
                <w:color w:val="000000"/>
                <w:sz w:val="24"/>
                <w:szCs w:val="24"/>
                <w:lang w:eastAsia="fr-FR"/>
              </w:rPr>
            </w:pPr>
            <w:bookmarkStart w:id="72" w:name="_Toc369714585"/>
            <w:bookmarkStart w:id="73" w:name="_Toc373430369"/>
            <w:r w:rsidRPr="00311096">
              <w:rPr>
                <w:rFonts w:ascii="Times New Roman" w:hAnsi="Times New Roman"/>
                <w:sz w:val="24"/>
                <w:szCs w:val="24"/>
              </w:rPr>
              <w:t>Tableau 2.</w:t>
            </w:r>
            <w:r w:rsidR="00182C97" w:rsidRPr="00311096">
              <w:rPr>
                <w:rFonts w:ascii="Times New Roman" w:hAnsi="Times New Roman"/>
                <w:sz w:val="24"/>
                <w:szCs w:val="24"/>
              </w:rPr>
              <w:fldChar w:fldCharType="begin"/>
            </w:r>
            <w:r w:rsidRPr="00311096">
              <w:rPr>
                <w:rFonts w:ascii="Times New Roman" w:hAnsi="Times New Roman"/>
                <w:sz w:val="24"/>
                <w:szCs w:val="24"/>
              </w:rPr>
              <w:instrText xml:space="preserve"> SEQ Tableau_2. \* ARABIC </w:instrText>
            </w:r>
            <w:r w:rsidR="00182C97" w:rsidRPr="00311096">
              <w:rPr>
                <w:rFonts w:ascii="Times New Roman" w:hAnsi="Times New Roman"/>
                <w:sz w:val="24"/>
                <w:szCs w:val="24"/>
              </w:rPr>
              <w:fldChar w:fldCharType="separate"/>
            </w:r>
            <w:r w:rsidR="00AB1967">
              <w:rPr>
                <w:rFonts w:ascii="Times New Roman" w:hAnsi="Times New Roman"/>
                <w:noProof/>
                <w:sz w:val="24"/>
                <w:szCs w:val="24"/>
              </w:rPr>
              <w:t>3</w:t>
            </w:r>
            <w:r w:rsidR="00182C97" w:rsidRPr="00311096">
              <w:rPr>
                <w:rFonts w:ascii="Times New Roman" w:hAnsi="Times New Roman"/>
                <w:sz w:val="24"/>
                <w:szCs w:val="24"/>
              </w:rPr>
              <w:fldChar w:fldCharType="end"/>
            </w:r>
            <w:r w:rsidRPr="00311096">
              <w:rPr>
                <w:rFonts w:ascii="Times New Roman" w:hAnsi="Times New Roman"/>
                <w:sz w:val="24"/>
                <w:szCs w:val="24"/>
              </w:rPr>
              <w:t>: Structure du pôle agroalimentaire et agriculture</w:t>
            </w:r>
            <w:bookmarkEnd w:id="72"/>
            <w:bookmarkEnd w:id="73"/>
          </w:p>
        </w:tc>
      </w:tr>
      <w:tr w:rsidR="00AB3BBB" w:rsidRPr="00521974" w:rsidTr="00311096">
        <w:trPr>
          <w:trHeight w:val="302"/>
        </w:trPr>
        <w:tc>
          <w:tcPr>
            <w:tcW w:w="2827" w:type="pct"/>
            <w:tcBorders>
              <w:top w:val="double" w:sz="4" w:space="0" w:color="auto"/>
              <w:bottom w:val="single" w:sz="4" w:space="0" w:color="auto"/>
            </w:tcBorders>
            <w:shd w:val="clear" w:color="auto" w:fill="DAEEF3" w:themeFill="accent5" w:themeFillTint="33"/>
            <w:noWrap/>
            <w:vAlign w:val="bottom"/>
            <w:hideMark/>
          </w:tcPr>
          <w:p w:rsidR="00AB3BBB" w:rsidRPr="00521974" w:rsidRDefault="00AB3BBB" w:rsidP="00394FEA">
            <w:pPr>
              <w:spacing w:line="240" w:lineRule="auto"/>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 </w:t>
            </w:r>
          </w:p>
        </w:tc>
        <w:tc>
          <w:tcPr>
            <w:tcW w:w="361" w:type="pct"/>
            <w:tcBorders>
              <w:top w:val="doub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2006</w:t>
            </w:r>
          </w:p>
        </w:tc>
        <w:tc>
          <w:tcPr>
            <w:tcW w:w="361" w:type="pct"/>
            <w:tcBorders>
              <w:top w:val="doub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2007</w:t>
            </w:r>
          </w:p>
        </w:tc>
        <w:tc>
          <w:tcPr>
            <w:tcW w:w="361" w:type="pct"/>
            <w:tcBorders>
              <w:top w:val="doub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2008</w:t>
            </w:r>
          </w:p>
        </w:tc>
        <w:tc>
          <w:tcPr>
            <w:tcW w:w="361" w:type="pct"/>
            <w:tcBorders>
              <w:top w:val="doub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2009</w:t>
            </w:r>
          </w:p>
        </w:tc>
        <w:tc>
          <w:tcPr>
            <w:tcW w:w="361" w:type="pct"/>
            <w:tcBorders>
              <w:top w:val="doub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2010</w:t>
            </w:r>
          </w:p>
        </w:tc>
        <w:tc>
          <w:tcPr>
            <w:tcW w:w="366" w:type="pct"/>
            <w:tcBorders>
              <w:top w:val="doub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2011</w:t>
            </w:r>
          </w:p>
        </w:tc>
      </w:tr>
      <w:tr w:rsidR="00AB3BBB" w:rsidRPr="00521974" w:rsidTr="00311096">
        <w:trPr>
          <w:trHeight w:val="302"/>
        </w:trPr>
        <w:tc>
          <w:tcPr>
            <w:tcW w:w="2827" w:type="pct"/>
            <w:tcBorders>
              <w:top w:val="single" w:sz="4" w:space="0" w:color="auto"/>
            </w:tcBorders>
            <w:shd w:val="clear" w:color="auto" w:fill="DAEEF3" w:themeFill="accent5" w:themeFillTint="33"/>
            <w:noWrap/>
            <w:vAlign w:val="bottom"/>
            <w:hideMark/>
          </w:tcPr>
          <w:p w:rsidR="00AB3BBB" w:rsidRPr="00521974" w:rsidRDefault="00AB3BBB" w:rsidP="00394FEA">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Agriculture  vivrière</w:t>
            </w:r>
          </w:p>
        </w:tc>
        <w:tc>
          <w:tcPr>
            <w:tcW w:w="361" w:type="pct"/>
            <w:tcBorders>
              <w:top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47,8</w:t>
            </w:r>
          </w:p>
        </w:tc>
        <w:tc>
          <w:tcPr>
            <w:tcW w:w="361" w:type="pct"/>
            <w:tcBorders>
              <w:top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47,6</w:t>
            </w:r>
          </w:p>
        </w:tc>
        <w:tc>
          <w:tcPr>
            <w:tcW w:w="361" w:type="pct"/>
            <w:tcBorders>
              <w:top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47,9</w:t>
            </w:r>
          </w:p>
        </w:tc>
        <w:tc>
          <w:tcPr>
            <w:tcW w:w="361" w:type="pct"/>
            <w:tcBorders>
              <w:top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47,9</w:t>
            </w:r>
          </w:p>
        </w:tc>
        <w:tc>
          <w:tcPr>
            <w:tcW w:w="361" w:type="pct"/>
            <w:tcBorders>
              <w:top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47,7</w:t>
            </w:r>
          </w:p>
        </w:tc>
        <w:tc>
          <w:tcPr>
            <w:tcW w:w="366" w:type="pct"/>
            <w:tcBorders>
              <w:top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47,5</w:t>
            </w:r>
          </w:p>
        </w:tc>
      </w:tr>
      <w:tr w:rsidR="00AB3BBB" w:rsidRPr="00521974" w:rsidTr="00311096">
        <w:trPr>
          <w:trHeight w:val="302"/>
        </w:trPr>
        <w:tc>
          <w:tcPr>
            <w:tcW w:w="2827" w:type="pct"/>
            <w:shd w:val="clear" w:color="auto" w:fill="DAEEF3" w:themeFill="accent5" w:themeFillTint="33"/>
            <w:noWrap/>
            <w:vAlign w:val="bottom"/>
            <w:hideMark/>
          </w:tcPr>
          <w:p w:rsidR="00AB3BBB" w:rsidRPr="00521974" w:rsidRDefault="00AB3BBB" w:rsidP="00394FEA">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Autr</w:t>
            </w:r>
            <w:r>
              <w:rPr>
                <w:rFonts w:ascii="Times New Roman" w:eastAsia="Times New Roman" w:hAnsi="Times New Roman"/>
                <w:color w:val="000000"/>
                <w:sz w:val="24"/>
                <w:szCs w:val="24"/>
                <w:lang w:eastAsia="fr-FR"/>
              </w:rPr>
              <w:t>.</w:t>
            </w:r>
            <w:r w:rsidRPr="00521974">
              <w:rPr>
                <w:rFonts w:ascii="Times New Roman" w:eastAsia="Times New Roman" w:hAnsi="Times New Roman"/>
                <w:color w:val="000000"/>
                <w:sz w:val="24"/>
                <w:szCs w:val="24"/>
                <w:lang w:eastAsia="fr-FR"/>
              </w:rPr>
              <w:t>Agric. hors coton</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3,9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4,0</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4,0</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4,0</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4,0</w:t>
            </w:r>
          </w:p>
        </w:tc>
        <w:tc>
          <w:tcPr>
            <w:tcW w:w="366"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4,3</w:t>
            </w:r>
          </w:p>
        </w:tc>
      </w:tr>
      <w:tr w:rsidR="00AB3BBB" w:rsidRPr="00521974" w:rsidTr="00311096">
        <w:trPr>
          <w:trHeight w:val="302"/>
        </w:trPr>
        <w:tc>
          <w:tcPr>
            <w:tcW w:w="2827" w:type="pct"/>
            <w:shd w:val="clear" w:color="auto" w:fill="DAEEF3" w:themeFill="accent5" w:themeFillTint="33"/>
            <w:noWrap/>
            <w:vAlign w:val="bottom"/>
            <w:hideMark/>
          </w:tcPr>
          <w:p w:rsidR="00AB3BBB" w:rsidRPr="00521974" w:rsidRDefault="00AB3BBB" w:rsidP="00394FEA">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Elevage et chasse</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13,0</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13,2</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13,0</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12,8</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12,5</w:t>
            </w:r>
          </w:p>
        </w:tc>
        <w:tc>
          <w:tcPr>
            <w:tcW w:w="366"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12,5</w:t>
            </w:r>
          </w:p>
        </w:tc>
      </w:tr>
      <w:tr w:rsidR="00AB3BBB" w:rsidRPr="00521974" w:rsidTr="00311096">
        <w:trPr>
          <w:trHeight w:val="302"/>
        </w:trPr>
        <w:tc>
          <w:tcPr>
            <w:tcW w:w="2827" w:type="pct"/>
            <w:shd w:val="clear" w:color="auto" w:fill="DAEEF3" w:themeFill="accent5" w:themeFillTint="33"/>
            <w:noWrap/>
            <w:vAlign w:val="bottom"/>
            <w:hideMark/>
          </w:tcPr>
          <w:p w:rsidR="00AB3BBB" w:rsidRPr="00521974" w:rsidRDefault="00AB3BBB" w:rsidP="00394FEA">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Forêt</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8,2</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8,3</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8,1</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8,2</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8,7</w:t>
            </w:r>
          </w:p>
        </w:tc>
        <w:tc>
          <w:tcPr>
            <w:tcW w:w="366"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8,6</w:t>
            </w:r>
          </w:p>
        </w:tc>
      </w:tr>
      <w:tr w:rsidR="00AB3BBB" w:rsidRPr="00521974" w:rsidTr="00311096">
        <w:trPr>
          <w:trHeight w:val="302"/>
        </w:trPr>
        <w:tc>
          <w:tcPr>
            <w:tcW w:w="2827" w:type="pct"/>
            <w:shd w:val="clear" w:color="auto" w:fill="DAEEF3" w:themeFill="accent5" w:themeFillTint="33"/>
            <w:noWrap/>
            <w:vAlign w:val="bottom"/>
            <w:hideMark/>
          </w:tcPr>
          <w:p w:rsidR="00AB3BBB" w:rsidRPr="00521974" w:rsidRDefault="00AB3BBB" w:rsidP="00394FEA">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Pêche</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2,9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2,9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2,9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2,9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3,1</w:t>
            </w:r>
          </w:p>
        </w:tc>
        <w:tc>
          <w:tcPr>
            <w:tcW w:w="366"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3,0</w:t>
            </w:r>
          </w:p>
        </w:tc>
      </w:tr>
      <w:tr w:rsidR="00AB3BBB" w:rsidRPr="00521974" w:rsidTr="00311096">
        <w:trPr>
          <w:trHeight w:val="302"/>
        </w:trPr>
        <w:tc>
          <w:tcPr>
            <w:tcW w:w="2827" w:type="pct"/>
            <w:shd w:val="clear" w:color="auto" w:fill="DAEEF3" w:themeFill="accent5" w:themeFillTint="33"/>
            <w:noWrap/>
            <w:vAlign w:val="bottom"/>
            <w:hideMark/>
          </w:tcPr>
          <w:p w:rsidR="00AB3BBB" w:rsidRPr="00521974" w:rsidRDefault="00AB3BBB" w:rsidP="00576730">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 xml:space="preserve">Industries  </w:t>
            </w:r>
            <w:r w:rsidR="00576730">
              <w:rPr>
                <w:rFonts w:ascii="Times New Roman" w:eastAsia="Times New Roman" w:hAnsi="Times New Roman"/>
                <w:color w:val="000000"/>
                <w:sz w:val="24"/>
                <w:szCs w:val="24"/>
                <w:lang w:eastAsia="fr-FR"/>
              </w:rPr>
              <w:t>a</w:t>
            </w:r>
            <w:r w:rsidR="00576730" w:rsidRPr="00521974">
              <w:rPr>
                <w:rFonts w:ascii="Times New Roman" w:eastAsia="Times New Roman" w:hAnsi="Times New Roman"/>
                <w:color w:val="000000"/>
                <w:sz w:val="24"/>
                <w:szCs w:val="24"/>
                <w:lang w:eastAsia="fr-FR"/>
              </w:rPr>
              <w:t>gro</w:t>
            </w:r>
            <w:r w:rsidRPr="00521974">
              <w:rPr>
                <w:rFonts w:ascii="Times New Roman" w:eastAsia="Times New Roman" w:hAnsi="Times New Roman"/>
                <w:color w:val="000000"/>
                <w:sz w:val="24"/>
                <w:szCs w:val="24"/>
                <w:lang w:eastAsia="fr-FR"/>
              </w:rPr>
              <w:t>.</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5,8</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5,8</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5,9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5,9</w:t>
            </w:r>
          </w:p>
        </w:tc>
        <w:tc>
          <w:tcPr>
            <w:tcW w:w="361"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5,8</w:t>
            </w:r>
          </w:p>
        </w:tc>
        <w:tc>
          <w:tcPr>
            <w:tcW w:w="366" w:type="pct"/>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5,8</w:t>
            </w:r>
          </w:p>
        </w:tc>
      </w:tr>
      <w:tr w:rsidR="00AB3BBB" w:rsidRPr="00521974" w:rsidTr="00311096">
        <w:trPr>
          <w:trHeight w:val="302"/>
        </w:trPr>
        <w:tc>
          <w:tcPr>
            <w:tcW w:w="2827" w:type="pct"/>
            <w:tcBorders>
              <w:bottom w:val="single" w:sz="4" w:space="0" w:color="auto"/>
            </w:tcBorders>
            <w:shd w:val="clear" w:color="auto" w:fill="DAEEF3" w:themeFill="accent5" w:themeFillTint="33"/>
            <w:noWrap/>
            <w:vAlign w:val="bottom"/>
            <w:hideMark/>
          </w:tcPr>
          <w:p w:rsidR="00AB3BBB" w:rsidRPr="00521974" w:rsidRDefault="00AB3BBB" w:rsidP="00576730">
            <w:pPr>
              <w:spacing w:line="240" w:lineRule="auto"/>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 xml:space="preserve">Artisanat  </w:t>
            </w:r>
            <w:r w:rsidR="00576730">
              <w:rPr>
                <w:rFonts w:ascii="Times New Roman" w:eastAsia="Times New Roman" w:hAnsi="Times New Roman"/>
                <w:color w:val="000000"/>
                <w:sz w:val="24"/>
                <w:szCs w:val="24"/>
                <w:lang w:eastAsia="fr-FR"/>
              </w:rPr>
              <w:t>a</w:t>
            </w:r>
            <w:r w:rsidR="00576730" w:rsidRPr="00521974">
              <w:rPr>
                <w:rFonts w:ascii="Times New Roman" w:eastAsia="Times New Roman" w:hAnsi="Times New Roman"/>
                <w:color w:val="000000"/>
                <w:sz w:val="24"/>
                <w:szCs w:val="24"/>
                <w:lang w:eastAsia="fr-FR"/>
              </w:rPr>
              <w:t>gro</w:t>
            </w:r>
            <w:r w:rsidRPr="00521974">
              <w:rPr>
                <w:rFonts w:ascii="Times New Roman" w:eastAsia="Times New Roman" w:hAnsi="Times New Roman"/>
                <w:color w:val="000000"/>
                <w:sz w:val="24"/>
                <w:szCs w:val="24"/>
                <w:lang w:eastAsia="fr-FR"/>
              </w:rPr>
              <w:t>.</w:t>
            </w:r>
          </w:p>
        </w:tc>
        <w:tc>
          <w:tcPr>
            <w:tcW w:w="361" w:type="pct"/>
            <w:tcBorders>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18,3</w:t>
            </w:r>
          </w:p>
        </w:tc>
        <w:tc>
          <w:tcPr>
            <w:tcW w:w="361" w:type="pct"/>
            <w:tcBorders>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18,3</w:t>
            </w:r>
          </w:p>
        </w:tc>
        <w:tc>
          <w:tcPr>
            <w:tcW w:w="361" w:type="pct"/>
            <w:tcBorders>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18,4</w:t>
            </w:r>
          </w:p>
        </w:tc>
        <w:tc>
          <w:tcPr>
            <w:tcW w:w="361" w:type="pct"/>
            <w:tcBorders>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18,4</w:t>
            </w:r>
          </w:p>
        </w:tc>
        <w:tc>
          <w:tcPr>
            <w:tcW w:w="361" w:type="pct"/>
            <w:tcBorders>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18,3</w:t>
            </w:r>
          </w:p>
        </w:tc>
        <w:tc>
          <w:tcPr>
            <w:tcW w:w="366" w:type="pct"/>
            <w:tcBorders>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color w:val="000000"/>
                <w:sz w:val="24"/>
                <w:szCs w:val="24"/>
                <w:lang w:eastAsia="fr-FR"/>
              </w:rPr>
            </w:pPr>
            <w:r w:rsidRPr="00521974">
              <w:rPr>
                <w:rFonts w:ascii="Times New Roman" w:eastAsia="Times New Roman" w:hAnsi="Times New Roman"/>
                <w:color w:val="000000"/>
                <w:sz w:val="24"/>
                <w:szCs w:val="24"/>
                <w:lang w:eastAsia="fr-FR"/>
              </w:rPr>
              <w:t>18,2</w:t>
            </w:r>
          </w:p>
        </w:tc>
      </w:tr>
      <w:tr w:rsidR="00AB3BBB" w:rsidRPr="00521974" w:rsidTr="00311096">
        <w:trPr>
          <w:trHeight w:val="302"/>
        </w:trPr>
        <w:tc>
          <w:tcPr>
            <w:tcW w:w="2827" w:type="pct"/>
            <w:tcBorders>
              <w:top w:val="single" w:sz="4" w:space="0" w:color="auto"/>
              <w:bottom w:val="single" w:sz="4" w:space="0" w:color="auto"/>
            </w:tcBorders>
            <w:shd w:val="clear" w:color="auto" w:fill="DAEEF3" w:themeFill="accent5" w:themeFillTint="33"/>
            <w:noWrap/>
            <w:vAlign w:val="bottom"/>
            <w:hideMark/>
          </w:tcPr>
          <w:p w:rsidR="00AB3BBB" w:rsidRPr="00521974" w:rsidRDefault="00576730" w:rsidP="00576730">
            <w:pPr>
              <w:spacing w:line="240" w:lineRule="auto"/>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P</w:t>
            </w:r>
            <w:r>
              <w:rPr>
                <w:rFonts w:ascii="Times New Roman" w:eastAsia="Times New Roman" w:hAnsi="Times New Roman"/>
                <w:b/>
                <w:color w:val="000000"/>
                <w:sz w:val="24"/>
                <w:szCs w:val="24"/>
                <w:lang w:eastAsia="fr-FR"/>
              </w:rPr>
              <w:t>ô</w:t>
            </w:r>
            <w:r w:rsidRPr="00521974">
              <w:rPr>
                <w:rFonts w:ascii="Times New Roman" w:eastAsia="Times New Roman" w:hAnsi="Times New Roman"/>
                <w:b/>
                <w:color w:val="000000"/>
                <w:sz w:val="24"/>
                <w:szCs w:val="24"/>
                <w:lang w:eastAsia="fr-FR"/>
              </w:rPr>
              <w:t xml:space="preserve">le </w:t>
            </w:r>
            <w:r w:rsidR="00AB3BBB" w:rsidRPr="00521974">
              <w:rPr>
                <w:rFonts w:ascii="Times New Roman" w:eastAsia="Times New Roman" w:hAnsi="Times New Roman"/>
                <w:b/>
                <w:color w:val="000000"/>
                <w:sz w:val="24"/>
                <w:szCs w:val="24"/>
                <w:lang w:eastAsia="fr-FR"/>
              </w:rPr>
              <w:t>Agriculture</w:t>
            </w:r>
            <w:r w:rsidR="00AB3BBB">
              <w:rPr>
                <w:rFonts w:ascii="Times New Roman" w:eastAsia="Times New Roman" w:hAnsi="Times New Roman"/>
                <w:b/>
                <w:color w:val="000000"/>
                <w:sz w:val="24"/>
                <w:szCs w:val="24"/>
                <w:lang w:eastAsia="fr-FR"/>
              </w:rPr>
              <w:t xml:space="preserve"> et </w:t>
            </w:r>
            <w:r w:rsidR="00AB3BBB" w:rsidRPr="00521974">
              <w:rPr>
                <w:rFonts w:ascii="Times New Roman" w:eastAsia="Times New Roman" w:hAnsi="Times New Roman"/>
                <w:b/>
                <w:color w:val="000000"/>
                <w:sz w:val="24"/>
                <w:szCs w:val="24"/>
                <w:lang w:eastAsia="fr-FR"/>
              </w:rPr>
              <w:t xml:space="preserve">Agro </w:t>
            </w:r>
          </w:p>
        </w:tc>
        <w:tc>
          <w:tcPr>
            <w:tcW w:w="361" w:type="pct"/>
            <w:tcBorders>
              <w:top w:val="sing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100,0</w:t>
            </w:r>
          </w:p>
        </w:tc>
        <w:tc>
          <w:tcPr>
            <w:tcW w:w="361" w:type="pct"/>
            <w:tcBorders>
              <w:top w:val="sing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100,0</w:t>
            </w:r>
          </w:p>
        </w:tc>
        <w:tc>
          <w:tcPr>
            <w:tcW w:w="361" w:type="pct"/>
            <w:tcBorders>
              <w:top w:val="sing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100,0</w:t>
            </w:r>
          </w:p>
        </w:tc>
        <w:tc>
          <w:tcPr>
            <w:tcW w:w="361" w:type="pct"/>
            <w:tcBorders>
              <w:top w:val="sing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100,0</w:t>
            </w:r>
          </w:p>
        </w:tc>
        <w:tc>
          <w:tcPr>
            <w:tcW w:w="361" w:type="pct"/>
            <w:tcBorders>
              <w:top w:val="sing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100,0</w:t>
            </w:r>
          </w:p>
        </w:tc>
        <w:tc>
          <w:tcPr>
            <w:tcW w:w="366" w:type="pct"/>
            <w:tcBorders>
              <w:top w:val="single" w:sz="4" w:space="0" w:color="auto"/>
              <w:bottom w:val="sing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100,0</w:t>
            </w:r>
          </w:p>
        </w:tc>
      </w:tr>
      <w:tr w:rsidR="00AB3BBB" w:rsidRPr="00521974" w:rsidTr="00311096">
        <w:trPr>
          <w:trHeight w:val="302"/>
        </w:trPr>
        <w:tc>
          <w:tcPr>
            <w:tcW w:w="2827" w:type="pct"/>
            <w:tcBorders>
              <w:top w:val="single" w:sz="4" w:space="0" w:color="auto"/>
              <w:bottom w:val="double" w:sz="4" w:space="0" w:color="auto"/>
            </w:tcBorders>
            <w:shd w:val="clear" w:color="auto" w:fill="DAEEF3" w:themeFill="accent5" w:themeFillTint="33"/>
            <w:noWrap/>
            <w:vAlign w:val="bottom"/>
            <w:hideMark/>
          </w:tcPr>
          <w:p w:rsidR="00AB3BBB" w:rsidRPr="00521974" w:rsidRDefault="00576730" w:rsidP="00576730">
            <w:pPr>
              <w:spacing w:line="240" w:lineRule="auto"/>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P</w:t>
            </w:r>
            <w:r>
              <w:rPr>
                <w:rFonts w:ascii="Times New Roman" w:eastAsia="Times New Roman" w:hAnsi="Times New Roman"/>
                <w:b/>
                <w:color w:val="000000"/>
                <w:sz w:val="24"/>
                <w:szCs w:val="24"/>
                <w:lang w:eastAsia="fr-FR"/>
              </w:rPr>
              <w:t>ô</w:t>
            </w:r>
            <w:r w:rsidRPr="00521974">
              <w:rPr>
                <w:rFonts w:ascii="Times New Roman" w:eastAsia="Times New Roman" w:hAnsi="Times New Roman"/>
                <w:b/>
                <w:color w:val="000000"/>
                <w:sz w:val="24"/>
                <w:szCs w:val="24"/>
                <w:lang w:eastAsia="fr-FR"/>
              </w:rPr>
              <w:t xml:space="preserve">le </w:t>
            </w:r>
            <w:r w:rsidR="00AB3BBB" w:rsidRPr="00521974">
              <w:rPr>
                <w:rFonts w:ascii="Times New Roman" w:eastAsia="Times New Roman" w:hAnsi="Times New Roman"/>
                <w:b/>
                <w:color w:val="000000"/>
                <w:sz w:val="24"/>
                <w:szCs w:val="24"/>
                <w:lang w:eastAsia="fr-FR"/>
              </w:rPr>
              <w:t>Agriculture</w:t>
            </w:r>
            <w:r w:rsidR="00AB3BBB">
              <w:rPr>
                <w:rFonts w:ascii="Times New Roman" w:eastAsia="Times New Roman" w:hAnsi="Times New Roman"/>
                <w:b/>
                <w:color w:val="000000"/>
                <w:sz w:val="24"/>
                <w:szCs w:val="24"/>
                <w:lang w:eastAsia="fr-FR"/>
              </w:rPr>
              <w:t xml:space="preserve"> et </w:t>
            </w:r>
            <w:r w:rsidR="00AB3BBB" w:rsidRPr="00521974">
              <w:rPr>
                <w:rFonts w:ascii="Times New Roman" w:eastAsia="Times New Roman" w:hAnsi="Times New Roman"/>
                <w:b/>
                <w:color w:val="000000"/>
                <w:sz w:val="24"/>
                <w:szCs w:val="24"/>
                <w:lang w:eastAsia="fr-FR"/>
              </w:rPr>
              <w:t>Agro (%PIB)</w:t>
            </w:r>
          </w:p>
        </w:tc>
        <w:tc>
          <w:tcPr>
            <w:tcW w:w="361" w:type="pct"/>
            <w:tcBorders>
              <w:top w:val="single" w:sz="4" w:space="0" w:color="auto"/>
              <w:bottom w:val="doub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32,5</w:t>
            </w:r>
          </w:p>
        </w:tc>
        <w:tc>
          <w:tcPr>
            <w:tcW w:w="361" w:type="pct"/>
            <w:tcBorders>
              <w:top w:val="single" w:sz="4" w:space="0" w:color="auto"/>
              <w:bottom w:val="doub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31,9</w:t>
            </w:r>
          </w:p>
        </w:tc>
        <w:tc>
          <w:tcPr>
            <w:tcW w:w="361" w:type="pct"/>
            <w:tcBorders>
              <w:top w:val="single" w:sz="4" w:space="0" w:color="auto"/>
              <w:bottom w:val="doub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31,9</w:t>
            </w:r>
          </w:p>
        </w:tc>
        <w:tc>
          <w:tcPr>
            <w:tcW w:w="361" w:type="pct"/>
            <w:tcBorders>
              <w:top w:val="single" w:sz="4" w:space="0" w:color="auto"/>
              <w:bottom w:val="doub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32,7</w:t>
            </w:r>
          </w:p>
        </w:tc>
        <w:tc>
          <w:tcPr>
            <w:tcW w:w="361" w:type="pct"/>
            <w:tcBorders>
              <w:top w:val="single" w:sz="4" w:space="0" w:color="auto"/>
              <w:bottom w:val="doub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33,0</w:t>
            </w:r>
          </w:p>
        </w:tc>
        <w:tc>
          <w:tcPr>
            <w:tcW w:w="366" w:type="pct"/>
            <w:tcBorders>
              <w:top w:val="single" w:sz="4" w:space="0" w:color="auto"/>
              <w:bottom w:val="double" w:sz="4" w:space="0" w:color="auto"/>
            </w:tcBorders>
            <w:shd w:val="clear" w:color="auto" w:fill="DAEEF3" w:themeFill="accent5" w:themeFillTint="33"/>
            <w:noWrap/>
            <w:vAlign w:val="center"/>
            <w:hideMark/>
          </w:tcPr>
          <w:p w:rsidR="00AB3BBB" w:rsidRPr="00521974" w:rsidRDefault="00AB3BBB" w:rsidP="00394FEA">
            <w:pPr>
              <w:spacing w:line="240" w:lineRule="auto"/>
              <w:jc w:val="center"/>
              <w:rPr>
                <w:rFonts w:ascii="Times New Roman" w:eastAsia="Times New Roman" w:hAnsi="Times New Roman"/>
                <w:b/>
                <w:color w:val="000000"/>
                <w:sz w:val="24"/>
                <w:szCs w:val="24"/>
                <w:lang w:eastAsia="fr-FR"/>
              </w:rPr>
            </w:pPr>
            <w:r w:rsidRPr="00521974">
              <w:rPr>
                <w:rFonts w:ascii="Times New Roman" w:eastAsia="Times New Roman" w:hAnsi="Times New Roman"/>
                <w:b/>
                <w:color w:val="000000"/>
                <w:sz w:val="24"/>
                <w:szCs w:val="24"/>
                <w:lang w:eastAsia="fr-FR"/>
              </w:rPr>
              <w:t>32,8</w:t>
            </w:r>
          </w:p>
        </w:tc>
      </w:tr>
      <w:tr w:rsidR="00AB3BBB" w:rsidRPr="00521974" w:rsidTr="00394FEA">
        <w:trPr>
          <w:trHeight w:val="302"/>
        </w:trPr>
        <w:tc>
          <w:tcPr>
            <w:tcW w:w="5000" w:type="pct"/>
            <w:gridSpan w:val="7"/>
            <w:tcBorders>
              <w:top w:val="double" w:sz="4" w:space="0" w:color="auto"/>
              <w:bottom w:val="nil"/>
            </w:tcBorders>
            <w:shd w:val="clear" w:color="auto" w:fill="DAEEF3" w:themeFill="accent5" w:themeFillTint="33"/>
            <w:noWrap/>
            <w:vAlign w:val="bottom"/>
            <w:hideMark/>
          </w:tcPr>
          <w:p w:rsidR="00AB3BBB" w:rsidRPr="000C37E5" w:rsidRDefault="00AB3BBB" w:rsidP="00AB3BBB">
            <w:pPr>
              <w:spacing w:line="240" w:lineRule="auto"/>
              <w:rPr>
                <w:rFonts w:ascii="Times New Roman" w:hAnsi="Times New Roman"/>
                <w:sz w:val="24"/>
                <w:szCs w:val="24"/>
              </w:rPr>
            </w:pPr>
            <w:r w:rsidRPr="00521974">
              <w:rPr>
                <w:rFonts w:ascii="Times New Roman" w:hAnsi="Times New Roman"/>
                <w:sz w:val="24"/>
                <w:szCs w:val="24"/>
              </w:rPr>
              <w:t>Source : INSAE</w:t>
            </w:r>
            <w:r>
              <w:rPr>
                <w:rFonts w:ascii="Times New Roman" w:hAnsi="Times New Roman"/>
                <w:sz w:val="24"/>
                <w:szCs w:val="24"/>
              </w:rPr>
              <w:t>, 2013</w:t>
            </w:r>
          </w:p>
        </w:tc>
      </w:tr>
    </w:tbl>
    <w:p w:rsidR="00AB3BBB" w:rsidRDefault="00AB3BBB" w:rsidP="00AB3BBB">
      <w:pPr>
        <w:spacing w:line="276" w:lineRule="auto"/>
        <w:rPr>
          <w:rFonts w:ascii="Times New Roman" w:hAnsi="Times New Roman"/>
          <w:sz w:val="24"/>
          <w:szCs w:val="24"/>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La deuxième branche importante qui représente plus de 18% de la valeur ajoutée du pôle est l’ « artisanat agroalimentaire ». Il s’agit ici d’une branche qui s’occupe de la transformation artisanale des produits issus de l’agriculture. Il s’agit essentiellement des travaux de grains, les fabrications artisanales d’huiles végétales, les abatages traditionnels, les fabrications de boissons artisanales, les séchages et fumages de poissons, etc.</w:t>
      </w:r>
      <w:r w:rsidR="00E52421">
        <w:rPr>
          <w:rFonts w:ascii="Times New Roman" w:hAnsi="Times New Roman"/>
          <w:sz w:val="24"/>
          <w:szCs w:val="24"/>
        </w:rPr>
        <w:t xml:space="preserve"> </w:t>
      </w:r>
      <w:r w:rsidRPr="00521974">
        <w:rPr>
          <w:rFonts w:ascii="Times New Roman" w:hAnsi="Times New Roman"/>
          <w:sz w:val="24"/>
          <w:szCs w:val="24"/>
        </w:rPr>
        <w:t>Même si l’industrie agroalimentaire ne représente que 6% de ce pôle</w:t>
      </w:r>
      <w:r>
        <w:rPr>
          <w:rFonts w:ascii="Times New Roman" w:hAnsi="Times New Roman"/>
          <w:sz w:val="24"/>
          <w:szCs w:val="24"/>
        </w:rPr>
        <w:t>,</w:t>
      </w:r>
      <w:r w:rsidRPr="00521974">
        <w:rPr>
          <w:rFonts w:ascii="Times New Roman" w:hAnsi="Times New Roman"/>
          <w:sz w:val="24"/>
          <w:szCs w:val="24"/>
        </w:rPr>
        <w:t xml:space="preserve"> il convient de mettre un accent sur le fait que c’est la seule branche entièrement formelle et qu’elle est composée d’industries exerçant dans l’huilerie, la brasserie, le travail de grains, la fabrication de cigarette, de sucre, des produits laitiers.</w:t>
      </w:r>
      <w:r w:rsidR="00E52421">
        <w:rPr>
          <w:rFonts w:ascii="Times New Roman" w:hAnsi="Times New Roman"/>
          <w:sz w:val="24"/>
          <w:szCs w:val="24"/>
        </w:rPr>
        <w:t xml:space="preserve"> </w:t>
      </w:r>
      <w:r w:rsidRPr="00521974">
        <w:rPr>
          <w:rFonts w:ascii="Times New Roman" w:hAnsi="Times New Roman"/>
          <w:sz w:val="24"/>
          <w:szCs w:val="24"/>
        </w:rPr>
        <w:t>La branche « pêche » reste la plus faible en termes de contribution à la valeur ajoutée du pôle. Mais avant la pêche, il y a la branche « autres agricultures destinées à l’exportation et aux industries » qu’il faut rappeler ne contient pas le coton mais plutôt l’ananas, l’anacarde, le karité et autres produits.</w:t>
      </w:r>
    </w:p>
    <w:p w:rsidR="00324B2E" w:rsidRPr="00F55B57"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Sur la période 2006-2011, on constate que la structure de ce pôle est restée quasi identique moyennant quelques petites variations de l’ordre de 0,1%. Cette situation est due à la composition du pôle faite de branches d’offre et de demande. Dans ce contexte étudié</w:t>
      </w:r>
      <w:r>
        <w:rPr>
          <w:rFonts w:ascii="Times New Roman" w:hAnsi="Times New Roman"/>
          <w:sz w:val="24"/>
          <w:szCs w:val="24"/>
        </w:rPr>
        <w:t>,</w:t>
      </w:r>
      <w:r w:rsidRPr="00521974">
        <w:rPr>
          <w:rFonts w:ascii="Times New Roman" w:hAnsi="Times New Roman"/>
          <w:sz w:val="24"/>
          <w:szCs w:val="24"/>
        </w:rPr>
        <w:t xml:space="preserve"> il y a une sorte de rééquilibrage de la structure due au fait qu’une modification des branches d’offre affecte aussi les branches de demande dans le même sens de sorte que la structure reste presque la même sur toute la période. Ce qui apparaît plus pertinent est alors l’analyse de l’évolution de la contribution de ces branches à la croissance. </w:t>
      </w:r>
    </w:p>
    <w:p w:rsidR="00324B2E" w:rsidRPr="00517125" w:rsidRDefault="00324B2E" w:rsidP="00324B2E">
      <w:pPr>
        <w:spacing w:line="276" w:lineRule="auto"/>
        <w:rPr>
          <w:rFonts w:ascii="Times New Roman" w:hAnsi="Times New Roman"/>
          <w:sz w:val="18"/>
          <w:szCs w:val="18"/>
        </w:rPr>
      </w:pPr>
    </w:p>
    <w:p w:rsidR="00324B2E" w:rsidRDefault="00324B2E" w:rsidP="00324B2E">
      <w:pPr>
        <w:spacing w:line="276" w:lineRule="auto"/>
        <w:rPr>
          <w:rFonts w:ascii="Times New Roman" w:hAnsi="Times New Roman"/>
          <w:sz w:val="24"/>
          <w:szCs w:val="24"/>
        </w:rPr>
      </w:pPr>
      <w:r w:rsidRPr="008B229B">
        <w:rPr>
          <w:rFonts w:ascii="Times New Roman" w:hAnsi="Times New Roman"/>
          <w:sz w:val="24"/>
          <w:szCs w:val="24"/>
        </w:rPr>
        <w:t>La contribution de ce pôle à la croissance est toujours tirée par l’agriculture vivrière, mais avec une variation dans le rôle des autres branches.</w:t>
      </w:r>
      <w:r w:rsidRPr="00521974">
        <w:rPr>
          <w:rFonts w:ascii="Times New Roman" w:hAnsi="Times New Roman"/>
          <w:sz w:val="24"/>
          <w:szCs w:val="24"/>
        </w:rPr>
        <w:t xml:space="preserve"> De façon générale, on distingue deux phases dans la performance de ce pôle sur la période</w:t>
      </w:r>
      <w:r w:rsidRPr="003D7CB8">
        <w:rPr>
          <w:rFonts w:ascii="Times New Roman" w:hAnsi="Times New Roman"/>
          <w:sz w:val="24"/>
          <w:szCs w:val="24"/>
        </w:rPr>
        <w:t>. Entre 2006 et 2009, une accélération de la contribution du pôle à la croissance due à l’agriculture à travers les céréales (notamment le maïs) et les tubercules (igname)</w:t>
      </w:r>
      <w:r>
        <w:rPr>
          <w:rFonts w:ascii="Times New Roman" w:hAnsi="Times New Roman"/>
          <w:sz w:val="24"/>
          <w:szCs w:val="24"/>
        </w:rPr>
        <w:t xml:space="preserve"> grâce à une</w:t>
      </w:r>
      <w:r w:rsidRPr="00521974">
        <w:rPr>
          <w:rFonts w:ascii="Times New Roman" w:hAnsi="Times New Roman"/>
          <w:sz w:val="24"/>
          <w:szCs w:val="24"/>
        </w:rPr>
        <w:t xml:space="preserve"> pluviométrie stable et de bonne qualité sur cette </w:t>
      </w:r>
      <w:r w:rsidRPr="003B4D89">
        <w:rPr>
          <w:rFonts w:ascii="Times New Roman" w:hAnsi="Times New Roman"/>
          <w:sz w:val="24"/>
          <w:szCs w:val="24"/>
        </w:rPr>
        <w:t xml:space="preserve">période. Cette situation traduit en amont une croissance soutenue </w:t>
      </w:r>
      <w:r>
        <w:rPr>
          <w:rFonts w:ascii="Times New Roman" w:hAnsi="Times New Roman"/>
          <w:sz w:val="24"/>
          <w:szCs w:val="24"/>
        </w:rPr>
        <w:t>de l’agriculture</w:t>
      </w:r>
      <w:r w:rsidRPr="003B4D89">
        <w:rPr>
          <w:rFonts w:ascii="Times New Roman" w:hAnsi="Times New Roman"/>
          <w:sz w:val="24"/>
          <w:szCs w:val="24"/>
        </w:rPr>
        <w:t xml:space="preserve"> qui passe de 3,8% en 2006 à 4,9% en 2008 puis à 5,1% en 2009</w:t>
      </w:r>
      <w:r w:rsidRPr="00521974">
        <w:rPr>
          <w:rFonts w:ascii="Times New Roman" w:hAnsi="Times New Roman"/>
          <w:sz w:val="24"/>
          <w:szCs w:val="24"/>
        </w:rPr>
        <w:t xml:space="preserve">. La deuxième phase qui débute en 2009 montre une baisse de cette performance. Elle est relative à la </w:t>
      </w:r>
      <w:r w:rsidR="00C66B5E">
        <w:rPr>
          <w:rFonts w:ascii="Times New Roman" w:hAnsi="Times New Roman"/>
          <w:sz w:val="24"/>
          <w:szCs w:val="24"/>
        </w:rPr>
        <w:t>forte</w:t>
      </w:r>
      <w:r w:rsidR="00C66B5E" w:rsidRPr="00521974">
        <w:rPr>
          <w:rFonts w:ascii="Times New Roman" w:hAnsi="Times New Roman"/>
          <w:sz w:val="24"/>
          <w:szCs w:val="24"/>
        </w:rPr>
        <w:t xml:space="preserve"> </w:t>
      </w:r>
      <w:r w:rsidRPr="00521974">
        <w:rPr>
          <w:rFonts w:ascii="Times New Roman" w:hAnsi="Times New Roman"/>
          <w:sz w:val="24"/>
          <w:szCs w:val="24"/>
        </w:rPr>
        <w:t>pluviométrie de 2010 qui s’est manifestée par des inondations suivies de pertes d’emblavures et de rendement. La croissance globale de l’économie est affectée</w:t>
      </w:r>
      <w:r w:rsidR="00E52421">
        <w:rPr>
          <w:rFonts w:ascii="Times New Roman" w:hAnsi="Times New Roman"/>
          <w:sz w:val="24"/>
          <w:szCs w:val="24"/>
        </w:rPr>
        <w:t xml:space="preserve">, </w:t>
      </w:r>
      <w:r w:rsidRPr="00521974">
        <w:rPr>
          <w:rFonts w:ascii="Times New Roman" w:hAnsi="Times New Roman"/>
          <w:sz w:val="24"/>
          <w:szCs w:val="24"/>
        </w:rPr>
        <w:t>passant de 2,7</w:t>
      </w:r>
      <w:r>
        <w:rPr>
          <w:rFonts w:ascii="Times New Roman" w:hAnsi="Times New Roman"/>
          <w:sz w:val="24"/>
          <w:szCs w:val="24"/>
        </w:rPr>
        <w:t>%</w:t>
      </w:r>
      <w:r w:rsidRPr="00521974">
        <w:rPr>
          <w:rFonts w:ascii="Times New Roman" w:hAnsi="Times New Roman"/>
          <w:sz w:val="24"/>
          <w:szCs w:val="24"/>
        </w:rPr>
        <w:t xml:space="preserve"> en 2009 à 2,6</w:t>
      </w:r>
      <w:r>
        <w:rPr>
          <w:rFonts w:ascii="Times New Roman" w:hAnsi="Times New Roman"/>
          <w:sz w:val="24"/>
          <w:szCs w:val="24"/>
        </w:rPr>
        <w:t>%</w:t>
      </w:r>
      <w:r w:rsidRPr="00521974">
        <w:rPr>
          <w:rFonts w:ascii="Times New Roman" w:hAnsi="Times New Roman"/>
          <w:sz w:val="24"/>
          <w:szCs w:val="24"/>
        </w:rPr>
        <w:t xml:space="preserve"> en 2010 </w:t>
      </w:r>
      <w:r>
        <w:rPr>
          <w:rFonts w:ascii="Times New Roman" w:hAnsi="Times New Roman"/>
          <w:sz w:val="24"/>
          <w:szCs w:val="24"/>
        </w:rPr>
        <w:t xml:space="preserve">contrairement aux attentes au lendemain d’une </w:t>
      </w:r>
      <w:r w:rsidRPr="00521974">
        <w:rPr>
          <w:rFonts w:ascii="Times New Roman" w:hAnsi="Times New Roman"/>
          <w:sz w:val="24"/>
          <w:szCs w:val="24"/>
        </w:rPr>
        <w:t>crise mondiale.</w:t>
      </w:r>
    </w:p>
    <w:p w:rsidR="00303B0E" w:rsidRPr="00521974" w:rsidRDefault="00303B0E" w:rsidP="00324B2E">
      <w:pPr>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3"/>
      </w:tblGrid>
      <w:tr w:rsidR="001628E7" w:rsidTr="001628E7">
        <w:trPr>
          <w:trHeight w:val="427"/>
        </w:trPr>
        <w:tc>
          <w:tcPr>
            <w:tcW w:w="4556" w:type="dxa"/>
            <w:shd w:val="clear" w:color="auto" w:fill="92CDDC" w:themeFill="accent5" w:themeFillTint="99"/>
          </w:tcPr>
          <w:p w:rsidR="001628E7" w:rsidRPr="001628E7" w:rsidRDefault="001628E7" w:rsidP="001628E7">
            <w:pPr>
              <w:spacing w:line="240" w:lineRule="auto"/>
              <w:ind w:left="-57"/>
              <w:jc w:val="left"/>
              <w:rPr>
                <w:rFonts w:ascii="Times New Roman" w:hAnsi="Times New Roman"/>
                <w:noProof/>
                <w:sz w:val="24"/>
                <w:szCs w:val="24"/>
                <w:lang w:eastAsia="fr-FR"/>
              </w:rPr>
            </w:pPr>
            <w:bookmarkStart w:id="74" w:name="_Toc382043044"/>
            <w:r w:rsidRPr="001628E7">
              <w:rPr>
                <w:rFonts w:ascii="Times New Roman" w:hAnsi="Times New Roman"/>
                <w:sz w:val="24"/>
                <w:szCs w:val="24"/>
              </w:rPr>
              <w:t>Graphique 2.</w:t>
            </w:r>
            <w:r w:rsidR="00182C97" w:rsidRPr="001628E7">
              <w:rPr>
                <w:rFonts w:ascii="Times New Roman" w:hAnsi="Times New Roman"/>
                <w:sz w:val="24"/>
                <w:szCs w:val="24"/>
              </w:rPr>
              <w:fldChar w:fldCharType="begin"/>
            </w:r>
            <w:r w:rsidRPr="001628E7">
              <w:rPr>
                <w:rFonts w:ascii="Times New Roman" w:hAnsi="Times New Roman"/>
                <w:sz w:val="24"/>
                <w:szCs w:val="24"/>
              </w:rPr>
              <w:instrText xml:space="preserve"> SEQ Graphique_3. \* ARABIC </w:instrText>
            </w:r>
            <w:r w:rsidR="00182C97" w:rsidRPr="001628E7">
              <w:rPr>
                <w:rFonts w:ascii="Times New Roman" w:hAnsi="Times New Roman"/>
                <w:sz w:val="24"/>
                <w:szCs w:val="24"/>
              </w:rPr>
              <w:fldChar w:fldCharType="separate"/>
            </w:r>
            <w:r w:rsidR="00AB1967">
              <w:rPr>
                <w:rFonts w:ascii="Times New Roman" w:hAnsi="Times New Roman"/>
                <w:noProof/>
                <w:sz w:val="24"/>
                <w:szCs w:val="24"/>
              </w:rPr>
              <w:t>2</w:t>
            </w:r>
            <w:r w:rsidR="00182C97" w:rsidRPr="001628E7">
              <w:rPr>
                <w:rFonts w:ascii="Times New Roman" w:hAnsi="Times New Roman"/>
                <w:sz w:val="24"/>
                <w:szCs w:val="24"/>
              </w:rPr>
              <w:fldChar w:fldCharType="end"/>
            </w:r>
            <w:r w:rsidRPr="001628E7">
              <w:rPr>
                <w:rFonts w:ascii="Times New Roman" w:hAnsi="Times New Roman"/>
                <w:sz w:val="24"/>
                <w:szCs w:val="24"/>
              </w:rPr>
              <w:t>: Évolution de la contribution du pôle agroalimentaire à la croissance depuis 2006</w:t>
            </w:r>
            <w:bookmarkEnd w:id="74"/>
          </w:p>
        </w:tc>
      </w:tr>
      <w:tr w:rsidR="00AB3BBB" w:rsidTr="001628E7">
        <w:tc>
          <w:tcPr>
            <w:tcW w:w="4556" w:type="dxa"/>
            <w:shd w:val="clear" w:color="auto" w:fill="DAEEF3" w:themeFill="accent5" w:themeFillTint="33"/>
          </w:tcPr>
          <w:p w:rsidR="00AB3BBB" w:rsidRDefault="00AB3BBB" w:rsidP="00394FEA">
            <w:pPr>
              <w:spacing w:before="120" w:after="120" w:line="240" w:lineRule="auto"/>
              <w:ind w:left="-57"/>
              <w:jc w:val="center"/>
            </w:pPr>
            <w:r w:rsidRPr="002F055A">
              <w:rPr>
                <w:noProof/>
                <w:lang w:eastAsia="fr-FR"/>
              </w:rPr>
              <w:drawing>
                <wp:inline distT="0" distB="0" distL="0" distR="0" wp14:anchorId="61FFA58B" wp14:editId="277EA70E">
                  <wp:extent cx="5705223" cy="2474716"/>
                  <wp:effectExtent l="12191" t="4959" r="6476" b="0"/>
                  <wp:docPr id="43"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AB3BBB" w:rsidRPr="00E16B3C" w:rsidTr="001628E7">
        <w:tc>
          <w:tcPr>
            <w:tcW w:w="4556" w:type="dxa"/>
            <w:shd w:val="clear" w:color="auto" w:fill="DAEEF3" w:themeFill="accent5" w:themeFillTint="33"/>
          </w:tcPr>
          <w:p w:rsidR="00AB3BBB" w:rsidRPr="00E16B3C" w:rsidRDefault="00AB3BBB" w:rsidP="00394FE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2013</w:t>
            </w:r>
          </w:p>
        </w:tc>
      </w:tr>
    </w:tbl>
    <w:p w:rsidR="00AB3BBB" w:rsidRPr="002F055A" w:rsidRDefault="00AB3BBB" w:rsidP="00AB3BBB"/>
    <w:p w:rsidR="00324B2E" w:rsidRDefault="00324B2E" w:rsidP="00AA7FDE">
      <w:pPr>
        <w:autoSpaceDE w:val="0"/>
        <w:autoSpaceDN w:val="0"/>
        <w:adjustRightInd w:val="0"/>
        <w:spacing w:line="276" w:lineRule="auto"/>
        <w:rPr>
          <w:rFonts w:ascii="Times New Roman" w:hAnsi="Times New Roman"/>
          <w:sz w:val="24"/>
          <w:szCs w:val="24"/>
        </w:rPr>
      </w:pPr>
      <w:r>
        <w:rPr>
          <w:rFonts w:ascii="Times New Roman" w:hAnsi="Times New Roman"/>
          <w:b/>
          <w:sz w:val="24"/>
          <w:szCs w:val="24"/>
        </w:rPr>
        <w:t xml:space="preserve">Le pôle </w:t>
      </w:r>
      <w:r w:rsidR="00576730">
        <w:rPr>
          <w:rFonts w:ascii="Times New Roman" w:hAnsi="Times New Roman"/>
          <w:b/>
          <w:sz w:val="24"/>
          <w:szCs w:val="24"/>
        </w:rPr>
        <w:t>« a</w:t>
      </w:r>
      <w:r w:rsidR="00576730" w:rsidRPr="00521974">
        <w:rPr>
          <w:rFonts w:ascii="Times New Roman" w:hAnsi="Times New Roman"/>
          <w:b/>
          <w:sz w:val="24"/>
          <w:szCs w:val="24"/>
        </w:rPr>
        <w:t xml:space="preserve">groalimentaire </w:t>
      </w:r>
      <w:r w:rsidRPr="005D60BC">
        <w:rPr>
          <w:rFonts w:ascii="Times New Roman" w:hAnsi="Times New Roman"/>
          <w:b/>
          <w:sz w:val="24"/>
          <w:szCs w:val="24"/>
        </w:rPr>
        <w:t>et agriculture</w:t>
      </w:r>
      <w:r w:rsidR="00576730">
        <w:rPr>
          <w:rFonts w:ascii="Times New Roman" w:hAnsi="Times New Roman"/>
          <w:b/>
          <w:sz w:val="24"/>
          <w:szCs w:val="24"/>
        </w:rPr>
        <w:t> »</w:t>
      </w:r>
      <w:r w:rsidR="00E52421">
        <w:rPr>
          <w:rFonts w:ascii="Times New Roman" w:hAnsi="Times New Roman"/>
          <w:b/>
          <w:sz w:val="24"/>
          <w:szCs w:val="24"/>
        </w:rPr>
        <w:t xml:space="preserve"> </w:t>
      </w:r>
      <w:r w:rsidR="00AA3A3D">
        <w:rPr>
          <w:rFonts w:ascii="Times New Roman" w:hAnsi="Times New Roman"/>
          <w:b/>
          <w:sz w:val="24"/>
          <w:szCs w:val="24"/>
        </w:rPr>
        <w:t>occupe environ 50</w:t>
      </w:r>
      <w:r w:rsidRPr="005D60BC">
        <w:rPr>
          <w:rFonts w:ascii="Times New Roman" w:hAnsi="Times New Roman"/>
          <w:b/>
          <w:sz w:val="24"/>
          <w:szCs w:val="24"/>
        </w:rPr>
        <w:t xml:space="preserve">% de la population </w:t>
      </w:r>
      <w:r w:rsidR="00C32135">
        <w:rPr>
          <w:rFonts w:ascii="Times New Roman" w:hAnsi="Times New Roman"/>
          <w:b/>
          <w:sz w:val="24"/>
          <w:szCs w:val="24"/>
        </w:rPr>
        <w:t xml:space="preserve">totale </w:t>
      </w:r>
      <w:r w:rsidRPr="005D60BC">
        <w:rPr>
          <w:rFonts w:ascii="Times New Roman" w:hAnsi="Times New Roman"/>
          <w:b/>
          <w:sz w:val="24"/>
          <w:szCs w:val="24"/>
        </w:rPr>
        <w:t xml:space="preserve">et </w:t>
      </w:r>
      <w:r w:rsidR="00C32135">
        <w:rPr>
          <w:rFonts w:ascii="Times New Roman" w:hAnsi="Times New Roman"/>
          <w:b/>
          <w:sz w:val="24"/>
          <w:szCs w:val="24"/>
        </w:rPr>
        <w:t>les individus</w:t>
      </w:r>
      <w:r w:rsidR="00E52421">
        <w:rPr>
          <w:rFonts w:ascii="Times New Roman" w:hAnsi="Times New Roman"/>
          <w:b/>
          <w:sz w:val="24"/>
          <w:szCs w:val="24"/>
        </w:rPr>
        <w:t xml:space="preserve"> </w:t>
      </w:r>
      <w:r w:rsidR="00C32135">
        <w:rPr>
          <w:rFonts w:ascii="Times New Roman" w:hAnsi="Times New Roman"/>
          <w:b/>
          <w:sz w:val="24"/>
          <w:szCs w:val="24"/>
        </w:rPr>
        <w:t xml:space="preserve">qui y </w:t>
      </w:r>
      <w:r w:rsidR="00CB2264">
        <w:rPr>
          <w:rFonts w:ascii="Times New Roman" w:hAnsi="Times New Roman"/>
          <w:b/>
          <w:sz w:val="24"/>
          <w:szCs w:val="24"/>
        </w:rPr>
        <w:t>exercent</w:t>
      </w:r>
      <w:r w:rsidR="00E52421">
        <w:rPr>
          <w:rFonts w:ascii="Times New Roman" w:hAnsi="Times New Roman"/>
          <w:b/>
          <w:sz w:val="24"/>
          <w:szCs w:val="24"/>
        </w:rPr>
        <w:t xml:space="preserve"> </w:t>
      </w:r>
      <w:r w:rsidRPr="005D60BC">
        <w:rPr>
          <w:rFonts w:ascii="Times New Roman" w:hAnsi="Times New Roman"/>
          <w:b/>
          <w:sz w:val="24"/>
          <w:szCs w:val="24"/>
        </w:rPr>
        <w:t>contribue</w:t>
      </w:r>
      <w:r w:rsidR="00C32135">
        <w:rPr>
          <w:rFonts w:ascii="Times New Roman" w:hAnsi="Times New Roman"/>
          <w:b/>
          <w:sz w:val="24"/>
          <w:szCs w:val="24"/>
        </w:rPr>
        <w:t>nt</w:t>
      </w:r>
      <w:r w:rsidR="00E52421">
        <w:rPr>
          <w:rFonts w:ascii="Times New Roman" w:hAnsi="Times New Roman"/>
          <w:b/>
          <w:sz w:val="24"/>
          <w:szCs w:val="24"/>
        </w:rPr>
        <w:t xml:space="preserve"> </w:t>
      </w:r>
      <w:r>
        <w:rPr>
          <w:rFonts w:ascii="Times New Roman" w:hAnsi="Times New Roman"/>
          <w:b/>
          <w:sz w:val="24"/>
          <w:szCs w:val="24"/>
        </w:rPr>
        <w:t xml:space="preserve">à plus de </w:t>
      </w:r>
      <w:r w:rsidR="008909CD">
        <w:rPr>
          <w:rFonts w:ascii="Times New Roman" w:hAnsi="Times New Roman"/>
          <w:b/>
          <w:sz w:val="24"/>
          <w:szCs w:val="24"/>
        </w:rPr>
        <w:t>50</w:t>
      </w:r>
      <w:r>
        <w:rPr>
          <w:rFonts w:ascii="Times New Roman" w:hAnsi="Times New Roman"/>
          <w:b/>
          <w:sz w:val="24"/>
          <w:szCs w:val="24"/>
        </w:rPr>
        <w:t>%</w:t>
      </w:r>
      <w:r w:rsidRPr="005D60BC">
        <w:rPr>
          <w:rFonts w:ascii="Times New Roman" w:hAnsi="Times New Roman"/>
          <w:b/>
          <w:sz w:val="24"/>
          <w:szCs w:val="24"/>
        </w:rPr>
        <w:t xml:space="preserve"> à la pauvreté nationale (</w:t>
      </w:r>
      <w:r w:rsidR="00AA3A3D">
        <w:rPr>
          <w:rFonts w:ascii="Times New Roman" w:hAnsi="Times New Roman"/>
          <w:b/>
          <w:sz w:val="24"/>
          <w:szCs w:val="24"/>
        </w:rPr>
        <w:t>60</w:t>
      </w:r>
      <w:r w:rsidR="00AA3A3D" w:rsidRPr="005D60BC">
        <w:rPr>
          <w:rFonts w:ascii="Times New Roman" w:hAnsi="Times New Roman"/>
          <w:b/>
          <w:sz w:val="24"/>
          <w:szCs w:val="24"/>
        </w:rPr>
        <w:t>,</w:t>
      </w:r>
      <w:r w:rsidR="00AA3A3D">
        <w:rPr>
          <w:rFonts w:ascii="Times New Roman" w:hAnsi="Times New Roman"/>
          <w:b/>
          <w:sz w:val="24"/>
          <w:szCs w:val="24"/>
        </w:rPr>
        <w:t>75</w:t>
      </w:r>
      <w:r w:rsidR="00AA3A3D" w:rsidRPr="005D60BC">
        <w:rPr>
          <w:rFonts w:ascii="Times New Roman" w:hAnsi="Times New Roman"/>
          <w:b/>
          <w:sz w:val="24"/>
          <w:szCs w:val="24"/>
        </w:rPr>
        <w:t>% en 20</w:t>
      </w:r>
      <w:r w:rsidR="00AA3A3D">
        <w:rPr>
          <w:rFonts w:ascii="Times New Roman" w:hAnsi="Times New Roman"/>
          <w:b/>
          <w:sz w:val="24"/>
          <w:szCs w:val="24"/>
        </w:rPr>
        <w:t>11 contre 59,70 en 2006</w:t>
      </w:r>
      <w:r w:rsidRPr="005D60BC">
        <w:rPr>
          <w:rFonts w:ascii="Times New Roman" w:hAnsi="Times New Roman"/>
          <w:b/>
          <w:sz w:val="24"/>
          <w:szCs w:val="24"/>
        </w:rPr>
        <w:t>).</w:t>
      </w:r>
      <w:r w:rsidR="008909CD">
        <w:rPr>
          <w:rFonts w:ascii="Times New Roman" w:hAnsi="Times New Roman"/>
          <w:b/>
          <w:sz w:val="24"/>
          <w:szCs w:val="24"/>
        </w:rPr>
        <w:t xml:space="preserve"> </w:t>
      </w:r>
      <w:r w:rsidRPr="00C87813">
        <w:rPr>
          <w:rFonts w:ascii="Times New Roman" w:hAnsi="Times New Roman"/>
          <w:sz w:val="24"/>
          <w:szCs w:val="24"/>
        </w:rPr>
        <w:t xml:space="preserve">Cette tendance est largement tirée par les activités agricoles notamment l’agriculture vivrière qui occupe à elle seule 50% de la population avec une contribution à la pauvreté nationale de </w:t>
      </w:r>
      <w:r w:rsidR="00515978">
        <w:rPr>
          <w:rFonts w:ascii="Times New Roman" w:hAnsi="Times New Roman"/>
          <w:sz w:val="24"/>
          <w:szCs w:val="24"/>
        </w:rPr>
        <w:t>58,32</w:t>
      </w:r>
      <w:r w:rsidRPr="00C87813">
        <w:rPr>
          <w:rFonts w:ascii="Times New Roman" w:hAnsi="Times New Roman"/>
          <w:sz w:val="24"/>
          <w:szCs w:val="24"/>
        </w:rPr>
        <w:t>% en 20</w:t>
      </w:r>
      <w:r w:rsidR="00F826F0">
        <w:rPr>
          <w:rFonts w:ascii="Times New Roman" w:hAnsi="Times New Roman"/>
          <w:sz w:val="24"/>
          <w:szCs w:val="24"/>
        </w:rPr>
        <w:t>11</w:t>
      </w:r>
      <w:r w:rsidRPr="00C87813">
        <w:rPr>
          <w:rFonts w:ascii="Times New Roman" w:hAnsi="Times New Roman"/>
          <w:sz w:val="24"/>
          <w:szCs w:val="24"/>
        </w:rPr>
        <w:t xml:space="preserve"> contre </w:t>
      </w:r>
      <w:r w:rsidR="00515978">
        <w:rPr>
          <w:rFonts w:ascii="Times New Roman" w:hAnsi="Times New Roman"/>
          <w:sz w:val="24"/>
          <w:szCs w:val="24"/>
        </w:rPr>
        <w:t>59,47</w:t>
      </w:r>
      <w:r w:rsidRPr="00C87813">
        <w:rPr>
          <w:rFonts w:ascii="Times New Roman" w:hAnsi="Times New Roman"/>
          <w:sz w:val="24"/>
          <w:szCs w:val="24"/>
        </w:rPr>
        <w:t>% en 2006</w:t>
      </w:r>
      <w:r w:rsidRPr="008F603A">
        <w:rPr>
          <w:rFonts w:ascii="Times New Roman" w:hAnsi="Times New Roman"/>
          <w:sz w:val="24"/>
          <w:szCs w:val="24"/>
        </w:rPr>
        <w:t>. Sur cette période, la corrélation entre le taux de croissance sectoriel et le</w:t>
      </w:r>
      <w:r>
        <w:rPr>
          <w:rFonts w:ascii="Times New Roman" w:hAnsi="Times New Roman"/>
          <w:sz w:val="24"/>
          <w:szCs w:val="24"/>
        </w:rPr>
        <w:t xml:space="preserve"> taux de pauvreté s’est avérée négative, ce qui laisse croire que cet épisode de croissance soutenue n’a pas été profitable aux pauvres. </w:t>
      </w:r>
      <w:r w:rsidR="001064B7" w:rsidRPr="001064B7">
        <w:rPr>
          <w:rFonts w:ascii="Times New Roman" w:hAnsi="Times New Roman"/>
          <w:sz w:val="24"/>
          <w:szCs w:val="24"/>
        </w:rPr>
        <w:t xml:space="preserve">Ces résultats montrent que l’agriculture (en particulier l’agriculture vivrière), qui reste de loin le secteur qui regorge plus de pauvres ne parvient pas encore à réaliser le taux de croissance requis en vue de réaliser les </w:t>
      </w:r>
      <w:r w:rsidR="00576730">
        <w:rPr>
          <w:rFonts w:ascii="Times New Roman" w:hAnsi="Times New Roman"/>
          <w:sz w:val="24"/>
          <w:szCs w:val="24"/>
        </w:rPr>
        <w:t>O</w:t>
      </w:r>
      <w:r w:rsidR="00576730" w:rsidRPr="001064B7">
        <w:rPr>
          <w:rFonts w:ascii="Times New Roman" w:hAnsi="Times New Roman"/>
          <w:sz w:val="24"/>
          <w:szCs w:val="24"/>
        </w:rPr>
        <w:t xml:space="preserve">bjectifs </w:t>
      </w:r>
      <w:r w:rsidR="001064B7" w:rsidRPr="001064B7">
        <w:rPr>
          <w:rFonts w:ascii="Times New Roman" w:hAnsi="Times New Roman"/>
          <w:sz w:val="24"/>
          <w:szCs w:val="24"/>
        </w:rPr>
        <w:t>du Millénaire pour le Développement.</w:t>
      </w:r>
      <w:r w:rsidR="008909CD">
        <w:rPr>
          <w:rFonts w:ascii="Times New Roman" w:hAnsi="Times New Roman"/>
          <w:sz w:val="24"/>
          <w:szCs w:val="24"/>
        </w:rPr>
        <w:t xml:space="preserve"> </w:t>
      </w:r>
      <w:r w:rsidR="001064B7" w:rsidRPr="001064B7">
        <w:rPr>
          <w:rFonts w:ascii="Times New Roman" w:hAnsi="Times New Roman"/>
          <w:sz w:val="24"/>
          <w:szCs w:val="24"/>
        </w:rPr>
        <w:t xml:space="preserve">Cette situation appelle à la mise en œuvre des stratégies adéquates en vue de renverser cette tendance. </w:t>
      </w:r>
    </w:p>
    <w:p w:rsidR="004D6E98" w:rsidRDefault="004D6E98" w:rsidP="00AA7FDE">
      <w:pPr>
        <w:autoSpaceDE w:val="0"/>
        <w:autoSpaceDN w:val="0"/>
        <w:adjustRightInd w:val="0"/>
        <w:spacing w:line="276" w:lineRule="auto"/>
        <w:rPr>
          <w:rFonts w:ascii="Times New Roman" w:hAnsi="Times New Roman"/>
          <w:sz w:val="24"/>
          <w:szCs w:val="24"/>
        </w:rPr>
      </w:pPr>
    </w:p>
    <w:p w:rsidR="004D6E98" w:rsidRDefault="004D6E98" w:rsidP="00AA7FDE">
      <w:pPr>
        <w:autoSpaceDE w:val="0"/>
        <w:autoSpaceDN w:val="0"/>
        <w:adjustRightInd w:val="0"/>
        <w:spacing w:line="276" w:lineRule="auto"/>
        <w:rPr>
          <w:rFonts w:ascii="Times New Roman" w:hAnsi="Times New Roman"/>
          <w:sz w:val="24"/>
          <w:szCs w:val="24"/>
        </w:rPr>
      </w:pPr>
    </w:p>
    <w:p w:rsidR="004D6E98" w:rsidRDefault="004D6E98" w:rsidP="00AA7FDE">
      <w:pPr>
        <w:autoSpaceDE w:val="0"/>
        <w:autoSpaceDN w:val="0"/>
        <w:adjustRightInd w:val="0"/>
        <w:spacing w:line="276" w:lineRule="auto"/>
        <w:rPr>
          <w:rFonts w:ascii="Times New Roman" w:hAnsi="Times New Roman"/>
          <w:sz w:val="24"/>
          <w:szCs w:val="24"/>
        </w:rPr>
      </w:pPr>
    </w:p>
    <w:p w:rsidR="004D6E98" w:rsidRPr="009E2EEF" w:rsidRDefault="004D6E98" w:rsidP="00AA7FDE">
      <w:pPr>
        <w:autoSpaceDE w:val="0"/>
        <w:autoSpaceDN w:val="0"/>
        <w:adjustRightInd w:val="0"/>
        <w:spacing w:line="276" w:lineRule="auto"/>
        <w:rPr>
          <w:rFonts w:ascii="Times New Roman" w:hAnsi="Times New Roman"/>
          <w:sz w:val="24"/>
          <w:szCs w:val="24"/>
        </w:rPr>
      </w:pPr>
    </w:p>
    <w:p w:rsidR="00324B2E" w:rsidRDefault="00324B2E" w:rsidP="00324B2E">
      <w:pPr>
        <w:rPr>
          <w:rFonts w:ascii="Times New Roman" w:hAnsi="Times New Roman"/>
          <w:sz w:val="24"/>
          <w:szCs w:val="24"/>
          <w:highlight w:val="yellow"/>
        </w:rPr>
      </w:pPr>
    </w:p>
    <w:p w:rsidR="00E701C1" w:rsidRDefault="00E701C1" w:rsidP="00E701C1">
      <w:pPr>
        <w:spacing w:line="276" w:lineRule="auto"/>
        <w:rPr>
          <w:rFonts w:ascii="Times New Roman" w:hAnsi="Times New Roman"/>
          <w:sz w:val="24"/>
          <w:szCs w:val="24"/>
          <w:highlight w:val="yellow"/>
        </w:rPr>
        <w:sectPr w:rsidR="00E701C1" w:rsidSect="001B4547">
          <w:headerReference w:type="default" r:id="rId54"/>
          <w:pgSz w:w="11906" w:h="16838"/>
          <w:pgMar w:top="1081" w:right="1417" w:bottom="1417" w:left="1417" w:header="284" w:footer="708" w:gutter="0"/>
          <w:cols w:space="708"/>
          <w:docGrid w:linePitch="360"/>
        </w:sectPr>
      </w:pPr>
    </w:p>
    <w:p w:rsidR="001D17D7" w:rsidRPr="001D17D7" w:rsidRDefault="001D17D7" w:rsidP="00324B2E">
      <w:pPr>
        <w:tabs>
          <w:tab w:val="left" w:pos="3544"/>
          <w:tab w:val="left" w:pos="5387"/>
          <w:tab w:val="left" w:pos="6747"/>
          <w:tab w:val="left" w:pos="8080"/>
        </w:tabs>
        <w:spacing w:line="240" w:lineRule="auto"/>
        <w:jc w:val="left"/>
        <w:rPr>
          <w:rFonts w:ascii="Times New Roman" w:eastAsia="Times New Roman" w:hAnsi="Times New Roman"/>
          <w:color w:val="000000"/>
          <w:sz w:val="18"/>
          <w:szCs w:val="18"/>
          <w:lang w:eastAsia="fr-FR"/>
        </w:rPr>
      </w:pPr>
    </w:p>
    <w:tbl>
      <w:tblPr>
        <w:tblW w:w="15363" w:type="dxa"/>
        <w:jc w:val="center"/>
        <w:tblCellMar>
          <w:left w:w="70" w:type="dxa"/>
          <w:right w:w="70" w:type="dxa"/>
        </w:tblCellMar>
        <w:tblLook w:val="04A0" w:firstRow="1" w:lastRow="0" w:firstColumn="1" w:lastColumn="0" w:noHBand="0" w:noVBand="1"/>
      </w:tblPr>
      <w:tblGrid>
        <w:gridCol w:w="2243"/>
        <w:gridCol w:w="1091"/>
        <w:gridCol w:w="1060"/>
        <w:gridCol w:w="1091"/>
        <w:gridCol w:w="1060"/>
        <w:gridCol w:w="1091"/>
        <w:gridCol w:w="1060"/>
        <w:gridCol w:w="620"/>
        <w:gridCol w:w="620"/>
        <w:gridCol w:w="620"/>
        <w:gridCol w:w="620"/>
        <w:gridCol w:w="620"/>
        <w:gridCol w:w="620"/>
        <w:gridCol w:w="620"/>
        <w:gridCol w:w="620"/>
        <w:gridCol w:w="620"/>
        <w:gridCol w:w="1087"/>
      </w:tblGrid>
      <w:tr w:rsidR="00695900" w:rsidRPr="0017324D" w:rsidTr="00F55B57">
        <w:trPr>
          <w:trHeight w:val="498"/>
          <w:jc w:val="center"/>
        </w:trPr>
        <w:tc>
          <w:tcPr>
            <w:tcW w:w="15363" w:type="dxa"/>
            <w:gridSpan w:val="17"/>
            <w:tcBorders>
              <w:bottom w:val="double" w:sz="4" w:space="0" w:color="auto"/>
            </w:tcBorders>
            <w:shd w:val="clear" w:color="auto" w:fill="92CDDC" w:themeFill="accent5" w:themeFillTint="99"/>
            <w:noWrap/>
            <w:vAlign w:val="bottom"/>
            <w:hideMark/>
          </w:tcPr>
          <w:p w:rsidR="00695900" w:rsidRPr="0017324D" w:rsidRDefault="0017324D" w:rsidP="00695900">
            <w:pPr>
              <w:tabs>
                <w:tab w:val="left" w:pos="3544"/>
                <w:tab w:val="left" w:pos="5387"/>
                <w:tab w:val="left" w:pos="6747"/>
                <w:tab w:val="left" w:pos="8080"/>
              </w:tabs>
              <w:spacing w:line="240" w:lineRule="auto"/>
              <w:jc w:val="left"/>
              <w:rPr>
                <w:rFonts w:ascii="Times New Roman" w:eastAsia="Times New Roman" w:hAnsi="Times New Roman"/>
                <w:color w:val="000000"/>
                <w:sz w:val="24"/>
                <w:szCs w:val="24"/>
                <w:lang w:eastAsia="fr-FR"/>
              </w:rPr>
            </w:pPr>
            <w:bookmarkStart w:id="75" w:name="_Toc369714586"/>
            <w:bookmarkStart w:id="76" w:name="_Toc373430370"/>
            <w:r w:rsidRPr="0017324D">
              <w:rPr>
                <w:rFonts w:ascii="Times New Roman" w:hAnsi="Times New Roman"/>
                <w:sz w:val="24"/>
                <w:szCs w:val="24"/>
              </w:rPr>
              <w:t xml:space="preserve">Tableau 2. </w:t>
            </w:r>
            <w:r w:rsidR="00182C97" w:rsidRPr="0017324D">
              <w:rPr>
                <w:rFonts w:ascii="Times New Roman" w:hAnsi="Times New Roman"/>
                <w:sz w:val="24"/>
                <w:szCs w:val="24"/>
              </w:rPr>
              <w:fldChar w:fldCharType="begin"/>
            </w:r>
            <w:r w:rsidRPr="0017324D">
              <w:rPr>
                <w:rFonts w:ascii="Times New Roman" w:hAnsi="Times New Roman"/>
                <w:sz w:val="24"/>
                <w:szCs w:val="24"/>
              </w:rPr>
              <w:instrText xml:space="preserve"> SEQ Tableau_2. \* ARABIC </w:instrText>
            </w:r>
            <w:r w:rsidR="00182C97" w:rsidRPr="0017324D">
              <w:rPr>
                <w:rFonts w:ascii="Times New Roman" w:hAnsi="Times New Roman"/>
                <w:sz w:val="24"/>
                <w:szCs w:val="24"/>
              </w:rPr>
              <w:fldChar w:fldCharType="separate"/>
            </w:r>
            <w:r w:rsidR="00AB1967">
              <w:rPr>
                <w:rFonts w:ascii="Times New Roman" w:hAnsi="Times New Roman"/>
                <w:noProof/>
                <w:sz w:val="24"/>
                <w:szCs w:val="24"/>
              </w:rPr>
              <w:t>4</w:t>
            </w:r>
            <w:r w:rsidR="00182C97" w:rsidRPr="0017324D">
              <w:rPr>
                <w:rFonts w:ascii="Times New Roman" w:hAnsi="Times New Roman"/>
                <w:sz w:val="24"/>
                <w:szCs w:val="24"/>
              </w:rPr>
              <w:fldChar w:fldCharType="end"/>
            </w:r>
            <w:r w:rsidR="00695900" w:rsidRPr="0017324D">
              <w:rPr>
                <w:rFonts w:ascii="Times New Roman" w:hAnsi="Times New Roman"/>
                <w:sz w:val="24"/>
                <w:szCs w:val="24"/>
              </w:rPr>
              <w:t>: Contribution relative des secteurs d’activité à la pauvreté globale, incidence de pauvreté et  taux de  croissance sectoriels</w:t>
            </w:r>
            <w:bookmarkEnd w:id="75"/>
            <w:bookmarkEnd w:id="76"/>
          </w:p>
        </w:tc>
      </w:tr>
      <w:tr w:rsidR="001D17D7" w:rsidRPr="001D17D7" w:rsidTr="00F55B57">
        <w:trPr>
          <w:trHeight w:val="1074"/>
          <w:jc w:val="center"/>
        </w:trPr>
        <w:tc>
          <w:tcPr>
            <w:tcW w:w="2243" w:type="dxa"/>
            <w:tcBorders>
              <w:top w:val="double" w:sz="4" w:space="0" w:color="auto"/>
            </w:tcBorders>
            <w:shd w:val="clear" w:color="auto" w:fill="DAEEF3" w:themeFill="accent5" w:themeFillTint="33"/>
            <w:noWrap/>
            <w:vAlign w:val="bottom"/>
            <w:hideMark/>
          </w:tcPr>
          <w:p w:rsidR="001D17D7" w:rsidRPr="00AB3BBB" w:rsidRDefault="001D17D7" w:rsidP="001D17D7">
            <w:pPr>
              <w:spacing w:line="240" w:lineRule="auto"/>
              <w:jc w:val="left"/>
              <w:rPr>
                <w:rFonts w:ascii="Times New Roman" w:eastAsia="Times New Roman" w:hAnsi="Times New Roman"/>
                <w:b/>
                <w:bCs/>
                <w:color w:val="000000"/>
                <w:sz w:val="24"/>
                <w:szCs w:val="24"/>
                <w:lang w:eastAsia="fr-FR"/>
              </w:rPr>
            </w:pPr>
          </w:p>
        </w:tc>
        <w:tc>
          <w:tcPr>
            <w:tcW w:w="1091" w:type="dxa"/>
            <w:tcBorders>
              <w:top w:val="double" w:sz="4" w:space="0" w:color="auto"/>
              <w:bottom w:val="single" w:sz="4" w:space="0" w:color="000000" w:themeColor="text1"/>
            </w:tcBorders>
            <w:shd w:val="clear" w:color="auto" w:fill="DAEEF3" w:themeFill="accent5" w:themeFillTint="33"/>
            <w:vAlign w:val="bottom"/>
            <w:hideMark/>
          </w:tcPr>
          <w:p w:rsidR="001D17D7" w:rsidRPr="001D17D7" w:rsidRDefault="001064B7" w:rsidP="001D17D7">
            <w:pPr>
              <w:spacing w:line="240" w:lineRule="auto"/>
              <w:jc w:val="center"/>
              <w:rPr>
                <w:rFonts w:ascii="Times New Roman" w:eastAsia="Times New Roman" w:hAnsi="Times New Roman"/>
                <w:color w:val="000000"/>
                <w:sz w:val="18"/>
                <w:szCs w:val="18"/>
                <w:lang w:eastAsia="fr-FR"/>
              </w:rPr>
            </w:pPr>
            <w:r w:rsidRPr="001064B7">
              <w:rPr>
                <w:rFonts w:ascii="Times New Roman" w:eastAsia="Times New Roman" w:hAnsi="Times New Roman"/>
                <w:color w:val="000000"/>
                <w:sz w:val="18"/>
                <w:szCs w:val="18"/>
                <w:lang w:eastAsia="fr-FR"/>
              </w:rPr>
              <w:t>Contribution relative à la pauvreté globale (%)</w:t>
            </w:r>
          </w:p>
        </w:tc>
        <w:tc>
          <w:tcPr>
            <w:tcW w:w="1060" w:type="dxa"/>
            <w:tcBorders>
              <w:top w:val="double" w:sz="4" w:space="0" w:color="auto"/>
              <w:bottom w:val="single" w:sz="4" w:space="0" w:color="000000" w:themeColor="text1"/>
            </w:tcBorders>
            <w:shd w:val="clear" w:color="auto" w:fill="DAEEF3" w:themeFill="accent5" w:themeFillTint="33"/>
            <w:vAlign w:val="bottom"/>
            <w:hideMark/>
          </w:tcPr>
          <w:p w:rsidR="001D17D7" w:rsidRPr="001D17D7" w:rsidRDefault="001064B7" w:rsidP="001D17D7">
            <w:pPr>
              <w:spacing w:line="240" w:lineRule="auto"/>
              <w:jc w:val="center"/>
              <w:rPr>
                <w:rFonts w:ascii="Times New Roman" w:eastAsia="Times New Roman" w:hAnsi="Times New Roman"/>
                <w:color w:val="000000"/>
                <w:sz w:val="18"/>
                <w:szCs w:val="18"/>
                <w:lang w:eastAsia="fr-FR"/>
              </w:rPr>
            </w:pPr>
            <w:r w:rsidRPr="001064B7">
              <w:rPr>
                <w:rFonts w:ascii="Times New Roman" w:eastAsia="Times New Roman" w:hAnsi="Times New Roman"/>
                <w:color w:val="000000"/>
                <w:sz w:val="18"/>
                <w:szCs w:val="18"/>
                <w:lang w:eastAsia="fr-FR"/>
              </w:rPr>
              <w:t>Pourcentage de population (%)</w:t>
            </w:r>
          </w:p>
        </w:tc>
        <w:tc>
          <w:tcPr>
            <w:tcW w:w="1091" w:type="dxa"/>
            <w:tcBorders>
              <w:top w:val="double" w:sz="4" w:space="0" w:color="auto"/>
              <w:bottom w:val="single" w:sz="4" w:space="0" w:color="000000" w:themeColor="text1"/>
            </w:tcBorders>
            <w:shd w:val="clear" w:color="auto" w:fill="DAEEF3" w:themeFill="accent5" w:themeFillTint="33"/>
            <w:vAlign w:val="bottom"/>
            <w:hideMark/>
          </w:tcPr>
          <w:p w:rsidR="001D17D7" w:rsidRPr="001D17D7" w:rsidRDefault="001064B7" w:rsidP="001D17D7">
            <w:pPr>
              <w:spacing w:line="240" w:lineRule="auto"/>
              <w:jc w:val="center"/>
              <w:rPr>
                <w:rFonts w:ascii="Times New Roman" w:eastAsia="Times New Roman" w:hAnsi="Times New Roman"/>
                <w:color w:val="000000"/>
                <w:sz w:val="18"/>
                <w:szCs w:val="18"/>
                <w:lang w:eastAsia="fr-FR"/>
              </w:rPr>
            </w:pPr>
            <w:r w:rsidRPr="001064B7">
              <w:rPr>
                <w:rFonts w:ascii="Times New Roman" w:eastAsia="Times New Roman" w:hAnsi="Times New Roman"/>
                <w:color w:val="000000"/>
                <w:sz w:val="18"/>
                <w:szCs w:val="18"/>
                <w:lang w:eastAsia="fr-FR"/>
              </w:rPr>
              <w:t>Contribution relative à la pauvreté globale (%)</w:t>
            </w:r>
          </w:p>
        </w:tc>
        <w:tc>
          <w:tcPr>
            <w:tcW w:w="1060" w:type="dxa"/>
            <w:tcBorders>
              <w:top w:val="double" w:sz="4" w:space="0" w:color="auto"/>
              <w:bottom w:val="single" w:sz="4" w:space="0" w:color="000000" w:themeColor="text1"/>
            </w:tcBorders>
            <w:shd w:val="clear" w:color="auto" w:fill="DAEEF3" w:themeFill="accent5" w:themeFillTint="33"/>
            <w:vAlign w:val="bottom"/>
            <w:hideMark/>
          </w:tcPr>
          <w:p w:rsidR="001D17D7" w:rsidRPr="001D17D7" w:rsidRDefault="001064B7" w:rsidP="001D17D7">
            <w:pPr>
              <w:spacing w:line="240" w:lineRule="auto"/>
              <w:jc w:val="center"/>
              <w:rPr>
                <w:rFonts w:ascii="Times New Roman" w:eastAsia="Times New Roman" w:hAnsi="Times New Roman"/>
                <w:color w:val="000000"/>
                <w:sz w:val="18"/>
                <w:szCs w:val="18"/>
                <w:lang w:eastAsia="fr-FR"/>
              </w:rPr>
            </w:pPr>
            <w:r w:rsidRPr="001064B7">
              <w:rPr>
                <w:rFonts w:ascii="Times New Roman" w:eastAsia="Times New Roman" w:hAnsi="Times New Roman"/>
                <w:color w:val="000000"/>
                <w:sz w:val="18"/>
                <w:szCs w:val="18"/>
                <w:lang w:eastAsia="fr-FR"/>
              </w:rPr>
              <w:t>Pourcentage de population (%)</w:t>
            </w:r>
          </w:p>
        </w:tc>
        <w:tc>
          <w:tcPr>
            <w:tcW w:w="1091" w:type="dxa"/>
            <w:tcBorders>
              <w:top w:val="double" w:sz="4" w:space="0" w:color="auto"/>
              <w:bottom w:val="single" w:sz="4" w:space="0" w:color="000000" w:themeColor="text1"/>
            </w:tcBorders>
            <w:shd w:val="clear" w:color="auto" w:fill="DAEEF3" w:themeFill="accent5" w:themeFillTint="33"/>
            <w:vAlign w:val="bottom"/>
            <w:hideMark/>
          </w:tcPr>
          <w:p w:rsidR="001D17D7" w:rsidRPr="001D17D7" w:rsidRDefault="001064B7" w:rsidP="001D17D7">
            <w:pPr>
              <w:spacing w:line="240" w:lineRule="auto"/>
              <w:jc w:val="center"/>
              <w:rPr>
                <w:rFonts w:ascii="Times New Roman" w:eastAsia="Times New Roman" w:hAnsi="Times New Roman"/>
                <w:color w:val="000000"/>
                <w:sz w:val="18"/>
                <w:szCs w:val="18"/>
                <w:lang w:eastAsia="fr-FR"/>
              </w:rPr>
            </w:pPr>
            <w:r w:rsidRPr="001064B7">
              <w:rPr>
                <w:rFonts w:ascii="Times New Roman" w:eastAsia="Times New Roman" w:hAnsi="Times New Roman"/>
                <w:color w:val="000000"/>
                <w:sz w:val="18"/>
                <w:szCs w:val="18"/>
                <w:lang w:eastAsia="fr-FR"/>
              </w:rPr>
              <w:t>Contribution relative à la pauvreté globale (%)</w:t>
            </w:r>
          </w:p>
        </w:tc>
        <w:tc>
          <w:tcPr>
            <w:tcW w:w="1060" w:type="dxa"/>
            <w:tcBorders>
              <w:top w:val="double" w:sz="4" w:space="0" w:color="auto"/>
              <w:bottom w:val="single" w:sz="4" w:space="0" w:color="000000" w:themeColor="text1"/>
            </w:tcBorders>
            <w:shd w:val="clear" w:color="auto" w:fill="DAEEF3" w:themeFill="accent5" w:themeFillTint="33"/>
            <w:vAlign w:val="bottom"/>
            <w:hideMark/>
          </w:tcPr>
          <w:p w:rsidR="001D17D7" w:rsidRPr="001D17D7" w:rsidRDefault="001064B7" w:rsidP="001D17D7">
            <w:pPr>
              <w:spacing w:line="240" w:lineRule="auto"/>
              <w:jc w:val="center"/>
              <w:rPr>
                <w:rFonts w:ascii="Times New Roman" w:eastAsia="Times New Roman" w:hAnsi="Times New Roman"/>
                <w:color w:val="000000"/>
                <w:sz w:val="18"/>
                <w:szCs w:val="18"/>
                <w:lang w:eastAsia="fr-FR"/>
              </w:rPr>
            </w:pPr>
            <w:r w:rsidRPr="001064B7">
              <w:rPr>
                <w:rFonts w:ascii="Times New Roman" w:eastAsia="Times New Roman" w:hAnsi="Times New Roman"/>
                <w:color w:val="000000"/>
                <w:sz w:val="18"/>
                <w:szCs w:val="18"/>
                <w:lang w:eastAsia="fr-FR"/>
              </w:rPr>
              <w:t>Pourcentage de population (%)</w:t>
            </w:r>
          </w:p>
        </w:tc>
        <w:tc>
          <w:tcPr>
            <w:tcW w:w="1860" w:type="dxa"/>
            <w:gridSpan w:val="3"/>
            <w:tcBorders>
              <w:top w:val="double" w:sz="4" w:space="0" w:color="auto"/>
              <w:bottom w:val="single" w:sz="4" w:space="0" w:color="000000" w:themeColor="text1"/>
            </w:tcBorders>
            <w:shd w:val="clear" w:color="auto" w:fill="DAEEF3" w:themeFill="accent5" w:themeFillTint="33"/>
            <w:noWrap/>
            <w:vAlign w:val="bottom"/>
            <w:hideMark/>
          </w:tcPr>
          <w:p w:rsidR="001D17D7" w:rsidRPr="00695900" w:rsidRDefault="001064B7" w:rsidP="001D17D7">
            <w:pPr>
              <w:spacing w:line="240" w:lineRule="auto"/>
              <w:jc w:val="center"/>
              <w:rPr>
                <w:rFonts w:ascii="Times New Roman" w:eastAsia="Times New Roman" w:hAnsi="Times New Roman"/>
                <w:bCs/>
                <w:color w:val="000000"/>
                <w:sz w:val="18"/>
                <w:szCs w:val="18"/>
                <w:lang w:eastAsia="fr-FR"/>
              </w:rPr>
            </w:pPr>
            <w:r w:rsidRPr="00695900">
              <w:rPr>
                <w:rFonts w:ascii="Times New Roman" w:eastAsia="Times New Roman" w:hAnsi="Times New Roman"/>
                <w:bCs/>
                <w:color w:val="000000"/>
                <w:sz w:val="18"/>
                <w:szCs w:val="18"/>
                <w:lang w:eastAsia="fr-FR"/>
              </w:rPr>
              <w:t xml:space="preserve">Incidence de pauvreté </w:t>
            </w:r>
          </w:p>
        </w:tc>
        <w:tc>
          <w:tcPr>
            <w:tcW w:w="4807" w:type="dxa"/>
            <w:gridSpan w:val="7"/>
            <w:tcBorders>
              <w:top w:val="double" w:sz="4" w:space="0" w:color="auto"/>
              <w:bottom w:val="single" w:sz="4" w:space="0" w:color="000000" w:themeColor="text1"/>
            </w:tcBorders>
            <w:shd w:val="clear" w:color="auto" w:fill="DAEEF3" w:themeFill="accent5" w:themeFillTint="33"/>
            <w:noWrap/>
            <w:vAlign w:val="bottom"/>
            <w:hideMark/>
          </w:tcPr>
          <w:p w:rsidR="001D17D7" w:rsidRPr="00695900" w:rsidRDefault="001064B7" w:rsidP="001D17D7">
            <w:pPr>
              <w:spacing w:line="240" w:lineRule="auto"/>
              <w:jc w:val="center"/>
              <w:rPr>
                <w:rFonts w:ascii="Times New Roman" w:eastAsia="Times New Roman" w:hAnsi="Times New Roman"/>
                <w:bCs/>
                <w:color w:val="000000"/>
                <w:sz w:val="18"/>
                <w:szCs w:val="18"/>
                <w:lang w:eastAsia="fr-FR"/>
              </w:rPr>
            </w:pPr>
            <w:r w:rsidRPr="00695900">
              <w:rPr>
                <w:rFonts w:ascii="Times New Roman" w:eastAsia="Times New Roman" w:hAnsi="Times New Roman"/>
                <w:bCs/>
                <w:color w:val="000000"/>
                <w:sz w:val="18"/>
                <w:szCs w:val="18"/>
                <w:lang w:eastAsia="fr-FR"/>
              </w:rPr>
              <w:t>Taux croissance économique</w:t>
            </w:r>
          </w:p>
        </w:tc>
      </w:tr>
      <w:tr w:rsidR="001D17D7" w:rsidRPr="001D17D7" w:rsidTr="00F55B57">
        <w:trPr>
          <w:trHeight w:val="537"/>
          <w:jc w:val="center"/>
        </w:trPr>
        <w:tc>
          <w:tcPr>
            <w:tcW w:w="2243" w:type="dxa"/>
            <w:tcBorders>
              <w:bottom w:val="single" w:sz="4" w:space="0" w:color="000000" w:themeColor="text1"/>
            </w:tcBorders>
            <w:shd w:val="clear" w:color="auto" w:fill="DAEEF3" w:themeFill="accent5" w:themeFillTint="33"/>
            <w:vAlign w:val="bottom"/>
            <w:hideMark/>
          </w:tcPr>
          <w:p w:rsidR="001D17D7" w:rsidRPr="00AB3BBB" w:rsidRDefault="00AB3BBB" w:rsidP="00695900">
            <w:pPr>
              <w:jc w:val="left"/>
              <w:rPr>
                <w:rFonts w:ascii="Times New Roman" w:eastAsia="Times New Roman" w:hAnsi="Times New Roman"/>
                <w:b/>
                <w:bCs/>
                <w:color w:val="000000"/>
                <w:sz w:val="24"/>
                <w:szCs w:val="24"/>
                <w:lang w:eastAsia="fr-FR"/>
              </w:rPr>
            </w:pPr>
            <w:r w:rsidRPr="00AB3BBB">
              <w:rPr>
                <w:rFonts w:ascii="Times New Roman" w:eastAsia="Times New Roman" w:hAnsi="Times New Roman"/>
                <w:b/>
                <w:bCs/>
                <w:color w:val="000000"/>
                <w:sz w:val="24"/>
                <w:szCs w:val="24"/>
                <w:lang w:eastAsia="fr-FR"/>
              </w:rPr>
              <w:t>Branches d'activité</w:t>
            </w:r>
          </w:p>
        </w:tc>
        <w:tc>
          <w:tcPr>
            <w:tcW w:w="2151" w:type="dxa"/>
            <w:gridSpan w:val="2"/>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2006</w:t>
            </w:r>
          </w:p>
        </w:tc>
        <w:tc>
          <w:tcPr>
            <w:tcW w:w="2151" w:type="dxa"/>
            <w:gridSpan w:val="2"/>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2009</w:t>
            </w:r>
          </w:p>
        </w:tc>
        <w:tc>
          <w:tcPr>
            <w:tcW w:w="2151" w:type="dxa"/>
            <w:gridSpan w:val="2"/>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2011</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2006</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2009</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2011</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2006</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2007</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2008</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2009</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2010</w:t>
            </w:r>
          </w:p>
        </w:tc>
        <w:tc>
          <w:tcPr>
            <w:tcW w:w="620"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lang w:eastAsia="fr-FR"/>
              </w:rPr>
            </w:pPr>
            <w:r w:rsidRPr="00695900">
              <w:rPr>
                <w:rFonts w:ascii="Times New Roman" w:eastAsia="Times New Roman" w:hAnsi="Times New Roman"/>
                <w:bCs/>
                <w:color w:val="000000"/>
                <w:lang w:eastAsia="fr-FR"/>
              </w:rPr>
              <w:t>2011</w:t>
            </w:r>
          </w:p>
        </w:tc>
        <w:tc>
          <w:tcPr>
            <w:tcW w:w="1087" w:type="dxa"/>
            <w:tcBorders>
              <w:bottom w:val="single" w:sz="4" w:space="0" w:color="000000" w:themeColor="text1"/>
            </w:tcBorders>
            <w:shd w:val="clear" w:color="auto" w:fill="DAEEF3" w:themeFill="accent5" w:themeFillTint="33"/>
            <w:vAlign w:val="bottom"/>
            <w:hideMark/>
          </w:tcPr>
          <w:p w:rsidR="001D17D7" w:rsidRPr="00695900" w:rsidRDefault="001064B7" w:rsidP="00695900">
            <w:pPr>
              <w:spacing w:line="240" w:lineRule="auto"/>
              <w:jc w:val="center"/>
              <w:rPr>
                <w:rFonts w:ascii="Times New Roman" w:eastAsia="Times New Roman" w:hAnsi="Times New Roman"/>
                <w:bCs/>
                <w:color w:val="000000"/>
                <w:sz w:val="24"/>
                <w:szCs w:val="24"/>
                <w:lang w:eastAsia="fr-FR"/>
              </w:rPr>
            </w:pPr>
            <w:r w:rsidRPr="00695900">
              <w:rPr>
                <w:rFonts w:ascii="Times New Roman" w:eastAsia="Times New Roman" w:hAnsi="Times New Roman"/>
                <w:bCs/>
                <w:color w:val="000000"/>
                <w:sz w:val="24"/>
                <w:szCs w:val="24"/>
                <w:lang w:eastAsia="fr-FR"/>
              </w:rPr>
              <w:t>Moyenne 2006-2011</w:t>
            </w:r>
          </w:p>
        </w:tc>
      </w:tr>
      <w:tr w:rsidR="001D17D7" w:rsidRPr="001D17D7" w:rsidTr="00F55B57">
        <w:trPr>
          <w:trHeight w:val="340"/>
          <w:jc w:val="center"/>
        </w:trPr>
        <w:tc>
          <w:tcPr>
            <w:tcW w:w="2243" w:type="dxa"/>
            <w:tcBorders>
              <w:top w:val="single" w:sz="4" w:space="0" w:color="000000" w:themeColor="text1"/>
            </w:tcBorders>
            <w:shd w:val="clear" w:color="auto" w:fill="DAEEF3" w:themeFill="accent5" w:themeFillTint="33"/>
            <w:noWrap/>
            <w:hideMark/>
          </w:tcPr>
          <w:p w:rsidR="00CE79B0" w:rsidRPr="00AB3BBB" w:rsidRDefault="001064B7">
            <w:pPr>
              <w:spacing w:line="240" w:lineRule="auto"/>
              <w:jc w:val="left"/>
              <w:rPr>
                <w:rFonts w:ascii="Times New Roman" w:eastAsia="Times New Roman" w:hAnsi="Times New Roman"/>
                <w:bCs/>
                <w:color w:val="000000"/>
                <w:sz w:val="24"/>
                <w:szCs w:val="24"/>
                <w:lang w:eastAsia="fr-FR"/>
              </w:rPr>
            </w:pPr>
            <w:r w:rsidRPr="00AB3BBB">
              <w:rPr>
                <w:rFonts w:ascii="Times New Roman" w:eastAsia="Times New Roman" w:hAnsi="Times New Roman"/>
                <w:bCs/>
                <w:color w:val="000000"/>
                <w:sz w:val="24"/>
                <w:szCs w:val="24"/>
                <w:lang w:eastAsia="fr-FR"/>
              </w:rPr>
              <w:t>Agriculture hors coton</w:t>
            </w:r>
          </w:p>
        </w:tc>
        <w:tc>
          <w:tcPr>
            <w:tcW w:w="1091"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59,47</w:t>
            </w:r>
          </w:p>
        </w:tc>
        <w:tc>
          <w:tcPr>
            <w:tcW w:w="1060"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53,9</w:t>
            </w:r>
          </w:p>
        </w:tc>
        <w:tc>
          <w:tcPr>
            <w:tcW w:w="1091"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64,84</w:t>
            </w:r>
          </w:p>
        </w:tc>
        <w:tc>
          <w:tcPr>
            <w:tcW w:w="1060"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52,93</w:t>
            </w:r>
          </w:p>
        </w:tc>
        <w:tc>
          <w:tcPr>
            <w:tcW w:w="1091"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58,32</w:t>
            </w:r>
          </w:p>
        </w:tc>
        <w:tc>
          <w:tcPr>
            <w:tcW w:w="1060"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46,58</w:t>
            </w:r>
          </w:p>
        </w:tc>
        <w:tc>
          <w:tcPr>
            <w:tcW w:w="620"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40,9</w:t>
            </w:r>
          </w:p>
        </w:tc>
        <w:tc>
          <w:tcPr>
            <w:tcW w:w="620"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43,1</w:t>
            </w:r>
          </w:p>
        </w:tc>
        <w:tc>
          <w:tcPr>
            <w:tcW w:w="620" w:type="dxa"/>
            <w:tcBorders>
              <w:top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45,3</w:t>
            </w:r>
          </w:p>
        </w:tc>
        <w:tc>
          <w:tcPr>
            <w:tcW w:w="620" w:type="dxa"/>
            <w:tcBorders>
              <w:top w:val="single" w:sz="4" w:space="0" w:color="000000" w:themeColor="text1"/>
            </w:tcBorders>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3,8</w:t>
            </w:r>
          </w:p>
        </w:tc>
        <w:tc>
          <w:tcPr>
            <w:tcW w:w="620" w:type="dxa"/>
            <w:tcBorders>
              <w:top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2,7</w:t>
            </w:r>
          </w:p>
        </w:tc>
        <w:tc>
          <w:tcPr>
            <w:tcW w:w="620" w:type="dxa"/>
            <w:tcBorders>
              <w:top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4,9</w:t>
            </w:r>
          </w:p>
        </w:tc>
        <w:tc>
          <w:tcPr>
            <w:tcW w:w="620" w:type="dxa"/>
            <w:tcBorders>
              <w:top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5,1</w:t>
            </w:r>
          </w:p>
        </w:tc>
        <w:tc>
          <w:tcPr>
            <w:tcW w:w="620" w:type="dxa"/>
            <w:tcBorders>
              <w:top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3,7</w:t>
            </w:r>
          </w:p>
        </w:tc>
        <w:tc>
          <w:tcPr>
            <w:tcW w:w="620" w:type="dxa"/>
            <w:tcBorders>
              <w:top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2,9</w:t>
            </w:r>
          </w:p>
        </w:tc>
        <w:tc>
          <w:tcPr>
            <w:tcW w:w="1087" w:type="dxa"/>
            <w:tcBorders>
              <w:top w:val="single" w:sz="4" w:space="0" w:color="000000" w:themeColor="text1"/>
            </w:tcBorders>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3,88</w:t>
            </w:r>
          </w:p>
        </w:tc>
      </w:tr>
      <w:tr w:rsidR="001D17D7" w:rsidRPr="001D17D7" w:rsidTr="00F55B57">
        <w:trPr>
          <w:trHeight w:val="340"/>
          <w:jc w:val="center"/>
        </w:trPr>
        <w:tc>
          <w:tcPr>
            <w:tcW w:w="2243" w:type="dxa"/>
            <w:shd w:val="clear" w:color="auto" w:fill="DAEEF3" w:themeFill="accent5" w:themeFillTint="33"/>
            <w:hideMark/>
          </w:tcPr>
          <w:p w:rsidR="00CE79B0" w:rsidRPr="00AB3BBB" w:rsidRDefault="001064B7" w:rsidP="00BE7678">
            <w:pPr>
              <w:spacing w:line="240" w:lineRule="auto"/>
              <w:jc w:val="left"/>
              <w:rPr>
                <w:rFonts w:ascii="Times New Roman" w:eastAsia="Times New Roman" w:hAnsi="Times New Roman"/>
                <w:bCs/>
                <w:color w:val="000000"/>
                <w:sz w:val="24"/>
                <w:szCs w:val="24"/>
                <w:lang w:eastAsia="fr-FR"/>
              </w:rPr>
            </w:pPr>
            <w:r w:rsidRPr="00AB3BBB">
              <w:rPr>
                <w:rFonts w:ascii="Times New Roman" w:eastAsia="Times New Roman" w:hAnsi="Times New Roman"/>
                <w:bCs/>
                <w:color w:val="000000"/>
                <w:sz w:val="24"/>
                <w:szCs w:val="24"/>
                <w:lang w:eastAsia="fr-FR"/>
              </w:rPr>
              <w:t>Coton-</w:t>
            </w:r>
            <w:r w:rsidR="00BE7678">
              <w:rPr>
                <w:rFonts w:ascii="Times New Roman" w:eastAsia="Times New Roman" w:hAnsi="Times New Roman"/>
                <w:bCs/>
                <w:color w:val="000000"/>
                <w:sz w:val="24"/>
                <w:szCs w:val="24"/>
                <w:lang w:eastAsia="fr-FR"/>
              </w:rPr>
              <w:t>t</w:t>
            </w:r>
            <w:r w:rsidR="00BE7678" w:rsidRPr="00AB3BBB">
              <w:rPr>
                <w:rFonts w:ascii="Times New Roman" w:eastAsia="Times New Roman" w:hAnsi="Times New Roman"/>
                <w:bCs/>
                <w:color w:val="000000"/>
                <w:sz w:val="24"/>
                <w:szCs w:val="24"/>
                <w:lang w:eastAsia="fr-FR"/>
              </w:rPr>
              <w:t>extile</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5,37</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4,53</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3,72</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3,93</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3,33</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3,70</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45,3</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33,3</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32,6</w:t>
            </w:r>
          </w:p>
        </w:tc>
        <w:tc>
          <w:tcPr>
            <w:tcW w:w="620" w:type="dxa"/>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8,1</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10,7</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-11,6</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-16,4</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-12,8</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17,2</w:t>
            </w:r>
          </w:p>
        </w:tc>
        <w:tc>
          <w:tcPr>
            <w:tcW w:w="1087" w:type="dxa"/>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0,72</w:t>
            </w:r>
          </w:p>
        </w:tc>
      </w:tr>
      <w:tr w:rsidR="001D17D7" w:rsidRPr="001D17D7" w:rsidTr="00F55B57">
        <w:trPr>
          <w:trHeight w:val="340"/>
          <w:jc w:val="center"/>
        </w:trPr>
        <w:tc>
          <w:tcPr>
            <w:tcW w:w="2243" w:type="dxa"/>
            <w:shd w:val="clear" w:color="auto" w:fill="DAEEF3" w:themeFill="accent5" w:themeFillTint="33"/>
            <w:noWrap/>
            <w:hideMark/>
          </w:tcPr>
          <w:p w:rsidR="00CE79B0" w:rsidRPr="00AB3BBB" w:rsidRDefault="001064B7">
            <w:pPr>
              <w:spacing w:line="240" w:lineRule="auto"/>
              <w:jc w:val="left"/>
              <w:rPr>
                <w:rFonts w:ascii="Times New Roman" w:eastAsia="Times New Roman" w:hAnsi="Times New Roman"/>
                <w:bCs/>
                <w:color w:val="000000"/>
                <w:sz w:val="24"/>
                <w:szCs w:val="24"/>
                <w:lang w:eastAsia="fr-FR"/>
              </w:rPr>
            </w:pPr>
            <w:r w:rsidRPr="00AB3BBB">
              <w:rPr>
                <w:rFonts w:ascii="Times New Roman" w:eastAsia="Times New Roman" w:hAnsi="Times New Roman"/>
                <w:bCs/>
                <w:color w:val="000000"/>
                <w:sz w:val="24"/>
                <w:szCs w:val="24"/>
                <w:lang w:eastAsia="fr-FR"/>
              </w:rPr>
              <w:t>Commerce-logistique</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16,14</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20,15</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13,45</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17,75</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12,84</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16,97</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23,6</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26,7</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27,4</w:t>
            </w:r>
          </w:p>
        </w:tc>
        <w:tc>
          <w:tcPr>
            <w:tcW w:w="620" w:type="dxa"/>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3,2</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5,9</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7,4</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4,2</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1,8</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2,6</w:t>
            </w:r>
          </w:p>
        </w:tc>
        <w:tc>
          <w:tcPr>
            <w:tcW w:w="1087" w:type="dxa"/>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4,65</w:t>
            </w:r>
          </w:p>
        </w:tc>
      </w:tr>
      <w:tr w:rsidR="001D17D7" w:rsidRPr="001D17D7" w:rsidTr="00F55B57">
        <w:trPr>
          <w:trHeight w:val="340"/>
          <w:jc w:val="center"/>
        </w:trPr>
        <w:tc>
          <w:tcPr>
            <w:tcW w:w="2243" w:type="dxa"/>
            <w:shd w:val="clear" w:color="auto" w:fill="DAEEF3" w:themeFill="accent5" w:themeFillTint="33"/>
            <w:noWrap/>
            <w:hideMark/>
          </w:tcPr>
          <w:p w:rsidR="00CE79B0" w:rsidRPr="00AB3BBB" w:rsidRDefault="001064B7">
            <w:pPr>
              <w:spacing w:line="240" w:lineRule="auto"/>
              <w:jc w:val="left"/>
              <w:rPr>
                <w:rFonts w:ascii="Times New Roman" w:eastAsia="Times New Roman" w:hAnsi="Times New Roman"/>
                <w:bCs/>
                <w:color w:val="000000"/>
                <w:sz w:val="24"/>
                <w:szCs w:val="24"/>
                <w:lang w:eastAsia="fr-FR"/>
              </w:rPr>
            </w:pPr>
            <w:r w:rsidRPr="00AB3BBB">
              <w:rPr>
                <w:rFonts w:ascii="Times New Roman" w:eastAsia="Times New Roman" w:hAnsi="Times New Roman"/>
                <w:bCs/>
                <w:color w:val="000000"/>
                <w:sz w:val="24"/>
                <w:szCs w:val="24"/>
                <w:lang w:eastAsia="fr-FR"/>
              </w:rPr>
              <w:t>Agroalimentaire</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0,23</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0,34</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0,86</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1,01</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2,43</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2,71</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24,4</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29,8</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32,5</w:t>
            </w:r>
          </w:p>
        </w:tc>
        <w:tc>
          <w:tcPr>
            <w:tcW w:w="620" w:type="dxa"/>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0,2</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2,2</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5,7</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5,3</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2,4</w:t>
            </w:r>
          </w:p>
        </w:tc>
        <w:tc>
          <w:tcPr>
            <w:tcW w:w="1087" w:type="dxa"/>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3,14</w:t>
            </w:r>
          </w:p>
        </w:tc>
      </w:tr>
      <w:tr w:rsidR="001D17D7" w:rsidRPr="001D17D7" w:rsidTr="00F55B57">
        <w:trPr>
          <w:trHeight w:val="340"/>
          <w:jc w:val="center"/>
        </w:trPr>
        <w:tc>
          <w:tcPr>
            <w:tcW w:w="2243" w:type="dxa"/>
            <w:shd w:val="clear" w:color="auto" w:fill="DAEEF3" w:themeFill="accent5" w:themeFillTint="33"/>
            <w:noWrap/>
            <w:hideMark/>
          </w:tcPr>
          <w:p w:rsidR="00CE79B0" w:rsidRPr="00AB3BBB" w:rsidRDefault="001064B7">
            <w:pPr>
              <w:spacing w:line="240" w:lineRule="auto"/>
              <w:jc w:val="left"/>
              <w:rPr>
                <w:rFonts w:ascii="Times New Roman" w:eastAsia="Times New Roman" w:hAnsi="Times New Roman"/>
                <w:bCs/>
                <w:color w:val="000000"/>
                <w:sz w:val="24"/>
                <w:szCs w:val="24"/>
                <w:lang w:eastAsia="fr-FR"/>
              </w:rPr>
            </w:pPr>
            <w:r w:rsidRPr="00AB3BBB">
              <w:rPr>
                <w:rFonts w:ascii="Times New Roman" w:eastAsia="Times New Roman" w:hAnsi="Times New Roman"/>
                <w:bCs/>
                <w:color w:val="000000"/>
                <w:sz w:val="24"/>
                <w:szCs w:val="24"/>
                <w:lang w:eastAsia="fr-FR"/>
              </w:rPr>
              <w:t>BTP - matériaux de construction</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1,79</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2,21</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2,71</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3,21</w:t>
            </w:r>
          </w:p>
        </w:tc>
        <w:tc>
          <w:tcPr>
            <w:tcW w:w="1091"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3,06</w:t>
            </w:r>
          </w:p>
        </w:tc>
        <w:tc>
          <w:tcPr>
            <w:tcW w:w="106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3,50</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29,9</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29,6</w:t>
            </w:r>
          </w:p>
        </w:tc>
        <w:tc>
          <w:tcPr>
            <w:tcW w:w="620" w:type="dxa"/>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31,6</w:t>
            </w:r>
          </w:p>
        </w:tc>
        <w:tc>
          <w:tcPr>
            <w:tcW w:w="620" w:type="dxa"/>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6</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7,2</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8,2</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0</w:t>
            </w:r>
          </w:p>
        </w:tc>
        <w:tc>
          <w:tcPr>
            <w:tcW w:w="620" w:type="dxa"/>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6</w:t>
            </w:r>
          </w:p>
        </w:tc>
        <w:tc>
          <w:tcPr>
            <w:tcW w:w="1087" w:type="dxa"/>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6,07</w:t>
            </w:r>
          </w:p>
        </w:tc>
      </w:tr>
      <w:tr w:rsidR="001D17D7" w:rsidRPr="001D17D7" w:rsidTr="00F55B57">
        <w:trPr>
          <w:trHeight w:val="340"/>
          <w:jc w:val="center"/>
        </w:trPr>
        <w:tc>
          <w:tcPr>
            <w:tcW w:w="2243" w:type="dxa"/>
            <w:tcBorders>
              <w:bottom w:val="single" w:sz="4" w:space="0" w:color="000000" w:themeColor="text1"/>
            </w:tcBorders>
            <w:shd w:val="clear" w:color="auto" w:fill="DAEEF3" w:themeFill="accent5" w:themeFillTint="33"/>
            <w:noWrap/>
            <w:hideMark/>
          </w:tcPr>
          <w:p w:rsidR="00CE79B0" w:rsidRPr="00AB3BBB" w:rsidRDefault="001064B7">
            <w:pPr>
              <w:spacing w:line="240" w:lineRule="auto"/>
              <w:jc w:val="left"/>
              <w:rPr>
                <w:rFonts w:ascii="Times New Roman" w:eastAsia="Times New Roman" w:hAnsi="Times New Roman"/>
                <w:bCs/>
                <w:color w:val="000000"/>
                <w:sz w:val="24"/>
                <w:szCs w:val="24"/>
                <w:lang w:eastAsia="fr-FR"/>
              </w:rPr>
            </w:pPr>
            <w:r w:rsidRPr="00AB3BBB">
              <w:rPr>
                <w:rFonts w:ascii="Times New Roman" w:eastAsia="Times New Roman" w:hAnsi="Times New Roman"/>
                <w:bCs/>
                <w:color w:val="000000"/>
                <w:sz w:val="24"/>
                <w:szCs w:val="24"/>
                <w:lang w:eastAsia="fr-FR"/>
              </w:rPr>
              <w:t>Artisanat, culture et tourisme</w:t>
            </w:r>
          </w:p>
        </w:tc>
        <w:tc>
          <w:tcPr>
            <w:tcW w:w="1091"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2,59</w:t>
            </w:r>
          </w:p>
        </w:tc>
        <w:tc>
          <w:tcPr>
            <w:tcW w:w="1060"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2,8</w:t>
            </w:r>
          </w:p>
        </w:tc>
        <w:tc>
          <w:tcPr>
            <w:tcW w:w="1091"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8,61</w:t>
            </w:r>
          </w:p>
        </w:tc>
        <w:tc>
          <w:tcPr>
            <w:tcW w:w="1060"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10,62</w:t>
            </w:r>
          </w:p>
        </w:tc>
        <w:tc>
          <w:tcPr>
            <w:tcW w:w="1091"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10,20</w:t>
            </w:r>
          </w:p>
        </w:tc>
        <w:tc>
          <w:tcPr>
            <w:tcW w:w="1060"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11,73</w:t>
            </w:r>
          </w:p>
        </w:tc>
        <w:tc>
          <w:tcPr>
            <w:tcW w:w="620"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34,5</w:t>
            </w:r>
          </w:p>
        </w:tc>
        <w:tc>
          <w:tcPr>
            <w:tcW w:w="620"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28,2</w:t>
            </w:r>
          </w:p>
        </w:tc>
        <w:tc>
          <w:tcPr>
            <w:tcW w:w="620" w:type="dxa"/>
            <w:tcBorders>
              <w:bottom w:val="single" w:sz="4" w:space="0" w:color="000000" w:themeColor="text1"/>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31,5</w:t>
            </w:r>
          </w:p>
        </w:tc>
        <w:tc>
          <w:tcPr>
            <w:tcW w:w="620" w:type="dxa"/>
            <w:tcBorders>
              <w:bottom w:val="single" w:sz="4" w:space="0" w:color="000000" w:themeColor="text1"/>
            </w:tcBorders>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4,3</w:t>
            </w:r>
          </w:p>
        </w:tc>
        <w:tc>
          <w:tcPr>
            <w:tcW w:w="620" w:type="dxa"/>
            <w:tcBorders>
              <w:bottom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3,9</w:t>
            </w:r>
          </w:p>
        </w:tc>
        <w:tc>
          <w:tcPr>
            <w:tcW w:w="620" w:type="dxa"/>
            <w:tcBorders>
              <w:bottom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5,4</w:t>
            </w:r>
          </w:p>
        </w:tc>
        <w:tc>
          <w:tcPr>
            <w:tcW w:w="620" w:type="dxa"/>
            <w:tcBorders>
              <w:bottom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3,9</w:t>
            </w:r>
          </w:p>
        </w:tc>
        <w:tc>
          <w:tcPr>
            <w:tcW w:w="620" w:type="dxa"/>
            <w:tcBorders>
              <w:bottom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2,3</w:t>
            </w:r>
          </w:p>
        </w:tc>
        <w:tc>
          <w:tcPr>
            <w:tcW w:w="620" w:type="dxa"/>
            <w:tcBorders>
              <w:bottom w:val="single" w:sz="4" w:space="0" w:color="000000" w:themeColor="text1"/>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2,3</w:t>
            </w:r>
          </w:p>
        </w:tc>
        <w:tc>
          <w:tcPr>
            <w:tcW w:w="1087" w:type="dxa"/>
            <w:tcBorders>
              <w:bottom w:val="single" w:sz="4" w:space="0" w:color="000000" w:themeColor="text1"/>
            </w:tcBorders>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color w:val="000000"/>
                <w:lang w:eastAsia="fr-FR"/>
              </w:rPr>
            </w:pPr>
            <w:r w:rsidRPr="00AB3BBB">
              <w:rPr>
                <w:rFonts w:ascii="Times New Roman" w:eastAsia="Times New Roman" w:hAnsi="Times New Roman"/>
                <w:color w:val="000000"/>
                <w:lang w:eastAsia="fr-FR"/>
              </w:rPr>
              <w:t>3,96</w:t>
            </w:r>
          </w:p>
        </w:tc>
      </w:tr>
      <w:tr w:rsidR="00CE79B0" w:rsidRPr="001D17D7" w:rsidTr="00F55B57">
        <w:trPr>
          <w:trHeight w:val="340"/>
          <w:jc w:val="center"/>
        </w:trPr>
        <w:tc>
          <w:tcPr>
            <w:tcW w:w="2243" w:type="dxa"/>
            <w:tcBorders>
              <w:top w:val="single" w:sz="4" w:space="0" w:color="000000" w:themeColor="text1"/>
              <w:bottom w:val="double" w:sz="4" w:space="0" w:color="auto"/>
            </w:tcBorders>
            <w:shd w:val="clear" w:color="auto" w:fill="DAEEF3" w:themeFill="accent5" w:themeFillTint="33"/>
            <w:noWrap/>
            <w:hideMark/>
          </w:tcPr>
          <w:p w:rsidR="00CE79B0" w:rsidRPr="00AB3BBB" w:rsidRDefault="001064B7">
            <w:pPr>
              <w:spacing w:line="240" w:lineRule="auto"/>
              <w:jc w:val="left"/>
              <w:rPr>
                <w:rFonts w:ascii="Times New Roman" w:eastAsia="Times New Roman" w:hAnsi="Times New Roman"/>
                <w:b/>
                <w:bCs/>
                <w:color w:val="000000"/>
                <w:sz w:val="24"/>
                <w:szCs w:val="24"/>
                <w:lang w:eastAsia="fr-FR"/>
              </w:rPr>
            </w:pPr>
            <w:r w:rsidRPr="00AB3BBB">
              <w:rPr>
                <w:rFonts w:ascii="Times New Roman" w:eastAsia="Times New Roman" w:hAnsi="Times New Roman"/>
                <w:b/>
                <w:bCs/>
                <w:color w:val="000000"/>
                <w:sz w:val="24"/>
                <w:szCs w:val="24"/>
                <w:lang w:eastAsia="fr-FR"/>
              </w:rPr>
              <w:t>Ensemble</w:t>
            </w:r>
          </w:p>
        </w:tc>
        <w:tc>
          <w:tcPr>
            <w:tcW w:w="1091" w:type="dxa"/>
            <w:tcBorders>
              <w:top w:val="single" w:sz="4" w:space="0" w:color="000000" w:themeColor="text1"/>
              <w:bottom w:val="double" w:sz="4" w:space="0" w:color="auto"/>
            </w:tcBorders>
            <w:shd w:val="clear" w:color="auto" w:fill="DAEEF3" w:themeFill="accent5" w:themeFillTint="33"/>
            <w:noWrap/>
            <w:vAlign w:val="center"/>
            <w:hideMark/>
          </w:tcPr>
          <w:p w:rsidR="001D17D7" w:rsidRPr="00AB3BBB" w:rsidRDefault="001D17D7" w:rsidP="00695900">
            <w:pPr>
              <w:spacing w:line="240" w:lineRule="auto"/>
              <w:jc w:val="right"/>
              <w:rPr>
                <w:rFonts w:ascii="Times New Roman" w:eastAsia="Times New Roman" w:hAnsi="Times New Roman"/>
                <w:color w:val="000000"/>
                <w:lang w:eastAsia="fr-FR"/>
              </w:rPr>
            </w:pPr>
          </w:p>
        </w:tc>
        <w:tc>
          <w:tcPr>
            <w:tcW w:w="1060" w:type="dxa"/>
            <w:tcBorders>
              <w:top w:val="single" w:sz="4" w:space="0" w:color="000000" w:themeColor="text1"/>
              <w:bottom w:val="double" w:sz="4" w:space="0" w:color="auto"/>
            </w:tcBorders>
            <w:shd w:val="clear" w:color="auto" w:fill="DAEEF3" w:themeFill="accent5" w:themeFillTint="33"/>
            <w:noWrap/>
            <w:vAlign w:val="center"/>
            <w:hideMark/>
          </w:tcPr>
          <w:p w:rsidR="001D17D7" w:rsidRPr="00AB3BBB" w:rsidRDefault="001D17D7" w:rsidP="00695900">
            <w:pPr>
              <w:spacing w:line="240" w:lineRule="auto"/>
              <w:jc w:val="right"/>
              <w:rPr>
                <w:rFonts w:ascii="Times New Roman" w:eastAsia="Times New Roman" w:hAnsi="Times New Roman"/>
                <w:color w:val="000000"/>
                <w:lang w:eastAsia="fr-FR"/>
              </w:rPr>
            </w:pPr>
          </w:p>
        </w:tc>
        <w:tc>
          <w:tcPr>
            <w:tcW w:w="1091" w:type="dxa"/>
            <w:tcBorders>
              <w:top w:val="single" w:sz="4" w:space="0" w:color="000000" w:themeColor="text1"/>
              <w:bottom w:val="double" w:sz="4" w:space="0" w:color="auto"/>
            </w:tcBorders>
            <w:shd w:val="clear" w:color="auto" w:fill="DAEEF3" w:themeFill="accent5" w:themeFillTint="33"/>
            <w:noWrap/>
            <w:vAlign w:val="center"/>
            <w:hideMark/>
          </w:tcPr>
          <w:p w:rsidR="001D17D7" w:rsidRPr="00AB3BBB" w:rsidRDefault="001D17D7" w:rsidP="00695900">
            <w:pPr>
              <w:spacing w:line="240" w:lineRule="auto"/>
              <w:jc w:val="right"/>
              <w:rPr>
                <w:rFonts w:ascii="Times New Roman" w:eastAsia="Times New Roman" w:hAnsi="Times New Roman"/>
                <w:color w:val="000000"/>
                <w:lang w:eastAsia="fr-FR"/>
              </w:rPr>
            </w:pPr>
          </w:p>
        </w:tc>
        <w:tc>
          <w:tcPr>
            <w:tcW w:w="1060" w:type="dxa"/>
            <w:tcBorders>
              <w:top w:val="single" w:sz="4" w:space="0" w:color="000000" w:themeColor="text1"/>
              <w:bottom w:val="double" w:sz="4" w:space="0" w:color="auto"/>
            </w:tcBorders>
            <w:shd w:val="clear" w:color="auto" w:fill="DAEEF3" w:themeFill="accent5" w:themeFillTint="33"/>
            <w:noWrap/>
            <w:vAlign w:val="center"/>
            <w:hideMark/>
          </w:tcPr>
          <w:p w:rsidR="001D17D7" w:rsidRPr="00AB3BBB" w:rsidRDefault="001D17D7" w:rsidP="00695900">
            <w:pPr>
              <w:spacing w:line="240" w:lineRule="auto"/>
              <w:jc w:val="right"/>
              <w:rPr>
                <w:rFonts w:ascii="Times New Roman" w:eastAsia="Times New Roman" w:hAnsi="Times New Roman"/>
                <w:color w:val="000000"/>
                <w:lang w:eastAsia="fr-FR"/>
              </w:rPr>
            </w:pPr>
          </w:p>
        </w:tc>
        <w:tc>
          <w:tcPr>
            <w:tcW w:w="1091" w:type="dxa"/>
            <w:tcBorders>
              <w:top w:val="single" w:sz="4" w:space="0" w:color="000000" w:themeColor="text1"/>
              <w:bottom w:val="double" w:sz="4" w:space="0" w:color="auto"/>
            </w:tcBorders>
            <w:shd w:val="clear" w:color="auto" w:fill="DAEEF3" w:themeFill="accent5" w:themeFillTint="33"/>
            <w:noWrap/>
            <w:vAlign w:val="center"/>
            <w:hideMark/>
          </w:tcPr>
          <w:p w:rsidR="001D17D7" w:rsidRPr="00AB3BBB" w:rsidRDefault="001D17D7" w:rsidP="00695900">
            <w:pPr>
              <w:spacing w:line="240" w:lineRule="auto"/>
              <w:jc w:val="right"/>
              <w:rPr>
                <w:rFonts w:ascii="Times New Roman" w:eastAsia="Times New Roman" w:hAnsi="Times New Roman"/>
                <w:color w:val="000000"/>
                <w:lang w:eastAsia="fr-FR"/>
              </w:rPr>
            </w:pPr>
          </w:p>
        </w:tc>
        <w:tc>
          <w:tcPr>
            <w:tcW w:w="1060" w:type="dxa"/>
            <w:tcBorders>
              <w:top w:val="single" w:sz="4" w:space="0" w:color="000000" w:themeColor="text1"/>
              <w:bottom w:val="double" w:sz="4" w:space="0" w:color="auto"/>
            </w:tcBorders>
            <w:shd w:val="clear" w:color="auto" w:fill="DAEEF3" w:themeFill="accent5" w:themeFillTint="33"/>
            <w:noWrap/>
            <w:vAlign w:val="center"/>
            <w:hideMark/>
          </w:tcPr>
          <w:p w:rsidR="001D17D7" w:rsidRPr="00AB3BBB" w:rsidRDefault="001D17D7" w:rsidP="00695900">
            <w:pPr>
              <w:spacing w:line="240" w:lineRule="auto"/>
              <w:jc w:val="right"/>
              <w:rPr>
                <w:rFonts w:ascii="Times New Roman" w:eastAsia="Times New Roman" w:hAnsi="Times New Roman"/>
                <w:color w:val="000000"/>
                <w:lang w:eastAsia="fr-FR"/>
              </w:rPr>
            </w:pP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37,5</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35,2</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CE79B0"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36,2</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F35B8A"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3,8</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4,6</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5</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2,7</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2,6</w:t>
            </w:r>
          </w:p>
        </w:tc>
        <w:tc>
          <w:tcPr>
            <w:tcW w:w="620" w:type="dxa"/>
            <w:tcBorders>
              <w:top w:val="single" w:sz="4" w:space="0" w:color="000000" w:themeColor="text1"/>
              <w:bottom w:val="double" w:sz="4" w:space="0" w:color="auto"/>
            </w:tcBorders>
            <w:shd w:val="clear" w:color="auto" w:fill="DAEEF3" w:themeFill="accent5" w:themeFillTint="33"/>
            <w:noWrap/>
            <w:vAlign w:val="center"/>
            <w:hideMark/>
          </w:tcPr>
          <w:p w:rsidR="007C3F41"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3,5</w:t>
            </w:r>
          </w:p>
        </w:tc>
        <w:tc>
          <w:tcPr>
            <w:tcW w:w="1087" w:type="dxa"/>
            <w:tcBorders>
              <w:top w:val="single" w:sz="4" w:space="0" w:color="000000" w:themeColor="text1"/>
              <w:bottom w:val="double" w:sz="4" w:space="0" w:color="auto"/>
            </w:tcBorders>
            <w:shd w:val="clear" w:color="auto" w:fill="DAEEF3" w:themeFill="accent5" w:themeFillTint="33"/>
            <w:vAlign w:val="center"/>
            <w:hideMark/>
          </w:tcPr>
          <w:p w:rsidR="007C3F41" w:rsidRPr="00AB3BBB" w:rsidRDefault="001064B7" w:rsidP="00695900">
            <w:pPr>
              <w:spacing w:line="240" w:lineRule="auto"/>
              <w:jc w:val="right"/>
              <w:rPr>
                <w:rFonts w:ascii="Times New Roman" w:eastAsia="Times New Roman" w:hAnsi="Times New Roman"/>
                <w:b/>
                <w:bCs/>
                <w:color w:val="000000"/>
                <w:lang w:eastAsia="fr-FR"/>
              </w:rPr>
            </w:pPr>
            <w:r w:rsidRPr="00AB3BBB">
              <w:rPr>
                <w:rFonts w:ascii="Times New Roman" w:eastAsia="Times New Roman" w:hAnsi="Times New Roman"/>
                <w:b/>
                <w:bCs/>
                <w:color w:val="000000"/>
                <w:lang w:eastAsia="fr-FR"/>
              </w:rPr>
              <w:t>3,92</w:t>
            </w:r>
          </w:p>
        </w:tc>
      </w:tr>
      <w:tr w:rsidR="00695900" w:rsidRPr="00695900" w:rsidTr="00F55B57">
        <w:trPr>
          <w:trHeight w:val="340"/>
          <w:jc w:val="center"/>
        </w:trPr>
        <w:tc>
          <w:tcPr>
            <w:tcW w:w="15363" w:type="dxa"/>
            <w:gridSpan w:val="17"/>
            <w:tcBorders>
              <w:top w:val="double" w:sz="4" w:space="0" w:color="auto"/>
            </w:tcBorders>
            <w:shd w:val="clear" w:color="auto" w:fill="DAEEF3" w:themeFill="accent5" w:themeFillTint="33"/>
            <w:noWrap/>
            <w:hideMark/>
          </w:tcPr>
          <w:p w:rsidR="00695900" w:rsidRPr="00695900" w:rsidRDefault="00695900" w:rsidP="00695900">
            <w:pPr>
              <w:spacing w:line="240" w:lineRule="auto"/>
              <w:jc w:val="left"/>
              <w:rPr>
                <w:rFonts w:ascii="Times New Roman" w:eastAsia="Times New Roman" w:hAnsi="Times New Roman"/>
                <w:b/>
                <w:bCs/>
                <w:color w:val="000000"/>
                <w:sz w:val="20"/>
                <w:szCs w:val="20"/>
                <w:lang w:eastAsia="fr-FR"/>
              </w:rPr>
            </w:pPr>
            <w:r w:rsidRPr="00695900">
              <w:rPr>
                <w:rFonts w:ascii="Times New Roman" w:eastAsia="Times New Roman" w:hAnsi="Times New Roman"/>
                <w:color w:val="000000"/>
                <w:sz w:val="20"/>
                <w:szCs w:val="20"/>
                <w:lang w:eastAsia="fr-FR"/>
              </w:rPr>
              <w:t>Source : INSAE, 2013</w:t>
            </w:r>
          </w:p>
        </w:tc>
      </w:tr>
    </w:tbl>
    <w:p w:rsidR="00324B2E" w:rsidRPr="007B5CE5" w:rsidRDefault="00324B2E" w:rsidP="00324B2E">
      <w:pPr>
        <w:tabs>
          <w:tab w:val="left" w:pos="3544"/>
          <w:tab w:val="left" w:pos="5387"/>
          <w:tab w:val="left" w:pos="6747"/>
          <w:tab w:val="left" w:pos="8080"/>
        </w:tabs>
        <w:spacing w:line="240" w:lineRule="auto"/>
        <w:jc w:val="left"/>
        <w:rPr>
          <w:rFonts w:ascii="Times New Roman" w:eastAsia="Times New Roman" w:hAnsi="Times New Roman"/>
          <w:color w:val="000000"/>
          <w:sz w:val="18"/>
          <w:szCs w:val="18"/>
          <w:lang w:eastAsia="fr-FR"/>
        </w:rPr>
      </w:pPr>
      <w:r w:rsidRPr="007B5CE5">
        <w:rPr>
          <w:rFonts w:ascii="Times New Roman" w:eastAsia="Times New Roman" w:hAnsi="Times New Roman"/>
          <w:color w:val="000000"/>
          <w:sz w:val="18"/>
          <w:szCs w:val="18"/>
          <w:lang w:eastAsia="fr-FR"/>
        </w:rPr>
        <w:tab/>
      </w:r>
      <w:r w:rsidRPr="007B5CE5">
        <w:rPr>
          <w:rFonts w:ascii="Times New Roman" w:eastAsia="Times New Roman" w:hAnsi="Times New Roman"/>
          <w:color w:val="000000"/>
          <w:sz w:val="18"/>
          <w:szCs w:val="18"/>
          <w:lang w:eastAsia="fr-FR"/>
        </w:rPr>
        <w:tab/>
      </w:r>
      <w:r w:rsidRPr="007B5CE5">
        <w:rPr>
          <w:rFonts w:ascii="Times New Roman" w:eastAsia="Times New Roman" w:hAnsi="Times New Roman"/>
          <w:color w:val="000000"/>
          <w:sz w:val="18"/>
          <w:szCs w:val="18"/>
          <w:lang w:eastAsia="fr-FR"/>
        </w:rPr>
        <w:tab/>
      </w:r>
      <w:r w:rsidRPr="007B5CE5">
        <w:rPr>
          <w:rFonts w:ascii="Times New Roman" w:eastAsia="Times New Roman" w:hAnsi="Times New Roman"/>
          <w:color w:val="000000"/>
          <w:sz w:val="18"/>
          <w:szCs w:val="18"/>
          <w:lang w:eastAsia="fr-FR"/>
        </w:rPr>
        <w:tab/>
      </w:r>
    </w:p>
    <w:p w:rsidR="00324B2E" w:rsidRDefault="00324B2E" w:rsidP="00324B2E">
      <w:pPr>
        <w:spacing w:line="276" w:lineRule="auto"/>
        <w:rPr>
          <w:rFonts w:ascii="Times New Roman" w:hAnsi="Times New Roman"/>
          <w:b/>
          <w:sz w:val="24"/>
          <w:szCs w:val="24"/>
        </w:rPr>
      </w:pPr>
    </w:p>
    <w:p w:rsidR="00324B2E" w:rsidRDefault="00324B2E" w:rsidP="00324B2E">
      <w:pPr>
        <w:spacing w:line="276" w:lineRule="auto"/>
        <w:rPr>
          <w:rFonts w:ascii="Times New Roman" w:hAnsi="Times New Roman"/>
          <w:b/>
          <w:sz w:val="24"/>
          <w:szCs w:val="24"/>
        </w:rPr>
      </w:pPr>
    </w:p>
    <w:p w:rsidR="00324B2E" w:rsidRDefault="00324B2E" w:rsidP="00324B2E">
      <w:pPr>
        <w:spacing w:line="276" w:lineRule="auto"/>
        <w:rPr>
          <w:rFonts w:ascii="Times New Roman" w:hAnsi="Times New Roman"/>
          <w:b/>
          <w:sz w:val="24"/>
          <w:szCs w:val="24"/>
        </w:rPr>
      </w:pPr>
    </w:p>
    <w:p w:rsidR="00324B2E" w:rsidRDefault="00324B2E" w:rsidP="00324B2E">
      <w:pPr>
        <w:spacing w:line="276" w:lineRule="auto"/>
        <w:rPr>
          <w:rFonts w:ascii="Times New Roman" w:hAnsi="Times New Roman"/>
          <w:b/>
          <w:sz w:val="24"/>
          <w:szCs w:val="24"/>
        </w:rPr>
        <w:sectPr w:rsidR="00324B2E" w:rsidSect="001B4547">
          <w:pgSz w:w="16838" w:h="11906" w:orient="landscape"/>
          <w:pgMar w:top="1417" w:right="1417" w:bottom="1417" w:left="1417" w:header="284" w:footer="708" w:gutter="0"/>
          <w:cols w:space="708"/>
          <w:docGrid w:linePitch="360"/>
        </w:sectPr>
      </w:pPr>
    </w:p>
    <w:p w:rsidR="00324B2E" w:rsidRPr="005F2C3C" w:rsidRDefault="00324B2E" w:rsidP="00930D19">
      <w:pPr>
        <w:numPr>
          <w:ilvl w:val="0"/>
          <w:numId w:val="15"/>
        </w:numPr>
        <w:spacing w:line="276" w:lineRule="auto"/>
        <w:rPr>
          <w:rFonts w:ascii="Times New Roman" w:hAnsi="Times New Roman"/>
          <w:b/>
          <w:sz w:val="24"/>
          <w:szCs w:val="24"/>
        </w:rPr>
      </w:pPr>
      <w:r w:rsidRPr="005F2C3C">
        <w:rPr>
          <w:rFonts w:ascii="Times New Roman" w:hAnsi="Times New Roman"/>
          <w:b/>
          <w:sz w:val="24"/>
          <w:szCs w:val="24"/>
        </w:rPr>
        <w:t>Pôle coton-textile </w:t>
      </w:r>
    </w:p>
    <w:p w:rsidR="00324B2E" w:rsidRDefault="00324B2E" w:rsidP="00324B2E">
      <w:pPr>
        <w:spacing w:line="276" w:lineRule="auto"/>
        <w:rPr>
          <w:rFonts w:ascii="Times New Roman" w:hAnsi="Times New Roman"/>
          <w:b/>
          <w:sz w:val="24"/>
          <w:szCs w:val="24"/>
        </w:rPr>
      </w:pPr>
    </w:p>
    <w:p w:rsidR="00324B2E" w:rsidRPr="00521974" w:rsidRDefault="00324B2E" w:rsidP="00324B2E">
      <w:pPr>
        <w:spacing w:line="276" w:lineRule="auto"/>
        <w:rPr>
          <w:rFonts w:ascii="Times New Roman" w:hAnsi="Times New Roman"/>
          <w:sz w:val="24"/>
          <w:szCs w:val="24"/>
        </w:rPr>
      </w:pPr>
      <w:r w:rsidRPr="00956A7F">
        <w:rPr>
          <w:rFonts w:ascii="Times New Roman" w:hAnsi="Times New Roman"/>
          <w:b/>
          <w:sz w:val="24"/>
          <w:szCs w:val="24"/>
        </w:rPr>
        <w:t>La valeur ajoutée de ce pôle représente en moyenne 3,5% du PIB sur la période</w:t>
      </w:r>
      <w:r w:rsidRPr="00521974">
        <w:rPr>
          <w:rFonts w:ascii="Times New Roman" w:hAnsi="Times New Roman"/>
          <w:sz w:val="24"/>
          <w:szCs w:val="24"/>
        </w:rPr>
        <w:t>.</w:t>
      </w:r>
      <w:r w:rsidR="00515978">
        <w:rPr>
          <w:rFonts w:ascii="Times New Roman" w:hAnsi="Times New Roman"/>
          <w:sz w:val="24"/>
          <w:szCs w:val="24"/>
        </w:rPr>
        <w:t xml:space="preserve"> </w:t>
      </w:r>
      <w:r w:rsidRPr="00521974">
        <w:rPr>
          <w:rFonts w:ascii="Times New Roman" w:hAnsi="Times New Roman"/>
          <w:sz w:val="24"/>
          <w:szCs w:val="24"/>
        </w:rPr>
        <w:t>De 2006 à 2011, les exportations du coton représentent 34,5% des exportations officielles de biens du pays. C’est le premier produit d’exportation nationale du Bénin. En dehors des réexportations officielles</w:t>
      </w:r>
      <w:r>
        <w:rPr>
          <w:rFonts w:ascii="Times New Roman" w:hAnsi="Times New Roman"/>
          <w:sz w:val="24"/>
          <w:szCs w:val="24"/>
        </w:rPr>
        <w:t>,</w:t>
      </w:r>
      <w:r w:rsidRPr="00521974">
        <w:rPr>
          <w:rFonts w:ascii="Times New Roman" w:hAnsi="Times New Roman"/>
          <w:sz w:val="24"/>
          <w:szCs w:val="24"/>
        </w:rPr>
        <w:t xml:space="preserve"> cette moyenne est de 72 %. </w:t>
      </w:r>
    </w:p>
    <w:p w:rsidR="00324B2E" w:rsidRDefault="00324B2E" w:rsidP="00324B2E">
      <w:pPr>
        <w:spacing w:line="276" w:lineRule="auto"/>
        <w:rPr>
          <w:rFonts w:ascii="Times New Roman" w:hAnsi="Times New Roman"/>
          <w:sz w:val="24"/>
          <w:szCs w:val="24"/>
        </w:rPr>
      </w:pPr>
    </w:p>
    <w:p w:rsidR="00324B2E" w:rsidRDefault="00324B2E" w:rsidP="00324B2E">
      <w:pPr>
        <w:spacing w:line="276" w:lineRule="auto"/>
        <w:rPr>
          <w:rFonts w:ascii="Times New Roman" w:hAnsi="Times New Roman"/>
          <w:sz w:val="24"/>
          <w:szCs w:val="24"/>
        </w:rPr>
      </w:pPr>
      <w:r>
        <w:rPr>
          <w:rFonts w:ascii="Times New Roman" w:hAnsi="Times New Roman"/>
          <w:sz w:val="24"/>
          <w:szCs w:val="24"/>
        </w:rPr>
        <w:t>Ce pôle</w:t>
      </w:r>
      <w:r w:rsidRPr="00521974">
        <w:rPr>
          <w:rFonts w:ascii="Times New Roman" w:hAnsi="Times New Roman"/>
          <w:sz w:val="24"/>
          <w:szCs w:val="24"/>
        </w:rPr>
        <w:t xml:space="preserve"> est organisé autour de sa production et ses transformations. </w:t>
      </w:r>
      <w:r>
        <w:rPr>
          <w:rFonts w:ascii="Times New Roman" w:hAnsi="Times New Roman"/>
          <w:sz w:val="24"/>
          <w:szCs w:val="24"/>
        </w:rPr>
        <w:t xml:space="preserve">Il comprend </w:t>
      </w:r>
      <w:r w:rsidRPr="00521974">
        <w:rPr>
          <w:rFonts w:ascii="Times New Roman" w:hAnsi="Times New Roman"/>
          <w:sz w:val="24"/>
          <w:szCs w:val="24"/>
        </w:rPr>
        <w:t>les branches telles que culture de coton graine</w:t>
      </w:r>
      <w:r>
        <w:rPr>
          <w:rFonts w:ascii="Times New Roman" w:hAnsi="Times New Roman"/>
          <w:sz w:val="24"/>
          <w:szCs w:val="24"/>
        </w:rPr>
        <w:t xml:space="preserve"> qui en est l’élément central</w:t>
      </w:r>
      <w:r w:rsidRPr="00521974">
        <w:rPr>
          <w:rFonts w:ascii="Times New Roman" w:hAnsi="Times New Roman"/>
          <w:sz w:val="24"/>
          <w:szCs w:val="24"/>
        </w:rPr>
        <w:t xml:space="preserve">, égrenage de coton, fabrications de textiles, fabrication d’huiles. </w:t>
      </w:r>
      <w:r>
        <w:rPr>
          <w:rFonts w:ascii="Times New Roman" w:hAnsi="Times New Roman"/>
          <w:sz w:val="24"/>
          <w:szCs w:val="24"/>
        </w:rPr>
        <w:t xml:space="preserve">Il convient de noter que dans l’analyse de la contribution de ces secteurs d’activité à la pauvreté nationale, c’est l’activité principale qui a été considérée, ce qui ne met pas en pas exergue les ménages agricoles faisant à la fois du coton et d’autres cultures agricoles. Mais comme il est très probable qu’un nombre relativement important de ménages spécialisés dans la culture vivrière ait comme activité secondaire la production de coton graine, alors cette analyse pourrait biaiser l’appréciation de la contribution réelle des ménages producteurs de coton à la pauvreté nationale. </w:t>
      </w:r>
    </w:p>
    <w:p w:rsidR="00324B2E" w:rsidRDefault="00324B2E" w:rsidP="00324B2E">
      <w:pPr>
        <w:spacing w:line="276" w:lineRule="auto"/>
        <w:rPr>
          <w:rFonts w:ascii="Times New Roman" w:hAnsi="Times New Roman"/>
          <w:sz w:val="24"/>
          <w:szCs w:val="24"/>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 xml:space="preserve">La contribution de ce pôle à la croissance a été en moyenne négative sur la période (-0,12 points). Et comme le </w:t>
      </w:r>
      <w:r>
        <w:rPr>
          <w:rFonts w:ascii="Times New Roman" w:hAnsi="Times New Roman"/>
          <w:sz w:val="24"/>
          <w:szCs w:val="24"/>
        </w:rPr>
        <w:t xml:space="preserve">montre le </w:t>
      </w:r>
      <w:r w:rsidRPr="00521974">
        <w:rPr>
          <w:rFonts w:ascii="Times New Roman" w:hAnsi="Times New Roman"/>
          <w:sz w:val="24"/>
          <w:szCs w:val="24"/>
        </w:rPr>
        <w:t>graphique ci-</w:t>
      </w:r>
      <w:r w:rsidR="00BE7678">
        <w:rPr>
          <w:rFonts w:ascii="Times New Roman" w:hAnsi="Times New Roman"/>
          <w:sz w:val="24"/>
          <w:szCs w:val="24"/>
        </w:rPr>
        <w:t>après,</w:t>
      </w:r>
      <w:r w:rsidRPr="00521974">
        <w:rPr>
          <w:rFonts w:ascii="Times New Roman" w:hAnsi="Times New Roman"/>
          <w:sz w:val="24"/>
          <w:szCs w:val="24"/>
        </w:rPr>
        <w:t xml:space="preserve"> le coton béninois a connu des jours sombres entre 2006 et 2010 avant d’amorcer une reprise en 2011</w:t>
      </w:r>
      <w:r>
        <w:rPr>
          <w:rFonts w:ascii="Times New Roman" w:hAnsi="Times New Roman"/>
          <w:sz w:val="24"/>
          <w:szCs w:val="24"/>
        </w:rPr>
        <w:t>. Le taux de croissance est passé de 10,7% en 2007 à -11,6% en 2008 puis à -16,4% en 2009.</w:t>
      </w:r>
    </w:p>
    <w:p w:rsidR="00324B2E" w:rsidRDefault="00324B2E" w:rsidP="00324B2E">
      <w:pPr>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9"/>
      </w:tblGrid>
      <w:tr w:rsidR="001628E7" w:rsidTr="0069078F">
        <w:trPr>
          <w:trHeight w:val="378"/>
        </w:trPr>
        <w:tc>
          <w:tcPr>
            <w:tcW w:w="4524" w:type="dxa"/>
            <w:shd w:val="clear" w:color="auto" w:fill="92CDDC" w:themeFill="accent5" w:themeFillTint="99"/>
          </w:tcPr>
          <w:p w:rsidR="001628E7" w:rsidRPr="001628E7" w:rsidRDefault="001628E7" w:rsidP="0069078F">
            <w:pPr>
              <w:spacing w:line="240" w:lineRule="auto"/>
              <w:ind w:left="-57"/>
              <w:jc w:val="left"/>
              <w:rPr>
                <w:rFonts w:ascii="Times New Roman" w:hAnsi="Times New Roman"/>
                <w:noProof/>
                <w:sz w:val="24"/>
                <w:szCs w:val="24"/>
                <w:lang w:eastAsia="fr-FR"/>
              </w:rPr>
            </w:pPr>
            <w:bookmarkStart w:id="77" w:name="_Toc382043045"/>
            <w:r w:rsidRPr="001628E7">
              <w:rPr>
                <w:rFonts w:ascii="Times New Roman" w:hAnsi="Times New Roman"/>
                <w:sz w:val="24"/>
                <w:szCs w:val="24"/>
              </w:rPr>
              <w:t>Graphique 2.</w:t>
            </w:r>
            <w:r w:rsidR="00182C97" w:rsidRPr="001628E7">
              <w:rPr>
                <w:rFonts w:ascii="Times New Roman" w:hAnsi="Times New Roman"/>
                <w:sz w:val="24"/>
                <w:szCs w:val="24"/>
              </w:rPr>
              <w:fldChar w:fldCharType="begin"/>
            </w:r>
            <w:r w:rsidRPr="001628E7">
              <w:rPr>
                <w:rFonts w:ascii="Times New Roman" w:hAnsi="Times New Roman"/>
                <w:sz w:val="24"/>
                <w:szCs w:val="24"/>
              </w:rPr>
              <w:instrText xml:space="preserve"> SEQ Graphique_3. \* ARABIC </w:instrText>
            </w:r>
            <w:r w:rsidR="00182C97" w:rsidRPr="001628E7">
              <w:rPr>
                <w:rFonts w:ascii="Times New Roman" w:hAnsi="Times New Roman"/>
                <w:sz w:val="24"/>
                <w:szCs w:val="24"/>
              </w:rPr>
              <w:fldChar w:fldCharType="separate"/>
            </w:r>
            <w:r w:rsidR="00AB1967">
              <w:rPr>
                <w:rFonts w:ascii="Times New Roman" w:hAnsi="Times New Roman"/>
                <w:noProof/>
                <w:sz w:val="24"/>
                <w:szCs w:val="24"/>
              </w:rPr>
              <w:t>3</w:t>
            </w:r>
            <w:r w:rsidR="00182C97" w:rsidRPr="001628E7">
              <w:rPr>
                <w:rFonts w:ascii="Times New Roman" w:hAnsi="Times New Roman"/>
                <w:sz w:val="24"/>
                <w:szCs w:val="24"/>
              </w:rPr>
              <w:fldChar w:fldCharType="end"/>
            </w:r>
            <w:r w:rsidRPr="001628E7">
              <w:rPr>
                <w:rFonts w:ascii="Times New Roman" w:hAnsi="Times New Roman"/>
                <w:sz w:val="24"/>
                <w:szCs w:val="24"/>
              </w:rPr>
              <w:t>: Évolution de la contribution du pôle coton textile au PIB</w:t>
            </w:r>
            <w:bookmarkEnd w:id="77"/>
          </w:p>
        </w:tc>
      </w:tr>
      <w:tr w:rsidR="00695900" w:rsidTr="001628E7">
        <w:tc>
          <w:tcPr>
            <w:tcW w:w="4524" w:type="dxa"/>
            <w:shd w:val="clear" w:color="auto" w:fill="DAEEF3" w:themeFill="accent5" w:themeFillTint="33"/>
          </w:tcPr>
          <w:p w:rsidR="00695900" w:rsidRDefault="00695900" w:rsidP="00394FEA">
            <w:pPr>
              <w:spacing w:before="120" w:after="120" w:line="240" w:lineRule="auto"/>
              <w:ind w:left="-57"/>
              <w:jc w:val="center"/>
            </w:pPr>
            <w:r w:rsidRPr="002F055A">
              <w:rPr>
                <w:noProof/>
                <w:lang w:eastAsia="fr-FR"/>
              </w:rPr>
              <w:drawing>
                <wp:inline distT="0" distB="0" distL="0" distR="0" wp14:anchorId="40DB8A98" wp14:editId="4160C023">
                  <wp:extent cx="5687269" cy="2981823"/>
                  <wp:effectExtent l="19050" t="0" r="27731" b="9027"/>
                  <wp:docPr id="44"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r w:rsidR="00695900" w:rsidRPr="00E16B3C" w:rsidTr="001628E7">
        <w:tc>
          <w:tcPr>
            <w:tcW w:w="4524" w:type="dxa"/>
            <w:shd w:val="clear" w:color="auto" w:fill="DAEEF3" w:themeFill="accent5" w:themeFillTint="33"/>
          </w:tcPr>
          <w:p w:rsidR="00695900" w:rsidRPr="00E16B3C" w:rsidRDefault="00695900" w:rsidP="00394FE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2013</w:t>
            </w:r>
          </w:p>
        </w:tc>
      </w:tr>
    </w:tbl>
    <w:p w:rsidR="00695900" w:rsidRPr="002F055A" w:rsidRDefault="00695900" w:rsidP="00695900"/>
    <w:p w:rsidR="00695900" w:rsidRDefault="00695900" w:rsidP="00695900"/>
    <w:p w:rsidR="00695900" w:rsidRPr="00695900" w:rsidRDefault="00695900" w:rsidP="00695900"/>
    <w:p w:rsidR="00324B2E" w:rsidRPr="00521974" w:rsidRDefault="00324B2E" w:rsidP="00324B2E">
      <w:pPr>
        <w:rPr>
          <w:rFonts w:ascii="Times New Roman" w:hAnsi="Times New Roman"/>
          <w:sz w:val="24"/>
          <w:szCs w:val="24"/>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Le coton est un produit très important pour l’économie car sa performance dépend en grande partie de l’offre et moins de la demande. Les débouchés existent pour son exportation et les capacités installé</w:t>
      </w:r>
      <w:r>
        <w:rPr>
          <w:rFonts w:ascii="Times New Roman" w:hAnsi="Times New Roman"/>
          <w:sz w:val="24"/>
          <w:szCs w:val="24"/>
        </w:rPr>
        <w:t>e</w:t>
      </w:r>
      <w:r w:rsidRPr="00521974">
        <w:rPr>
          <w:rFonts w:ascii="Times New Roman" w:hAnsi="Times New Roman"/>
          <w:sz w:val="24"/>
          <w:szCs w:val="24"/>
        </w:rPr>
        <w:t>s pour l’égrenage dépassent de loin le boom de 2004 qui est de 426</w:t>
      </w:r>
      <w:r w:rsidR="00C66B5E">
        <w:rPr>
          <w:rFonts w:ascii="Times New Roman" w:hAnsi="Times New Roman"/>
          <w:sz w:val="24"/>
          <w:szCs w:val="24"/>
        </w:rPr>
        <w:t> </w:t>
      </w:r>
      <w:r w:rsidRPr="00521974">
        <w:rPr>
          <w:rFonts w:ascii="Times New Roman" w:hAnsi="Times New Roman"/>
          <w:sz w:val="24"/>
          <w:szCs w:val="24"/>
        </w:rPr>
        <w:t>275 tonnes.</w:t>
      </w:r>
      <w:r w:rsidR="00515978">
        <w:rPr>
          <w:rFonts w:ascii="Times New Roman" w:hAnsi="Times New Roman"/>
          <w:sz w:val="24"/>
          <w:szCs w:val="24"/>
        </w:rPr>
        <w:t xml:space="preserve"> </w:t>
      </w:r>
      <w:r w:rsidRPr="00254B10">
        <w:rPr>
          <w:rFonts w:ascii="Times New Roman" w:hAnsi="Times New Roman"/>
          <w:sz w:val="24"/>
          <w:szCs w:val="24"/>
        </w:rPr>
        <w:t>Cela montre pourquoi les gouvernements successifs s’occupent de ce produit qui reste très demandé sur le marché international même s’il existe des problèmes liés à sa subvention par certains pays développés qui font abaisser son prix mondial</w:t>
      </w:r>
      <w:r w:rsidRPr="00521974">
        <w:rPr>
          <w:rFonts w:ascii="Times New Roman" w:hAnsi="Times New Roman"/>
          <w:sz w:val="24"/>
          <w:szCs w:val="24"/>
        </w:rPr>
        <w:t>. La filière est en pleine réorganisation et l’Etat fait d’elle son espoir premier pour booster la croissance.</w:t>
      </w:r>
      <w:r>
        <w:rPr>
          <w:rFonts w:ascii="Times New Roman" w:hAnsi="Times New Roman"/>
          <w:sz w:val="24"/>
          <w:szCs w:val="24"/>
        </w:rPr>
        <w:t xml:space="preserve"> Mais du fait des chocs exogènes récurrents auquel il fait face, l’emphase doit être plutôt mise sur la diversification de la production agricole. </w:t>
      </w:r>
    </w:p>
    <w:p w:rsidR="00324B2E" w:rsidRPr="00A343EC" w:rsidRDefault="00324B2E" w:rsidP="00324B2E">
      <w:pPr>
        <w:spacing w:line="276" w:lineRule="auto"/>
        <w:rPr>
          <w:rFonts w:ascii="Times New Roman" w:hAnsi="Times New Roman"/>
          <w:b/>
          <w:sz w:val="12"/>
          <w:szCs w:val="12"/>
        </w:rPr>
      </w:pPr>
    </w:p>
    <w:p w:rsidR="00324B2E" w:rsidRDefault="00324B2E" w:rsidP="00324B2E">
      <w:pPr>
        <w:spacing w:line="276" w:lineRule="auto"/>
        <w:rPr>
          <w:rFonts w:ascii="Times New Roman" w:hAnsi="Times New Roman"/>
          <w:sz w:val="24"/>
          <w:szCs w:val="24"/>
        </w:rPr>
      </w:pPr>
      <w:r w:rsidRPr="00B8618A">
        <w:rPr>
          <w:rFonts w:ascii="Times New Roman" w:hAnsi="Times New Roman"/>
          <w:b/>
          <w:sz w:val="24"/>
          <w:szCs w:val="24"/>
        </w:rPr>
        <w:t>Le pôle coton-textile a occupé 3</w:t>
      </w:r>
      <w:r w:rsidR="002D420D" w:rsidRPr="00B8618A">
        <w:rPr>
          <w:rFonts w:ascii="Times New Roman" w:hAnsi="Times New Roman"/>
          <w:b/>
          <w:sz w:val="24"/>
          <w:szCs w:val="24"/>
        </w:rPr>
        <w:t>,</w:t>
      </w:r>
      <w:r w:rsidR="000B095C">
        <w:rPr>
          <w:rFonts w:ascii="Times New Roman" w:hAnsi="Times New Roman"/>
          <w:b/>
          <w:sz w:val="24"/>
          <w:szCs w:val="24"/>
        </w:rPr>
        <w:t>7</w:t>
      </w:r>
      <w:r w:rsidRPr="00B8618A">
        <w:rPr>
          <w:rFonts w:ascii="Times New Roman" w:hAnsi="Times New Roman"/>
          <w:b/>
          <w:sz w:val="24"/>
          <w:szCs w:val="24"/>
        </w:rPr>
        <w:t xml:space="preserve">% de la population en </w:t>
      </w:r>
      <w:r w:rsidR="000B095C" w:rsidRPr="00B8618A">
        <w:rPr>
          <w:rFonts w:ascii="Times New Roman" w:hAnsi="Times New Roman"/>
          <w:b/>
          <w:sz w:val="24"/>
          <w:szCs w:val="24"/>
        </w:rPr>
        <w:t>20</w:t>
      </w:r>
      <w:r w:rsidR="000B095C">
        <w:rPr>
          <w:rFonts w:ascii="Times New Roman" w:hAnsi="Times New Roman"/>
          <w:b/>
          <w:sz w:val="24"/>
          <w:szCs w:val="24"/>
        </w:rPr>
        <w:t>11</w:t>
      </w:r>
      <w:r w:rsidR="00BE7678">
        <w:rPr>
          <w:rFonts w:ascii="Times New Roman" w:hAnsi="Times New Roman"/>
          <w:b/>
          <w:sz w:val="24"/>
          <w:szCs w:val="24"/>
        </w:rPr>
        <w:t xml:space="preserve"> </w:t>
      </w:r>
      <w:r w:rsidRPr="00B8618A">
        <w:rPr>
          <w:rFonts w:ascii="Times New Roman" w:hAnsi="Times New Roman"/>
          <w:b/>
          <w:sz w:val="24"/>
          <w:szCs w:val="24"/>
        </w:rPr>
        <w:t>contre</w:t>
      </w:r>
      <w:r w:rsidR="00784AE8">
        <w:rPr>
          <w:rFonts w:ascii="Times New Roman" w:hAnsi="Times New Roman"/>
          <w:b/>
          <w:sz w:val="24"/>
          <w:szCs w:val="24"/>
        </w:rPr>
        <w:t xml:space="preserve"> 3,93 en 2009 et</w:t>
      </w:r>
      <w:r w:rsidRPr="00B8618A">
        <w:rPr>
          <w:rFonts w:ascii="Times New Roman" w:hAnsi="Times New Roman"/>
          <w:b/>
          <w:sz w:val="24"/>
          <w:szCs w:val="24"/>
        </w:rPr>
        <w:t xml:space="preserve"> 4,5% en 2006. </w:t>
      </w:r>
      <w:r w:rsidR="0065451A">
        <w:rPr>
          <w:rFonts w:ascii="Times New Roman" w:hAnsi="Times New Roman"/>
          <w:b/>
          <w:sz w:val="24"/>
          <w:szCs w:val="24"/>
        </w:rPr>
        <w:t>Les individus exerçant dans ce secteur ont</w:t>
      </w:r>
      <w:r w:rsidRPr="00B8618A">
        <w:rPr>
          <w:rFonts w:ascii="Times New Roman" w:hAnsi="Times New Roman"/>
          <w:b/>
          <w:sz w:val="24"/>
          <w:szCs w:val="24"/>
        </w:rPr>
        <w:t xml:space="preserve"> contribué à environ 3,</w:t>
      </w:r>
      <w:r w:rsidR="006812B1">
        <w:rPr>
          <w:rFonts w:ascii="Times New Roman" w:hAnsi="Times New Roman"/>
          <w:b/>
          <w:sz w:val="24"/>
          <w:szCs w:val="24"/>
        </w:rPr>
        <w:t>3</w:t>
      </w:r>
      <w:r w:rsidRPr="00B8618A">
        <w:rPr>
          <w:rFonts w:ascii="Times New Roman" w:hAnsi="Times New Roman"/>
          <w:b/>
          <w:sz w:val="24"/>
          <w:szCs w:val="24"/>
        </w:rPr>
        <w:t>% à la pauvreté nationale en 20</w:t>
      </w:r>
      <w:r w:rsidR="006812B1">
        <w:rPr>
          <w:rFonts w:ascii="Times New Roman" w:hAnsi="Times New Roman"/>
          <w:b/>
          <w:sz w:val="24"/>
          <w:szCs w:val="24"/>
        </w:rPr>
        <w:t>11</w:t>
      </w:r>
      <w:r w:rsidRPr="00B8618A">
        <w:rPr>
          <w:rFonts w:ascii="Times New Roman" w:hAnsi="Times New Roman"/>
          <w:b/>
          <w:sz w:val="24"/>
          <w:szCs w:val="24"/>
        </w:rPr>
        <w:t xml:space="preserve"> contre</w:t>
      </w:r>
      <w:r w:rsidR="006812B1">
        <w:rPr>
          <w:rFonts w:ascii="Times New Roman" w:hAnsi="Times New Roman"/>
          <w:b/>
          <w:sz w:val="24"/>
          <w:szCs w:val="24"/>
        </w:rPr>
        <w:t xml:space="preserve"> 3,7% en 2009</w:t>
      </w:r>
      <w:r w:rsidRPr="00B8618A">
        <w:rPr>
          <w:rFonts w:ascii="Times New Roman" w:hAnsi="Times New Roman"/>
          <w:b/>
          <w:sz w:val="24"/>
          <w:szCs w:val="24"/>
        </w:rPr>
        <w:t xml:space="preserve"> 5,7% en 2006.</w:t>
      </w:r>
      <w:r w:rsidR="00C66B5E">
        <w:rPr>
          <w:rFonts w:ascii="Times New Roman" w:hAnsi="Times New Roman"/>
          <w:b/>
          <w:sz w:val="24"/>
          <w:szCs w:val="24"/>
        </w:rPr>
        <w:t xml:space="preserve"> </w:t>
      </w:r>
      <w:r w:rsidRPr="00B8618A">
        <w:rPr>
          <w:rFonts w:ascii="Times New Roman" w:hAnsi="Times New Roman"/>
          <w:sz w:val="24"/>
          <w:szCs w:val="24"/>
        </w:rPr>
        <w:t xml:space="preserve">Il va sans dire qu’une bonne organisation de ce secteur devrait contribuer à la réduction de la pauvreté. </w:t>
      </w:r>
    </w:p>
    <w:p w:rsidR="00324B2E" w:rsidRPr="00A343EC" w:rsidRDefault="00324B2E" w:rsidP="00324B2E">
      <w:pPr>
        <w:spacing w:line="276" w:lineRule="auto"/>
        <w:rPr>
          <w:rFonts w:ascii="Times New Roman" w:hAnsi="Times New Roman"/>
          <w:sz w:val="12"/>
          <w:szCs w:val="12"/>
        </w:rPr>
      </w:pPr>
    </w:p>
    <w:p w:rsidR="00324B2E" w:rsidRDefault="00324B2E" w:rsidP="00930D19">
      <w:pPr>
        <w:numPr>
          <w:ilvl w:val="0"/>
          <w:numId w:val="16"/>
        </w:numPr>
        <w:spacing w:line="276" w:lineRule="auto"/>
        <w:rPr>
          <w:rFonts w:ascii="Times New Roman" w:hAnsi="Times New Roman"/>
          <w:b/>
          <w:sz w:val="24"/>
          <w:szCs w:val="24"/>
        </w:rPr>
      </w:pPr>
      <w:r w:rsidRPr="00521974">
        <w:rPr>
          <w:rFonts w:ascii="Times New Roman" w:hAnsi="Times New Roman"/>
          <w:b/>
          <w:sz w:val="24"/>
          <w:szCs w:val="24"/>
        </w:rPr>
        <w:t>Pôle commerce et logistique </w:t>
      </w:r>
    </w:p>
    <w:p w:rsidR="00324B2E" w:rsidRPr="00A343EC" w:rsidRDefault="00324B2E" w:rsidP="00A343EC">
      <w:pPr>
        <w:spacing w:line="240" w:lineRule="auto"/>
        <w:rPr>
          <w:rFonts w:ascii="Times New Roman" w:hAnsi="Times New Roman"/>
          <w:b/>
          <w:sz w:val="12"/>
          <w:szCs w:val="12"/>
        </w:rPr>
      </w:pPr>
    </w:p>
    <w:p w:rsidR="00324B2E" w:rsidRDefault="00324B2E" w:rsidP="00324B2E">
      <w:pPr>
        <w:spacing w:line="276" w:lineRule="auto"/>
        <w:rPr>
          <w:rFonts w:ascii="Times New Roman" w:hAnsi="Times New Roman"/>
          <w:sz w:val="24"/>
          <w:szCs w:val="24"/>
        </w:rPr>
      </w:pPr>
      <w:r>
        <w:rPr>
          <w:rFonts w:ascii="Times New Roman" w:hAnsi="Times New Roman"/>
          <w:b/>
          <w:sz w:val="24"/>
          <w:szCs w:val="24"/>
        </w:rPr>
        <w:t>C</w:t>
      </w:r>
      <w:r w:rsidRPr="00676A72">
        <w:rPr>
          <w:rFonts w:ascii="Times New Roman" w:hAnsi="Times New Roman"/>
          <w:b/>
          <w:sz w:val="24"/>
          <w:szCs w:val="24"/>
        </w:rPr>
        <w:t>e pôle représente en moyenne 17,3% du PIB entre 2006 et 2011. Cependant</w:t>
      </w:r>
      <w:r w:rsidR="00BE7678">
        <w:rPr>
          <w:rFonts w:ascii="Times New Roman" w:hAnsi="Times New Roman"/>
          <w:b/>
          <w:sz w:val="24"/>
          <w:szCs w:val="24"/>
        </w:rPr>
        <w:t>,</w:t>
      </w:r>
      <w:r w:rsidRPr="00676A72">
        <w:rPr>
          <w:rFonts w:ascii="Times New Roman" w:hAnsi="Times New Roman"/>
          <w:b/>
          <w:sz w:val="24"/>
          <w:szCs w:val="24"/>
        </w:rPr>
        <w:t xml:space="preserve"> la période n’est pas favorable pour le commerce et la performance de ce pôle est souvent améliorée par les services de télécommunication qui est en nette progression. La contribution à la croissance du pôle est fortement influencée par les activités portuaires qui ont connu d’énormes perturbations sur la période</w:t>
      </w:r>
      <w:r>
        <w:rPr>
          <w:rFonts w:ascii="Times New Roman" w:hAnsi="Times New Roman"/>
          <w:b/>
          <w:sz w:val="24"/>
          <w:szCs w:val="24"/>
        </w:rPr>
        <w:t xml:space="preserve">. </w:t>
      </w:r>
      <w:r w:rsidRPr="00521974">
        <w:rPr>
          <w:rFonts w:ascii="Times New Roman" w:hAnsi="Times New Roman"/>
          <w:sz w:val="24"/>
          <w:szCs w:val="24"/>
        </w:rPr>
        <w:t>Le commerce consiste en la vente en l’état de biens et couvre l'ensemble des transactions entre individus, entre organisations ou entre individus et organisations. En ce qui concerne la logistique, il s’agit de tout ce qui facilite ce commerce dont le transport</w:t>
      </w:r>
      <w:r w:rsidR="00BE7678">
        <w:rPr>
          <w:rFonts w:ascii="Times New Roman" w:hAnsi="Times New Roman"/>
          <w:sz w:val="24"/>
          <w:szCs w:val="24"/>
        </w:rPr>
        <w:t>,</w:t>
      </w:r>
      <w:r w:rsidRPr="00521974">
        <w:rPr>
          <w:rFonts w:ascii="Times New Roman" w:hAnsi="Times New Roman"/>
          <w:sz w:val="24"/>
          <w:szCs w:val="24"/>
        </w:rPr>
        <w:t xml:space="preserve"> etc. Ce pôle, qui comprend cinq composantes à savoir le transport de marchandises, le transport de personnes, les services logistiques, le commerce régional et le négoce international, est l’un des domaines dans le</w:t>
      </w:r>
      <w:r w:rsidR="00BE7678">
        <w:rPr>
          <w:rFonts w:ascii="Times New Roman" w:hAnsi="Times New Roman"/>
          <w:sz w:val="24"/>
          <w:szCs w:val="24"/>
        </w:rPr>
        <w:t>s</w:t>
      </w:r>
      <w:r w:rsidRPr="00521974">
        <w:rPr>
          <w:rFonts w:ascii="Times New Roman" w:hAnsi="Times New Roman"/>
          <w:sz w:val="24"/>
          <w:szCs w:val="24"/>
        </w:rPr>
        <w:t>quel</w:t>
      </w:r>
      <w:r w:rsidR="00BE7678">
        <w:rPr>
          <w:rFonts w:ascii="Times New Roman" w:hAnsi="Times New Roman"/>
          <w:sz w:val="24"/>
          <w:szCs w:val="24"/>
        </w:rPr>
        <w:t>s</w:t>
      </w:r>
      <w:r w:rsidRPr="00521974">
        <w:rPr>
          <w:rFonts w:ascii="Times New Roman" w:hAnsi="Times New Roman"/>
          <w:sz w:val="24"/>
          <w:szCs w:val="24"/>
        </w:rPr>
        <w:t xml:space="preserve"> le pays dispose du maximum d’atouts. </w:t>
      </w:r>
      <w:r>
        <w:rPr>
          <w:rFonts w:ascii="Times New Roman" w:hAnsi="Times New Roman"/>
          <w:sz w:val="24"/>
          <w:szCs w:val="24"/>
        </w:rPr>
        <w:t>L</w:t>
      </w:r>
      <w:r w:rsidRPr="00521974">
        <w:rPr>
          <w:rFonts w:ascii="Times New Roman" w:hAnsi="Times New Roman"/>
          <w:sz w:val="24"/>
          <w:szCs w:val="24"/>
        </w:rPr>
        <w:t>es résultats du deuxième recensement général des entreprises de 2008 organisé par l’INSAE, montrent qu’il existe au Bénin 43,2% d’entreprises commerciales,</w:t>
      </w:r>
      <w:r>
        <w:rPr>
          <w:rFonts w:ascii="Times New Roman" w:hAnsi="Times New Roman"/>
          <w:sz w:val="24"/>
          <w:szCs w:val="24"/>
        </w:rPr>
        <w:t xml:space="preserve"> confirma</w:t>
      </w:r>
      <w:r w:rsidRPr="00521974">
        <w:rPr>
          <w:rFonts w:ascii="Times New Roman" w:hAnsi="Times New Roman"/>
          <w:sz w:val="24"/>
          <w:szCs w:val="24"/>
        </w:rPr>
        <w:t xml:space="preserve">nt </w:t>
      </w:r>
      <w:r>
        <w:rPr>
          <w:rFonts w:ascii="Times New Roman" w:hAnsi="Times New Roman"/>
          <w:sz w:val="24"/>
          <w:szCs w:val="24"/>
        </w:rPr>
        <w:t xml:space="preserve">ainsi </w:t>
      </w:r>
      <w:r w:rsidRPr="00521974">
        <w:rPr>
          <w:rFonts w:ascii="Times New Roman" w:hAnsi="Times New Roman"/>
          <w:sz w:val="24"/>
          <w:szCs w:val="24"/>
        </w:rPr>
        <w:t>la place de ce service dans l’économie béninoise. L’importance de ce pôle vient aussi de la position géographique du Bénin qui est limitrophe avec le Nigéria (septième population du monde) et un accès à la mer pour ses pays limitrophes de l’hinterland.</w:t>
      </w:r>
    </w:p>
    <w:p w:rsidR="00324B2E" w:rsidRPr="00A343EC"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Pr>
          <w:rFonts w:ascii="Times New Roman" w:hAnsi="Times New Roman"/>
          <w:sz w:val="24"/>
          <w:szCs w:val="24"/>
        </w:rPr>
        <w:t>L</w:t>
      </w:r>
      <w:r w:rsidRPr="00521974">
        <w:rPr>
          <w:rFonts w:ascii="Times New Roman" w:hAnsi="Times New Roman"/>
          <w:sz w:val="24"/>
          <w:szCs w:val="24"/>
        </w:rPr>
        <w:t>a dynamique de ce pôle est déterminée par deux volets importants : les trafics portuaires et les services</w:t>
      </w:r>
      <w:r>
        <w:rPr>
          <w:rFonts w:ascii="Times New Roman" w:hAnsi="Times New Roman"/>
          <w:sz w:val="24"/>
          <w:szCs w:val="24"/>
        </w:rPr>
        <w:t xml:space="preserve"> de</w:t>
      </w:r>
      <w:r w:rsidRPr="00521974">
        <w:rPr>
          <w:rFonts w:ascii="Times New Roman" w:hAnsi="Times New Roman"/>
          <w:sz w:val="24"/>
          <w:szCs w:val="24"/>
        </w:rPr>
        <w:t xml:space="preserve"> télécommunication. En 2007, le climat tendu entre les opérateurs de GSM et le </w:t>
      </w:r>
      <w:r w:rsidR="00BE7678">
        <w:rPr>
          <w:rFonts w:ascii="Times New Roman" w:hAnsi="Times New Roman"/>
          <w:sz w:val="24"/>
          <w:szCs w:val="24"/>
        </w:rPr>
        <w:t>G</w:t>
      </w:r>
      <w:r w:rsidR="00BE7678" w:rsidRPr="00521974">
        <w:rPr>
          <w:rFonts w:ascii="Times New Roman" w:hAnsi="Times New Roman"/>
          <w:sz w:val="24"/>
          <w:szCs w:val="24"/>
        </w:rPr>
        <w:t xml:space="preserve">ouvernement </w:t>
      </w:r>
      <w:r w:rsidRPr="00521974">
        <w:rPr>
          <w:rFonts w:ascii="Times New Roman" w:hAnsi="Times New Roman"/>
          <w:sz w:val="24"/>
          <w:szCs w:val="24"/>
        </w:rPr>
        <w:t>en raison des coûts des licences a négativement affecté ce pôle de même que toutes les difficultés engendrées par les mises en œuvre des réformes dans le secteur portuaire. Ce pôle reste néanmoins l’un des plus importants pouvant apporter au Bénin plus que les 1,2 points de croissance obtenus en 2008.</w:t>
      </w:r>
    </w:p>
    <w:p w:rsidR="00324B2E" w:rsidRPr="00A343EC"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En 2008, ce pôle a contribué à 1,2 point à la croissance du PIB, malgré la crise financière internationale. Ce résultat qui laisse penser à une certaine robustesse de l’économie béninoise est une situation d’ensemble pour les pays d’Afrique subsaharienne qui n’ont pas été touché</w:t>
      </w:r>
      <w:r w:rsidR="00BE7678">
        <w:rPr>
          <w:rFonts w:ascii="Times New Roman" w:hAnsi="Times New Roman"/>
          <w:sz w:val="24"/>
          <w:szCs w:val="24"/>
        </w:rPr>
        <w:t>s</w:t>
      </w:r>
      <w:r w:rsidRPr="00521974">
        <w:rPr>
          <w:rFonts w:ascii="Times New Roman" w:hAnsi="Times New Roman"/>
          <w:sz w:val="24"/>
          <w:szCs w:val="24"/>
        </w:rPr>
        <w:t xml:space="preserve"> par la crise financière mondiale </w:t>
      </w:r>
      <w:r w:rsidR="00BB30CC">
        <w:rPr>
          <w:rFonts w:ascii="Times New Roman" w:hAnsi="Times New Roman"/>
          <w:sz w:val="24"/>
          <w:szCs w:val="24"/>
        </w:rPr>
        <w:t>en raison de leur absence sur</w:t>
      </w:r>
      <w:r w:rsidRPr="00521974">
        <w:rPr>
          <w:rFonts w:ascii="Times New Roman" w:hAnsi="Times New Roman"/>
          <w:sz w:val="24"/>
          <w:szCs w:val="24"/>
        </w:rPr>
        <w:t xml:space="preserve"> les marchés financiers internationaux (excepté</w:t>
      </w:r>
      <w:r w:rsidR="00BE7678">
        <w:rPr>
          <w:rFonts w:ascii="Times New Roman" w:hAnsi="Times New Roman"/>
          <w:sz w:val="24"/>
          <w:szCs w:val="24"/>
        </w:rPr>
        <w:t>e</w:t>
      </w:r>
      <w:r w:rsidRPr="00521974">
        <w:rPr>
          <w:rFonts w:ascii="Times New Roman" w:hAnsi="Times New Roman"/>
          <w:sz w:val="24"/>
          <w:szCs w:val="24"/>
        </w:rPr>
        <w:t xml:space="preserve"> l’Afrique du Sud). Mais en 2009, le pays a ressenti les effets retour de la crise financière qui s’est muée en une crise économique caractérisé</w:t>
      </w:r>
      <w:r>
        <w:rPr>
          <w:rFonts w:ascii="Times New Roman" w:hAnsi="Times New Roman"/>
          <w:sz w:val="24"/>
          <w:szCs w:val="24"/>
        </w:rPr>
        <w:t>e</w:t>
      </w:r>
      <w:r w:rsidRPr="00521974">
        <w:rPr>
          <w:rFonts w:ascii="Times New Roman" w:hAnsi="Times New Roman"/>
          <w:sz w:val="24"/>
          <w:szCs w:val="24"/>
        </w:rPr>
        <w:t xml:space="preserve"> par la baisse de la demande mondiale. Le trafic portuaire en est négativement affecté. Les importations ont connu une contraction de leur rythme d’évolution et ont négativement affecté la branche du commerce formel. Le commerce informel est de son côté affecté négativement en 2009 par la baisse de la production agricole et de la production industrielle. Le boom dans la téléphonie mobile explique la hausse constatée dans la branche logistique avec la venue d’un nouvel opérateur sur le marché en 2008 dont l’activité s’est considérablement consolidée en 2009. Les mauvaises performances du trafic portuaire se sont poursuivies jusqu’en 2010 avec son effet négatif sur le commerce. Le commerce informel subira les contrecoups climatiques qui ont frappé le secteur primaire enregistrant une baisse considérable dans cette branche qui prenait son envol.</w:t>
      </w:r>
    </w:p>
    <w:p w:rsidR="00324B2E" w:rsidRPr="00A343EC" w:rsidRDefault="00324B2E" w:rsidP="00324B2E">
      <w:pPr>
        <w:spacing w:line="276" w:lineRule="auto"/>
        <w:rPr>
          <w:rFonts w:ascii="Times New Roman" w:hAnsi="Times New Roman"/>
          <w:sz w:val="12"/>
          <w:szCs w:val="12"/>
        </w:rPr>
      </w:pPr>
    </w:p>
    <w:p w:rsidR="00324B2E" w:rsidRDefault="00324B2E" w:rsidP="00324B2E">
      <w:pPr>
        <w:spacing w:line="276" w:lineRule="auto"/>
        <w:rPr>
          <w:rFonts w:ascii="Times New Roman" w:hAnsi="Times New Roman"/>
          <w:sz w:val="24"/>
          <w:szCs w:val="24"/>
        </w:rPr>
      </w:pPr>
      <w:r w:rsidRPr="00521974">
        <w:rPr>
          <w:rFonts w:ascii="Times New Roman" w:hAnsi="Times New Roman"/>
          <w:sz w:val="24"/>
          <w:szCs w:val="24"/>
        </w:rPr>
        <w:t>L’année 2011, est considérée comme l’année des grandes réformes portuaires et donc devant enregistrer de bonnes performances. Néanmoins</w:t>
      </w:r>
      <w:r w:rsidR="00BE7678">
        <w:rPr>
          <w:rFonts w:ascii="Times New Roman" w:hAnsi="Times New Roman"/>
          <w:sz w:val="24"/>
          <w:szCs w:val="24"/>
        </w:rPr>
        <w:t>,</w:t>
      </w:r>
      <w:r w:rsidRPr="00521974">
        <w:rPr>
          <w:rFonts w:ascii="Times New Roman" w:hAnsi="Times New Roman"/>
          <w:sz w:val="24"/>
          <w:szCs w:val="24"/>
        </w:rPr>
        <w:t xml:space="preserve"> les </w:t>
      </w:r>
      <w:r w:rsidRPr="00067E18">
        <w:rPr>
          <w:rFonts w:ascii="Times New Roman" w:hAnsi="Times New Roman"/>
          <w:sz w:val="24"/>
          <w:szCs w:val="24"/>
        </w:rPr>
        <w:t>grèves répétées dues à la mise en œuvre du « programme de vérification des importations nouvelle génération » ont négativement affect</w:t>
      </w:r>
      <w:r>
        <w:rPr>
          <w:rFonts w:ascii="Times New Roman" w:hAnsi="Times New Roman"/>
          <w:sz w:val="24"/>
          <w:szCs w:val="24"/>
        </w:rPr>
        <w:t>é</w:t>
      </w:r>
      <w:r w:rsidRPr="00067E18">
        <w:rPr>
          <w:rFonts w:ascii="Times New Roman" w:hAnsi="Times New Roman"/>
          <w:sz w:val="24"/>
          <w:szCs w:val="24"/>
        </w:rPr>
        <w:t xml:space="preserve"> les trafics portuaires qui ont enregistré une chute de (-2,2%) et surtout </w:t>
      </w:r>
      <w:r>
        <w:rPr>
          <w:rFonts w:ascii="Times New Roman" w:hAnsi="Times New Roman"/>
          <w:sz w:val="24"/>
          <w:szCs w:val="24"/>
        </w:rPr>
        <w:t>l</w:t>
      </w:r>
      <w:r w:rsidRPr="00067E18">
        <w:rPr>
          <w:rFonts w:ascii="Times New Roman" w:hAnsi="Times New Roman"/>
          <w:sz w:val="24"/>
          <w:szCs w:val="24"/>
        </w:rPr>
        <w:t>es importations qui ont baissé de (-3,0%).</w:t>
      </w:r>
      <w:r w:rsidRPr="00521974">
        <w:rPr>
          <w:rFonts w:ascii="Times New Roman" w:hAnsi="Times New Roman"/>
          <w:sz w:val="24"/>
          <w:szCs w:val="24"/>
        </w:rPr>
        <w:t xml:space="preserve"> Cette crise typiquement nationale a eu encore raison des activités économiques dans le commerce avec son corollaire de la hausse circonstancielle des prix des biens par les commerçants anticipant un climat tendu entre opérateurs publics et privés.</w:t>
      </w:r>
    </w:p>
    <w:p w:rsidR="00324B2E" w:rsidRDefault="00324B2E" w:rsidP="00324B2E">
      <w:pPr>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69078F" w:rsidRPr="0069078F" w:rsidTr="0069078F">
        <w:tc>
          <w:tcPr>
            <w:tcW w:w="4556" w:type="dxa"/>
            <w:shd w:val="clear" w:color="auto" w:fill="92CDDC" w:themeFill="accent5" w:themeFillTint="99"/>
          </w:tcPr>
          <w:p w:rsidR="0069078F" w:rsidRPr="0069078F" w:rsidRDefault="0069078F" w:rsidP="0069078F">
            <w:pPr>
              <w:spacing w:line="240" w:lineRule="auto"/>
              <w:ind w:left="-57"/>
              <w:jc w:val="left"/>
              <w:rPr>
                <w:rFonts w:ascii="Times New Roman" w:hAnsi="Times New Roman"/>
                <w:noProof/>
                <w:sz w:val="24"/>
                <w:szCs w:val="24"/>
                <w:lang w:eastAsia="fr-FR"/>
              </w:rPr>
            </w:pPr>
            <w:bookmarkStart w:id="78" w:name="_Toc382043046"/>
            <w:r w:rsidRPr="0069078F">
              <w:rPr>
                <w:rFonts w:ascii="Times New Roman" w:hAnsi="Times New Roman"/>
                <w:sz w:val="24"/>
                <w:szCs w:val="24"/>
              </w:rPr>
              <w:t>Graphique 2.</w:t>
            </w:r>
            <w:r w:rsidR="00182C97" w:rsidRPr="0069078F">
              <w:rPr>
                <w:rFonts w:ascii="Times New Roman" w:hAnsi="Times New Roman"/>
                <w:sz w:val="24"/>
                <w:szCs w:val="24"/>
              </w:rPr>
              <w:fldChar w:fldCharType="begin"/>
            </w:r>
            <w:r w:rsidRPr="0069078F">
              <w:rPr>
                <w:rFonts w:ascii="Times New Roman" w:hAnsi="Times New Roman"/>
                <w:sz w:val="24"/>
                <w:szCs w:val="24"/>
              </w:rPr>
              <w:instrText xml:space="preserve"> SEQ Graphique_3. \* ARABIC </w:instrText>
            </w:r>
            <w:r w:rsidR="00182C97" w:rsidRPr="0069078F">
              <w:rPr>
                <w:rFonts w:ascii="Times New Roman" w:hAnsi="Times New Roman"/>
                <w:sz w:val="24"/>
                <w:szCs w:val="24"/>
              </w:rPr>
              <w:fldChar w:fldCharType="separate"/>
            </w:r>
            <w:r w:rsidR="00AB1967">
              <w:rPr>
                <w:rFonts w:ascii="Times New Roman" w:hAnsi="Times New Roman"/>
                <w:noProof/>
                <w:sz w:val="24"/>
                <w:szCs w:val="24"/>
              </w:rPr>
              <w:t>4</w:t>
            </w:r>
            <w:r w:rsidR="00182C97" w:rsidRPr="0069078F">
              <w:rPr>
                <w:rFonts w:ascii="Times New Roman" w:hAnsi="Times New Roman"/>
                <w:sz w:val="24"/>
                <w:szCs w:val="24"/>
              </w:rPr>
              <w:fldChar w:fldCharType="end"/>
            </w:r>
            <w:r w:rsidRPr="0069078F">
              <w:rPr>
                <w:rFonts w:ascii="Times New Roman" w:hAnsi="Times New Roman"/>
                <w:sz w:val="24"/>
                <w:szCs w:val="24"/>
              </w:rPr>
              <w:t>:Évolution de la contribution du pôle logistique et commerce sur la période 2006-2011</w:t>
            </w:r>
            <w:bookmarkEnd w:id="78"/>
          </w:p>
        </w:tc>
      </w:tr>
      <w:tr w:rsidR="00695900" w:rsidTr="0069078F">
        <w:tc>
          <w:tcPr>
            <w:tcW w:w="4556" w:type="dxa"/>
            <w:shd w:val="clear" w:color="auto" w:fill="DAEEF3" w:themeFill="accent5" w:themeFillTint="33"/>
          </w:tcPr>
          <w:p w:rsidR="00695900" w:rsidRDefault="00695900" w:rsidP="00394FEA">
            <w:pPr>
              <w:spacing w:before="120" w:after="120" w:line="240" w:lineRule="auto"/>
              <w:ind w:left="-57"/>
              <w:jc w:val="center"/>
            </w:pPr>
            <w:r w:rsidRPr="002F055A">
              <w:rPr>
                <w:noProof/>
                <w:lang w:eastAsia="fr-FR"/>
              </w:rPr>
              <w:drawing>
                <wp:inline distT="0" distB="0" distL="0" distR="0" wp14:anchorId="37B7CD2A" wp14:editId="2146A4EB">
                  <wp:extent cx="5609590" cy="2657475"/>
                  <wp:effectExtent l="19050" t="0" r="10160" b="0"/>
                  <wp:docPr id="45" name="Graphique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r w:rsidR="00695900" w:rsidRPr="00E16B3C" w:rsidTr="0069078F">
        <w:tc>
          <w:tcPr>
            <w:tcW w:w="4556" w:type="dxa"/>
            <w:shd w:val="clear" w:color="auto" w:fill="DAEEF3" w:themeFill="accent5" w:themeFillTint="33"/>
          </w:tcPr>
          <w:p w:rsidR="00695900" w:rsidRPr="00E16B3C" w:rsidRDefault="00695900" w:rsidP="00394FEA">
            <w:pPr>
              <w:spacing w:line="240" w:lineRule="auto"/>
              <w:rPr>
                <w:rFonts w:ascii="Times New Roman" w:hAnsi="Times New Roman"/>
              </w:rPr>
            </w:pPr>
            <w:r w:rsidRPr="00E16B3C">
              <w:rPr>
                <w:rFonts w:ascii="Times New Roman" w:hAnsi="Times New Roman"/>
              </w:rPr>
              <w:t>Source :</w:t>
            </w:r>
            <w:r>
              <w:rPr>
                <w:rFonts w:ascii="Times New Roman" w:hAnsi="Times New Roman"/>
              </w:rPr>
              <w:t xml:space="preserve"> INSAE, 2013</w:t>
            </w:r>
          </w:p>
        </w:tc>
      </w:tr>
    </w:tbl>
    <w:p w:rsidR="00695900" w:rsidRPr="002F055A" w:rsidRDefault="00695900" w:rsidP="00695900"/>
    <w:p w:rsidR="00324B2E" w:rsidRPr="00521974" w:rsidRDefault="00324B2E" w:rsidP="00324B2E">
      <w:pPr>
        <w:spacing w:line="276" w:lineRule="auto"/>
        <w:rPr>
          <w:rFonts w:ascii="Times New Roman" w:hAnsi="Times New Roman"/>
          <w:sz w:val="24"/>
          <w:szCs w:val="24"/>
        </w:rPr>
      </w:pPr>
      <w:r>
        <w:rPr>
          <w:rFonts w:ascii="Times New Roman" w:hAnsi="Times New Roman"/>
          <w:b/>
          <w:sz w:val="24"/>
          <w:szCs w:val="24"/>
        </w:rPr>
        <w:t>D</w:t>
      </w:r>
      <w:r w:rsidRPr="00591DC7">
        <w:rPr>
          <w:rFonts w:ascii="Times New Roman" w:hAnsi="Times New Roman"/>
          <w:b/>
          <w:sz w:val="24"/>
          <w:szCs w:val="24"/>
        </w:rPr>
        <w:t>ominé par le commerce informel</w:t>
      </w:r>
      <w:r>
        <w:rPr>
          <w:rFonts w:ascii="Times New Roman" w:hAnsi="Times New Roman"/>
          <w:b/>
          <w:sz w:val="24"/>
          <w:szCs w:val="24"/>
        </w:rPr>
        <w:t>,</w:t>
      </w:r>
      <w:r w:rsidR="00515978">
        <w:rPr>
          <w:rFonts w:ascii="Times New Roman" w:hAnsi="Times New Roman"/>
          <w:b/>
          <w:sz w:val="24"/>
          <w:szCs w:val="24"/>
        </w:rPr>
        <w:t xml:space="preserve"> </w:t>
      </w:r>
      <w:r>
        <w:rPr>
          <w:rFonts w:ascii="Times New Roman" w:hAnsi="Times New Roman"/>
          <w:b/>
          <w:sz w:val="24"/>
          <w:szCs w:val="24"/>
        </w:rPr>
        <w:t>c</w:t>
      </w:r>
      <w:r w:rsidRPr="00591DC7">
        <w:rPr>
          <w:rFonts w:ascii="Times New Roman" w:hAnsi="Times New Roman"/>
          <w:b/>
          <w:sz w:val="24"/>
          <w:szCs w:val="24"/>
        </w:rPr>
        <w:t>e pôle seconde celui de l’agriculture en termes de population occupée et de la contribution à la pauvreté nationale</w:t>
      </w:r>
      <w:r>
        <w:rPr>
          <w:rFonts w:ascii="Times New Roman" w:hAnsi="Times New Roman"/>
          <w:sz w:val="24"/>
          <w:szCs w:val="24"/>
        </w:rPr>
        <w:t xml:space="preserve">. En </w:t>
      </w:r>
      <w:r w:rsidR="00E81BB9">
        <w:rPr>
          <w:rFonts w:ascii="Times New Roman" w:hAnsi="Times New Roman"/>
          <w:sz w:val="24"/>
          <w:szCs w:val="24"/>
        </w:rPr>
        <w:t>2011</w:t>
      </w:r>
      <w:r>
        <w:rPr>
          <w:rFonts w:ascii="Times New Roman" w:hAnsi="Times New Roman"/>
          <w:sz w:val="24"/>
          <w:szCs w:val="24"/>
        </w:rPr>
        <w:t>, le pourcentage de la  population occupée est de 1</w:t>
      </w:r>
      <w:r w:rsidR="00E81BB9">
        <w:rPr>
          <w:rFonts w:ascii="Times New Roman" w:hAnsi="Times New Roman"/>
          <w:sz w:val="24"/>
          <w:szCs w:val="24"/>
        </w:rPr>
        <w:t>6</w:t>
      </w:r>
      <w:r>
        <w:rPr>
          <w:rFonts w:ascii="Times New Roman" w:hAnsi="Times New Roman"/>
          <w:sz w:val="24"/>
          <w:szCs w:val="24"/>
        </w:rPr>
        <w:t>,</w:t>
      </w:r>
      <w:r w:rsidR="00E81BB9">
        <w:rPr>
          <w:rFonts w:ascii="Times New Roman" w:hAnsi="Times New Roman"/>
          <w:sz w:val="24"/>
          <w:szCs w:val="24"/>
        </w:rPr>
        <w:t>9</w:t>
      </w:r>
      <w:r>
        <w:rPr>
          <w:rFonts w:ascii="Times New Roman" w:hAnsi="Times New Roman"/>
          <w:sz w:val="24"/>
          <w:szCs w:val="24"/>
        </w:rPr>
        <w:t>% et l</w:t>
      </w:r>
      <w:r w:rsidR="00E81BB9">
        <w:rPr>
          <w:rFonts w:ascii="Times New Roman" w:hAnsi="Times New Roman"/>
          <w:sz w:val="24"/>
          <w:szCs w:val="24"/>
        </w:rPr>
        <w:t>es individus qui y exercent</w:t>
      </w:r>
      <w:r>
        <w:rPr>
          <w:rFonts w:ascii="Times New Roman" w:hAnsi="Times New Roman"/>
          <w:sz w:val="24"/>
          <w:szCs w:val="24"/>
        </w:rPr>
        <w:t xml:space="preserve"> contribu</w:t>
      </w:r>
      <w:r w:rsidR="00946D6B">
        <w:rPr>
          <w:rFonts w:ascii="Times New Roman" w:hAnsi="Times New Roman"/>
          <w:sz w:val="24"/>
          <w:szCs w:val="24"/>
        </w:rPr>
        <w:t xml:space="preserve">ent à 12,8% à la </w:t>
      </w:r>
      <w:r>
        <w:rPr>
          <w:rFonts w:ascii="Times New Roman" w:hAnsi="Times New Roman"/>
          <w:sz w:val="24"/>
          <w:szCs w:val="24"/>
        </w:rPr>
        <w:t>pauvreté nationale</w:t>
      </w:r>
      <w:r w:rsidR="00946D6B">
        <w:rPr>
          <w:rFonts w:ascii="Times New Roman" w:hAnsi="Times New Roman"/>
          <w:sz w:val="24"/>
          <w:szCs w:val="24"/>
        </w:rPr>
        <w:t xml:space="preserve">. </w:t>
      </w:r>
      <w:r>
        <w:rPr>
          <w:rFonts w:ascii="Times New Roman" w:hAnsi="Times New Roman"/>
          <w:sz w:val="24"/>
          <w:szCs w:val="24"/>
        </w:rPr>
        <w:t xml:space="preserve">Le secteur informel à lui seul représente environ 60% de ces indicateurs. De ce fait, il constituerait un pilier important dans le processus de réduction de la pauvreté si ses performances sont continues et croissantes. Toutefois, il convient de constater que les performances enregistrées  entre 2006 et </w:t>
      </w:r>
      <w:r w:rsidR="00946D6B">
        <w:rPr>
          <w:rFonts w:ascii="Times New Roman" w:hAnsi="Times New Roman"/>
          <w:sz w:val="24"/>
          <w:szCs w:val="24"/>
        </w:rPr>
        <w:t xml:space="preserve">2011 </w:t>
      </w:r>
      <w:r>
        <w:rPr>
          <w:rFonts w:ascii="Times New Roman" w:hAnsi="Times New Roman"/>
          <w:sz w:val="24"/>
          <w:szCs w:val="24"/>
        </w:rPr>
        <w:t xml:space="preserve">se sont plutôt traduites par une aggravation de la pauvreté, ce qui suggère que les pauvres n’ont pas profité des performances notées au niveau de ce pôle de croissance. </w:t>
      </w:r>
    </w:p>
    <w:p w:rsidR="00324B2E" w:rsidRPr="00A343EC" w:rsidRDefault="00324B2E" w:rsidP="00324B2E">
      <w:pPr>
        <w:spacing w:line="276" w:lineRule="auto"/>
        <w:rPr>
          <w:rFonts w:ascii="Times New Roman" w:hAnsi="Times New Roman"/>
          <w:sz w:val="12"/>
          <w:szCs w:val="12"/>
        </w:rPr>
      </w:pPr>
    </w:p>
    <w:p w:rsidR="00324B2E" w:rsidRDefault="00324B2E" w:rsidP="00930D19">
      <w:pPr>
        <w:numPr>
          <w:ilvl w:val="0"/>
          <w:numId w:val="16"/>
        </w:numPr>
        <w:spacing w:line="276" w:lineRule="auto"/>
        <w:rPr>
          <w:rFonts w:ascii="Times New Roman" w:hAnsi="Times New Roman"/>
          <w:b/>
          <w:sz w:val="24"/>
          <w:szCs w:val="24"/>
        </w:rPr>
      </w:pPr>
      <w:r w:rsidRPr="00521974">
        <w:rPr>
          <w:rFonts w:ascii="Times New Roman" w:hAnsi="Times New Roman"/>
          <w:b/>
          <w:sz w:val="24"/>
          <w:szCs w:val="24"/>
        </w:rPr>
        <w:t>Pôle « </w:t>
      </w:r>
      <w:r w:rsidR="00BE7678">
        <w:rPr>
          <w:rFonts w:ascii="Times New Roman" w:hAnsi="Times New Roman"/>
          <w:b/>
          <w:sz w:val="24"/>
          <w:szCs w:val="24"/>
        </w:rPr>
        <w:t>t</w:t>
      </w:r>
      <w:r w:rsidR="00BE7678" w:rsidRPr="00521974">
        <w:rPr>
          <w:rFonts w:ascii="Times New Roman" w:hAnsi="Times New Roman"/>
          <w:b/>
          <w:sz w:val="24"/>
          <w:szCs w:val="24"/>
        </w:rPr>
        <w:t>ourisme</w:t>
      </w:r>
      <w:r w:rsidRPr="00521974">
        <w:rPr>
          <w:rFonts w:ascii="Times New Roman" w:hAnsi="Times New Roman"/>
          <w:b/>
          <w:sz w:val="24"/>
          <w:szCs w:val="24"/>
        </w:rPr>
        <w:t>-culture-artisanat » </w:t>
      </w:r>
    </w:p>
    <w:p w:rsidR="00A343EC" w:rsidRPr="00A343EC" w:rsidRDefault="00A343EC" w:rsidP="00324B2E">
      <w:pPr>
        <w:spacing w:line="276" w:lineRule="auto"/>
        <w:rPr>
          <w:rFonts w:ascii="Times New Roman" w:hAnsi="Times New Roman"/>
          <w:b/>
          <w:sz w:val="12"/>
          <w:szCs w:val="12"/>
        </w:rPr>
      </w:pPr>
    </w:p>
    <w:p w:rsidR="00324B2E" w:rsidRDefault="00324B2E" w:rsidP="00324B2E">
      <w:pPr>
        <w:spacing w:line="276" w:lineRule="auto"/>
        <w:rPr>
          <w:rFonts w:ascii="Times New Roman" w:hAnsi="Times New Roman"/>
          <w:sz w:val="24"/>
          <w:szCs w:val="24"/>
        </w:rPr>
      </w:pPr>
      <w:r w:rsidRPr="00C870F5">
        <w:rPr>
          <w:rFonts w:ascii="Times New Roman" w:hAnsi="Times New Roman"/>
          <w:b/>
          <w:sz w:val="24"/>
          <w:szCs w:val="24"/>
        </w:rPr>
        <w:t>La contribution de ce pôle au PIB est essentiellement du ressort de l’artisanat qui représente environ 15% du PIB et 96% du pôle en termes de valeur ajoutée. En 2008, sa contribution à la croissance du PIB est de l’ordre 0,9%, ce qui met en exergue son potentiel même s’il s’appuie aussi essentiellement sur les résultats de l’agriculture.</w:t>
      </w:r>
      <w:r w:rsidR="00515978">
        <w:rPr>
          <w:rFonts w:ascii="Times New Roman" w:hAnsi="Times New Roman"/>
          <w:b/>
          <w:sz w:val="24"/>
          <w:szCs w:val="24"/>
        </w:rPr>
        <w:t xml:space="preserve"> </w:t>
      </w:r>
      <w:r w:rsidRPr="00521974">
        <w:rPr>
          <w:rFonts w:ascii="Times New Roman" w:hAnsi="Times New Roman"/>
          <w:sz w:val="24"/>
          <w:szCs w:val="24"/>
        </w:rPr>
        <w:t>L’artisanat est le secteur le plus important de ce pôle en termes de contribution au produit intérieur brut. Le deuxième recensement général des entreprises de 2008 a montré que l’artisanat concentre près de la moitié des entreprises exerçant sur le territoire béninois (49,4% des entreprises recensées). Il se distingue par son mode de production qui est manuel. La classification internationale type des industries (CITI) de laquelle est issue la nomenclature des comptes nationaux ne permet pas d’identifier une branche artisanale, car selon cette nomenclature</w:t>
      </w:r>
      <w:r w:rsidR="00BE7678">
        <w:rPr>
          <w:rFonts w:ascii="Times New Roman" w:hAnsi="Times New Roman"/>
          <w:sz w:val="24"/>
          <w:szCs w:val="24"/>
        </w:rPr>
        <w:t>,</w:t>
      </w:r>
      <w:r w:rsidRPr="00521974">
        <w:rPr>
          <w:rFonts w:ascii="Times New Roman" w:hAnsi="Times New Roman"/>
          <w:sz w:val="24"/>
          <w:szCs w:val="24"/>
        </w:rPr>
        <w:t xml:space="preserve"> l’artisanat se retrouve dans presque toutes les branches du secondaire, et dans certaines branches du tertiaire (artisanat de services).</w:t>
      </w:r>
      <w:r w:rsidR="00515978">
        <w:rPr>
          <w:rFonts w:ascii="Times New Roman" w:hAnsi="Times New Roman"/>
          <w:sz w:val="24"/>
          <w:szCs w:val="24"/>
        </w:rPr>
        <w:t xml:space="preserve"> </w:t>
      </w:r>
      <w:r w:rsidRPr="00521974">
        <w:rPr>
          <w:rFonts w:ascii="Times New Roman" w:hAnsi="Times New Roman"/>
          <w:sz w:val="24"/>
          <w:szCs w:val="24"/>
        </w:rPr>
        <w:t>Le tourisme quan</w:t>
      </w:r>
      <w:r>
        <w:rPr>
          <w:rFonts w:ascii="Times New Roman" w:hAnsi="Times New Roman"/>
          <w:sz w:val="24"/>
          <w:szCs w:val="24"/>
        </w:rPr>
        <w:t>t</w:t>
      </w:r>
      <w:r w:rsidRPr="00521974">
        <w:rPr>
          <w:rFonts w:ascii="Times New Roman" w:hAnsi="Times New Roman"/>
          <w:sz w:val="24"/>
          <w:szCs w:val="24"/>
        </w:rPr>
        <w:t xml:space="preserve"> à lui est encore moins visible dans l’économie béninoise. </w:t>
      </w:r>
      <w:r w:rsidR="00BE7678">
        <w:rPr>
          <w:rFonts w:ascii="Times New Roman" w:hAnsi="Times New Roman"/>
          <w:sz w:val="24"/>
          <w:szCs w:val="24"/>
        </w:rPr>
        <w:t xml:space="preserve">Ce secteur étant </w:t>
      </w:r>
      <w:r w:rsidRPr="00521974">
        <w:rPr>
          <w:rFonts w:ascii="Times New Roman" w:hAnsi="Times New Roman"/>
          <w:sz w:val="24"/>
          <w:szCs w:val="24"/>
        </w:rPr>
        <w:t>difficile à mesurer</w:t>
      </w:r>
      <w:r w:rsidR="00BE7678">
        <w:rPr>
          <w:rFonts w:ascii="Times New Roman" w:hAnsi="Times New Roman"/>
          <w:sz w:val="24"/>
          <w:szCs w:val="24"/>
        </w:rPr>
        <w:t xml:space="preserve">, l’approche utilisée, pour estimer sa valeur ajoutée, est basée sur </w:t>
      </w:r>
      <w:r w:rsidRPr="00521974">
        <w:rPr>
          <w:rFonts w:ascii="Times New Roman" w:hAnsi="Times New Roman"/>
          <w:sz w:val="24"/>
          <w:szCs w:val="24"/>
        </w:rPr>
        <w:t xml:space="preserve"> </w:t>
      </w:r>
      <w:r w:rsidR="00BE7678">
        <w:rPr>
          <w:rFonts w:ascii="Times New Roman" w:hAnsi="Times New Roman"/>
          <w:sz w:val="24"/>
          <w:szCs w:val="24"/>
        </w:rPr>
        <w:t>l</w:t>
      </w:r>
      <w:r w:rsidRPr="00521974">
        <w:rPr>
          <w:rFonts w:ascii="Times New Roman" w:hAnsi="Times New Roman"/>
          <w:sz w:val="24"/>
          <w:szCs w:val="24"/>
        </w:rPr>
        <w:t xml:space="preserve">es activités des réceptifs hôteliers. Une enquête de structure est nécessaire pour mieux cerner la production  attribuable à l’activité touristique et non globalement les activités des hôtels. </w:t>
      </w:r>
    </w:p>
    <w:p w:rsidR="00324B2E" w:rsidRPr="00521974" w:rsidRDefault="00324B2E" w:rsidP="00324B2E">
      <w:pPr>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tblGrid>
      <w:tr w:rsidR="00BD555A" w:rsidTr="00BD555A">
        <w:tc>
          <w:tcPr>
            <w:tcW w:w="4556" w:type="dxa"/>
            <w:shd w:val="clear" w:color="auto" w:fill="92CDDC" w:themeFill="accent5" w:themeFillTint="99"/>
          </w:tcPr>
          <w:p w:rsidR="00BD555A" w:rsidRPr="00BD555A" w:rsidRDefault="00BD555A" w:rsidP="00BD555A">
            <w:pPr>
              <w:spacing w:line="240" w:lineRule="auto"/>
              <w:ind w:left="-57"/>
              <w:jc w:val="left"/>
              <w:rPr>
                <w:rFonts w:ascii="Times New Roman" w:hAnsi="Times New Roman"/>
                <w:noProof/>
                <w:sz w:val="24"/>
                <w:szCs w:val="24"/>
                <w:lang w:eastAsia="fr-FR"/>
              </w:rPr>
            </w:pPr>
            <w:bookmarkStart w:id="79" w:name="_Toc382043047"/>
            <w:r w:rsidRPr="00BD555A">
              <w:rPr>
                <w:rFonts w:ascii="Times New Roman" w:hAnsi="Times New Roman"/>
                <w:sz w:val="24"/>
                <w:szCs w:val="24"/>
              </w:rPr>
              <w:t>Graphique 2.</w:t>
            </w:r>
            <w:r w:rsidR="00182C97" w:rsidRPr="00BD555A">
              <w:rPr>
                <w:rFonts w:ascii="Times New Roman" w:hAnsi="Times New Roman"/>
                <w:sz w:val="24"/>
                <w:szCs w:val="24"/>
              </w:rPr>
              <w:fldChar w:fldCharType="begin"/>
            </w:r>
            <w:r w:rsidRPr="00BD555A">
              <w:rPr>
                <w:rFonts w:ascii="Times New Roman" w:hAnsi="Times New Roman"/>
                <w:sz w:val="24"/>
                <w:szCs w:val="24"/>
              </w:rPr>
              <w:instrText xml:space="preserve"> SEQ Graphique_3. \* ARABIC </w:instrText>
            </w:r>
            <w:r w:rsidR="00182C97" w:rsidRPr="00BD555A">
              <w:rPr>
                <w:rFonts w:ascii="Times New Roman" w:hAnsi="Times New Roman"/>
                <w:sz w:val="24"/>
                <w:szCs w:val="24"/>
              </w:rPr>
              <w:fldChar w:fldCharType="separate"/>
            </w:r>
            <w:r w:rsidR="00AB1967">
              <w:rPr>
                <w:rFonts w:ascii="Times New Roman" w:hAnsi="Times New Roman"/>
                <w:noProof/>
                <w:sz w:val="24"/>
                <w:szCs w:val="24"/>
              </w:rPr>
              <w:t>5</w:t>
            </w:r>
            <w:r w:rsidR="00182C97" w:rsidRPr="00BD555A">
              <w:rPr>
                <w:rFonts w:ascii="Times New Roman" w:hAnsi="Times New Roman"/>
                <w:sz w:val="24"/>
                <w:szCs w:val="24"/>
              </w:rPr>
              <w:fldChar w:fldCharType="end"/>
            </w:r>
            <w:r w:rsidRPr="00BD555A">
              <w:rPr>
                <w:rFonts w:ascii="Times New Roman" w:hAnsi="Times New Roman"/>
                <w:sz w:val="24"/>
                <w:szCs w:val="24"/>
              </w:rPr>
              <w:t>: Évolution de la contribution du pôle "tourisme culture artisanat" à la croissance du PIB</w:t>
            </w:r>
            <w:bookmarkEnd w:id="79"/>
          </w:p>
        </w:tc>
      </w:tr>
      <w:tr w:rsidR="00695900" w:rsidTr="00BD555A">
        <w:tc>
          <w:tcPr>
            <w:tcW w:w="4556" w:type="dxa"/>
            <w:shd w:val="clear" w:color="auto" w:fill="DAEEF3" w:themeFill="accent5" w:themeFillTint="33"/>
          </w:tcPr>
          <w:p w:rsidR="00695900" w:rsidRDefault="00695900" w:rsidP="00394FEA">
            <w:pPr>
              <w:spacing w:before="120" w:after="120" w:line="240" w:lineRule="auto"/>
              <w:ind w:left="-57"/>
              <w:jc w:val="center"/>
            </w:pPr>
            <w:r w:rsidRPr="002F055A">
              <w:rPr>
                <w:noProof/>
                <w:lang w:eastAsia="fr-FR"/>
              </w:rPr>
              <w:drawing>
                <wp:inline distT="0" distB="0" distL="0" distR="0" wp14:anchorId="2E318AFD" wp14:editId="3DADC78E">
                  <wp:extent cx="5598795" cy="2466975"/>
                  <wp:effectExtent l="19050" t="0" r="20955" b="0"/>
                  <wp:docPr id="48" name="Graphiqu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r w:rsidR="00695900" w:rsidRPr="004D3255" w:rsidTr="00BD555A">
        <w:tc>
          <w:tcPr>
            <w:tcW w:w="4556" w:type="dxa"/>
            <w:shd w:val="clear" w:color="auto" w:fill="DAEEF3" w:themeFill="accent5" w:themeFillTint="33"/>
          </w:tcPr>
          <w:p w:rsidR="00695900" w:rsidRPr="004D3255" w:rsidRDefault="00695900" w:rsidP="00394FEA">
            <w:pPr>
              <w:spacing w:line="240" w:lineRule="auto"/>
              <w:rPr>
                <w:rFonts w:ascii="Times New Roman" w:hAnsi="Times New Roman"/>
                <w:sz w:val="20"/>
                <w:szCs w:val="20"/>
              </w:rPr>
            </w:pPr>
            <w:r w:rsidRPr="004D3255">
              <w:rPr>
                <w:rFonts w:ascii="Times New Roman" w:hAnsi="Times New Roman"/>
                <w:sz w:val="20"/>
                <w:szCs w:val="20"/>
              </w:rPr>
              <w:t>Source : INSAE, 2013</w:t>
            </w:r>
          </w:p>
        </w:tc>
      </w:tr>
    </w:tbl>
    <w:p w:rsidR="00695900" w:rsidRPr="002F055A" w:rsidRDefault="00695900" w:rsidP="00695900"/>
    <w:p w:rsidR="00324B2E" w:rsidRDefault="00324B2E" w:rsidP="00324B2E">
      <w:pPr>
        <w:tabs>
          <w:tab w:val="left" w:pos="1335"/>
        </w:tabs>
        <w:spacing w:line="276" w:lineRule="auto"/>
        <w:rPr>
          <w:rFonts w:ascii="Times New Roman" w:hAnsi="Times New Roman"/>
          <w:sz w:val="24"/>
          <w:szCs w:val="24"/>
        </w:rPr>
      </w:pPr>
      <w:r w:rsidRPr="001921A6">
        <w:rPr>
          <w:rFonts w:ascii="Times New Roman" w:hAnsi="Times New Roman"/>
          <w:b/>
          <w:sz w:val="24"/>
          <w:szCs w:val="24"/>
        </w:rPr>
        <w:t>En 20</w:t>
      </w:r>
      <w:r w:rsidR="006D260B">
        <w:rPr>
          <w:rFonts w:ascii="Times New Roman" w:hAnsi="Times New Roman"/>
          <w:b/>
          <w:sz w:val="24"/>
          <w:szCs w:val="24"/>
        </w:rPr>
        <w:t>11</w:t>
      </w:r>
      <w:r w:rsidRPr="001921A6">
        <w:rPr>
          <w:rFonts w:ascii="Times New Roman" w:hAnsi="Times New Roman"/>
          <w:b/>
          <w:sz w:val="24"/>
          <w:szCs w:val="24"/>
        </w:rPr>
        <w:t>, ce pôle a concentré environ 1</w:t>
      </w:r>
      <w:r w:rsidR="006D260B">
        <w:rPr>
          <w:rFonts w:ascii="Times New Roman" w:hAnsi="Times New Roman"/>
          <w:b/>
          <w:sz w:val="24"/>
          <w:szCs w:val="24"/>
        </w:rPr>
        <w:t>2</w:t>
      </w:r>
      <w:r w:rsidRPr="001921A6">
        <w:rPr>
          <w:rFonts w:ascii="Times New Roman" w:hAnsi="Times New Roman"/>
          <w:b/>
          <w:sz w:val="24"/>
          <w:szCs w:val="24"/>
        </w:rPr>
        <w:t xml:space="preserve">% de la population et </w:t>
      </w:r>
      <w:r w:rsidR="006D260B">
        <w:rPr>
          <w:rFonts w:ascii="Times New Roman" w:hAnsi="Times New Roman"/>
          <w:b/>
          <w:sz w:val="24"/>
          <w:szCs w:val="24"/>
        </w:rPr>
        <w:t xml:space="preserve">les individus qui y exercent ont </w:t>
      </w:r>
      <w:r w:rsidRPr="001921A6">
        <w:rPr>
          <w:rFonts w:ascii="Times New Roman" w:hAnsi="Times New Roman"/>
          <w:b/>
          <w:sz w:val="24"/>
          <w:szCs w:val="24"/>
        </w:rPr>
        <w:t xml:space="preserve">contribué à </w:t>
      </w:r>
      <w:r w:rsidR="006D260B">
        <w:rPr>
          <w:rFonts w:ascii="Times New Roman" w:hAnsi="Times New Roman"/>
          <w:b/>
          <w:sz w:val="24"/>
          <w:szCs w:val="24"/>
        </w:rPr>
        <w:t>10,2</w:t>
      </w:r>
      <w:r w:rsidRPr="001921A6">
        <w:rPr>
          <w:rFonts w:ascii="Times New Roman" w:hAnsi="Times New Roman"/>
          <w:b/>
          <w:sz w:val="24"/>
          <w:szCs w:val="24"/>
        </w:rPr>
        <w:t>% de la pauvreté nationale</w:t>
      </w:r>
      <w:r>
        <w:rPr>
          <w:rFonts w:ascii="Times New Roman" w:hAnsi="Times New Roman"/>
          <w:sz w:val="24"/>
          <w:szCs w:val="24"/>
        </w:rPr>
        <w:t xml:space="preserve">. Si ce pôle est boosté, il pourrait contribuer efficacement à l’atteinte des </w:t>
      </w:r>
      <w:r w:rsidR="00BE7678">
        <w:rPr>
          <w:rFonts w:ascii="Times New Roman" w:hAnsi="Times New Roman"/>
          <w:sz w:val="24"/>
          <w:szCs w:val="24"/>
        </w:rPr>
        <w:t xml:space="preserve">Objectifs </w:t>
      </w:r>
      <w:r>
        <w:rPr>
          <w:rFonts w:ascii="Times New Roman" w:hAnsi="Times New Roman"/>
          <w:sz w:val="24"/>
          <w:szCs w:val="24"/>
        </w:rPr>
        <w:t xml:space="preserve">du </w:t>
      </w:r>
      <w:r w:rsidR="00BE7678">
        <w:rPr>
          <w:rFonts w:ascii="Times New Roman" w:hAnsi="Times New Roman"/>
          <w:sz w:val="24"/>
          <w:szCs w:val="24"/>
        </w:rPr>
        <w:t xml:space="preserve">Millénaire </w:t>
      </w:r>
      <w:r>
        <w:rPr>
          <w:rFonts w:ascii="Times New Roman" w:hAnsi="Times New Roman"/>
          <w:sz w:val="24"/>
          <w:szCs w:val="24"/>
        </w:rPr>
        <w:t xml:space="preserve">pour le </w:t>
      </w:r>
      <w:r w:rsidR="00BE7678">
        <w:rPr>
          <w:rFonts w:ascii="Times New Roman" w:hAnsi="Times New Roman"/>
          <w:sz w:val="24"/>
          <w:szCs w:val="24"/>
        </w:rPr>
        <w:t>Développement</w:t>
      </w:r>
      <w:r>
        <w:rPr>
          <w:rFonts w:ascii="Times New Roman" w:hAnsi="Times New Roman"/>
          <w:sz w:val="24"/>
          <w:szCs w:val="24"/>
        </w:rPr>
        <w:t>. En effet, la croissance soutenue observée au niveau de ce pôle entre 2006 et 20</w:t>
      </w:r>
      <w:r w:rsidR="006D260B">
        <w:rPr>
          <w:rFonts w:ascii="Times New Roman" w:hAnsi="Times New Roman"/>
          <w:sz w:val="24"/>
          <w:szCs w:val="24"/>
        </w:rPr>
        <w:t>09</w:t>
      </w:r>
      <w:r>
        <w:rPr>
          <w:rFonts w:ascii="Times New Roman" w:hAnsi="Times New Roman"/>
          <w:sz w:val="24"/>
          <w:szCs w:val="24"/>
        </w:rPr>
        <w:t xml:space="preserve"> s’est traduite par une baisse de l’incidence de pauvreté d’environ </w:t>
      </w:r>
      <w:r w:rsidR="006D260B">
        <w:rPr>
          <w:rFonts w:ascii="Times New Roman" w:hAnsi="Times New Roman"/>
          <w:sz w:val="24"/>
          <w:szCs w:val="24"/>
        </w:rPr>
        <w:t>6</w:t>
      </w:r>
      <w:r w:rsidR="006D260B" w:rsidRPr="00506D7C">
        <w:rPr>
          <w:rFonts w:ascii="Times New Roman" w:hAnsi="Times New Roman"/>
          <w:sz w:val="24"/>
          <w:szCs w:val="24"/>
        </w:rPr>
        <w:t>%</w:t>
      </w:r>
      <w:r w:rsidRPr="00506D7C">
        <w:rPr>
          <w:rFonts w:ascii="Times New Roman" w:hAnsi="Times New Roman"/>
          <w:sz w:val="24"/>
          <w:szCs w:val="24"/>
        </w:rPr>
        <w:t>.</w:t>
      </w:r>
      <w:r w:rsidR="00694394">
        <w:rPr>
          <w:rFonts w:ascii="Times New Roman" w:hAnsi="Times New Roman"/>
          <w:sz w:val="24"/>
          <w:szCs w:val="24"/>
        </w:rPr>
        <w:t xml:space="preserve"> </w:t>
      </w:r>
      <w:r w:rsidR="00AE4C08">
        <w:rPr>
          <w:rFonts w:ascii="Times New Roman" w:hAnsi="Times New Roman"/>
          <w:sz w:val="24"/>
          <w:szCs w:val="24"/>
        </w:rPr>
        <w:t>Entre 2009 et 2011, la stagnation du taux de croissance à 2,3% s’est plutôt traduite</w:t>
      </w:r>
      <w:r w:rsidR="00694394">
        <w:rPr>
          <w:rFonts w:ascii="Times New Roman" w:hAnsi="Times New Roman"/>
          <w:sz w:val="24"/>
          <w:szCs w:val="24"/>
        </w:rPr>
        <w:t xml:space="preserve"> par </w:t>
      </w:r>
      <w:r w:rsidR="00AE4C08">
        <w:rPr>
          <w:rFonts w:ascii="Times New Roman" w:hAnsi="Times New Roman"/>
          <w:sz w:val="24"/>
          <w:szCs w:val="24"/>
        </w:rPr>
        <w:t>une aggravation de la pauvreté de 3,3%. A coup sûr, cette croissance n’a pas profité aux pauvres</w:t>
      </w:r>
      <w:r w:rsidR="00257AB3">
        <w:rPr>
          <w:rFonts w:ascii="Times New Roman" w:hAnsi="Times New Roman"/>
          <w:sz w:val="24"/>
          <w:szCs w:val="24"/>
        </w:rPr>
        <w:t xml:space="preserve"> et aux vulnérables</w:t>
      </w:r>
      <w:r w:rsidR="00AE4C08">
        <w:rPr>
          <w:rFonts w:ascii="Times New Roman" w:hAnsi="Times New Roman"/>
          <w:sz w:val="24"/>
          <w:szCs w:val="24"/>
        </w:rPr>
        <w:t xml:space="preserve">. </w:t>
      </w:r>
    </w:p>
    <w:p w:rsidR="00C51B22" w:rsidRDefault="00C51B22" w:rsidP="00324B2E">
      <w:pPr>
        <w:tabs>
          <w:tab w:val="left" w:pos="1335"/>
        </w:tabs>
        <w:spacing w:line="276" w:lineRule="auto"/>
        <w:rPr>
          <w:rFonts w:ascii="Times New Roman" w:hAnsi="Times New Roman"/>
          <w:sz w:val="24"/>
          <w:szCs w:val="24"/>
        </w:rPr>
      </w:pPr>
    </w:p>
    <w:p w:rsidR="00324B2E" w:rsidRDefault="00324B2E" w:rsidP="00324B2E">
      <w:pPr>
        <w:tabs>
          <w:tab w:val="left" w:pos="1335"/>
        </w:tabs>
        <w:spacing w:line="276" w:lineRule="auto"/>
        <w:rPr>
          <w:rFonts w:ascii="Times New Roman" w:hAnsi="Times New Roman"/>
          <w:sz w:val="24"/>
          <w:szCs w:val="24"/>
        </w:rPr>
      </w:pPr>
      <w:r w:rsidRPr="00280BD5">
        <w:rPr>
          <w:rFonts w:ascii="Times New Roman" w:hAnsi="Times New Roman"/>
          <w:sz w:val="24"/>
          <w:szCs w:val="24"/>
        </w:rPr>
        <w:t xml:space="preserve">En somme, les quatre pôles prioritaires de croissance identifiés dans la stratégie de croissance et de </w:t>
      </w:r>
      <w:r w:rsidRPr="00D63E30">
        <w:rPr>
          <w:rFonts w:ascii="Times New Roman" w:hAnsi="Times New Roman"/>
          <w:sz w:val="24"/>
          <w:szCs w:val="24"/>
        </w:rPr>
        <w:t>réduction d</w:t>
      </w:r>
      <w:r w:rsidR="00D63E30" w:rsidRPr="00D63E30">
        <w:rPr>
          <w:rFonts w:ascii="Times New Roman" w:hAnsi="Times New Roman"/>
          <w:sz w:val="24"/>
          <w:szCs w:val="24"/>
        </w:rPr>
        <w:t>e la pauvreté ont occupé en 2009</w:t>
      </w:r>
      <w:r w:rsidR="00450D9A">
        <w:rPr>
          <w:rFonts w:ascii="Times New Roman" w:hAnsi="Times New Roman"/>
          <w:sz w:val="24"/>
          <w:szCs w:val="24"/>
        </w:rPr>
        <w:t>, environ 87</w:t>
      </w:r>
      <w:r w:rsidRPr="00D63E30">
        <w:rPr>
          <w:rFonts w:ascii="Times New Roman" w:hAnsi="Times New Roman"/>
          <w:sz w:val="24"/>
          <w:szCs w:val="24"/>
        </w:rPr>
        <w:t>% de la population et ont contribué à 9</w:t>
      </w:r>
      <w:r w:rsidR="00D63E30" w:rsidRPr="00D63E30">
        <w:rPr>
          <w:rFonts w:ascii="Times New Roman" w:hAnsi="Times New Roman"/>
          <w:sz w:val="24"/>
          <w:szCs w:val="24"/>
        </w:rPr>
        <w:t>2</w:t>
      </w:r>
      <w:r w:rsidRPr="00D63E30">
        <w:rPr>
          <w:rFonts w:ascii="Times New Roman" w:hAnsi="Times New Roman"/>
          <w:sz w:val="24"/>
          <w:szCs w:val="24"/>
        </w:rPr>
        <w:t>% de</w:t>
      </w:r>
      <w:r w:rsidRPr="00280BD5">
        <w:rPr>
          <w:rFonts w:ascii="Times New Roman" w:hAnsi="Times New Roman"/>
          <w:sz w:val="24"/>
          <w:szCs w:val="24"/>
        </w:rPr>
        <w:t xml:space="preserve"> la pauvreté nationale.</w:t>
      </w:r>
      <w:r>
        <w:rPr>
          <w:rFonts w:ascii="Times New Roman" w:hAnsi="Times New Roman"/>
          <w:sz w:val="24"/>
          <w:szCs w:val="24"/>
        </w:rPr>
        <w:t xml:space="preserve"> </w:t>
      </w:r>
      <w:r w:rsidR="00D63E30">
        <w:rPr>
          <w:rFonts w:ascii="Times New Roman" w:hAnsi="Times New Roman"/>
          <w:sz w:val="24"/>
          <w:szCs w:val="24"/>
        </w:rPr>
        <w:t xml:space="preserve"> Ces chiffres sont estimés respectivement à environ 82% et 87% pour 2011. </w:t>
      </w:r>
      <w:r>
        <w:rPr>
          <w:rFonts w:ascii="Times New Roman" w:hAnsi="Times New Roman"/>
          <w:sz w:val="24"/>
          <w:szCs w:val="24"/>
        </w:rPr>
        <w:t xml:space="preserve">Si ces pôles de croissance ciblent la majorité des </w:t>
      </w:r>
      <w:r w:rsidRPr="008C254D">
        <w:rPr>
          <w:rFonts w:ascii="Times New Roman" w:hAnsi="Times New Roman"/>
          <w:sz w:val="24"/>
          <w:szCs w:val="24"/>
        </w:rPr>
        <w:t>pauvres, il reste</w:t>
      </w:r>
      <w:r>
        <w:rPr>
          <w:rFonts w:ascii="Times New Roman" w:hAnsi="Times New Roman"/>
          <w:sz w:val="24"/>
          <w:szCs w:val="24"/>
        </w:rPr>
        <w:t xml:space="preserve"> que </w:t>
      </w:r>
      <w:r w:rsidRPr="008C254D">
        <w:rPr>
          <w:rFonts w:ascii="Times New Roman" w:hAnsi="Times New Roman"/>
          <w:sz w:val="24"/>
          <w:szCs w:val="24"/>
        </w:rPr>
        <w:t xml:space="preserve">malgré les </w:t>
      </w:r>
      <w:r>
        <w:rPr>
          <w:rFonts w:ascii="Times New Roman" w:hAnsi="Times New Roman"/>
          <w:sz w:val="24"/>
          <w:szCs w:val="24"/>
        </w:rPr>
        <w:t>performances</w:t>
      </w:r>
      <w:r w:rsidRPr="008C254D">
        <w:rPr>
          <w:rFonts w:ascii="Times New Roman" w:hAnsi="Times New Roman"/>
          <w:sz w:val="24"/>
          <w:szCs w:val="24"/>
        </w:rPr>
        <w:t xml:space="preserve"> noté</w:t>
      </w:r>
      <w:r>
        <w:rPr>
          <w:rFonts w:ascii="Times New Roman" w:hAnsi="Times New Roman"/>
          <w:sz w:val="24"/>
          <w:szCs w:val="24"/>
        </w:rPr>
        <w:t>e</w:t>
      </w:r>
      <w:r w:rsidRPr="008C254D">
        <w:rPr>
          <w:rFonts w:ascii="Times New Roman" w:hAnsi="Times New Roman"/>
          <w:sz w:val="24"/>
          <w:szCs w:val="24"/>
        </w:rPr>
        <w:t>s au niveau de ces secteurs, les résultats en termes de réduction de la pauvreté sont limités voire négatifs.</w:t>
      </w:r>
      <w:r>
        <w:rPr>
          <w:rFonts w:ascii="Times New Roman" w:hAnsi="Times New Roman"/>
          <w:sz w:val="24"/>
          <w:szCs w:val="24"/>
        </w:rPr>
        <w:t xml:space="preserve"> En effet, comme le montre le graphique ci-dessous, dans les secteurs qui contribuent le plus </w:t>
      </w:r>
      <w:r w:rsidR="00694394">
        <w:rPr>
          <w:rFonts w:ascii="Times New Roman" w:hAnsi="Times New Roman"/>
          <w:sz w:val="24"/>
          <w:szCs w:val="24"/>
        </w:rPr>
        <w:t xml:space="preserve">à </w:t>
      </w:r>
      <w:r>
        <w:rPr>
          <w:rFonts w:ascii="Times New Roman" w:hAnsi="Times New Roman"/>
          <w:sz w:val="24"/>
          <w:szCs w:val="24"/>
        </w:rPr>
        <w:t xml:space="preserve">la pauvreté nationale, les épisodes de croissance soutenue observés se sont plutôt soldés par une accentuation de la pauvreté (agriculture, commerce et logistique). Ces résultats suggèrent que </w:t>
      </w:r>
      <w:r w:rsidRPr="0029361D">
        <w:rPr>
          <w:rFonts w:ascii="Times New Roman" w:hAnsi="Times New Roman"/>
          <w:sz w:val="24"/>
          <w:szCs w:val="24"/>
        </w:rPr>
        <w:t>le degré de variation de la pauvreté ne semble pas être lié au rythme de la croissance sectorielle. Toutefois, il est</w:t>
      </w:r>
      <w:r>
        <w:rPr>
          <w:rFonts w:ascii="Times New Roman" w:hAnsi="Times New Roman"/>
          <w:sz w:val="24"/>
          <w:szCs w:val="24"/>
        </w:rPr>
        <w:t xml:space="preserve"> aussi</w:t>
      </w:r>
      <w:r w:rsidRPr="0029361D">
        <w:rPr>
          <w:rFonts w:ascii="Times New Roman" w:hAnsi="Times New Roman"/>
          <w:sz w:val="24"/>
          <w:szCs w:val="24"/>
        </w:rPr>
        <w:t xml:space="preserve"> p</w:t>
      </w:r>
      <w:r>
        <w:rPr>
          <w:rFonts w:ascii="Times New Roman" w:hAnsi="Times New Roman"/>
          <w:sz w:val="24"/>
          <w:szCs w:val="24"/>
        </w:rPr>
        <w:t xml:space="preserve">robable </w:t>
      </w:r>
      <w:r w:rsidRPr="0029361D">
        <w:rPr>
          <w:rFonts w:ascii="Times New Roman" w:hAnsi="Times New Roman"/>
          <w:sz w:val="24"/>
          <w:szCs w:val="24"/>
        </w:rPr>
        <w:t>que cette évolution traduit dans une certaine mesure, des difficultés de mesure</w:t>
      </w:r>
      <w:r w:rsidRPr="0029361D">
        <w:rPr>
          <w:rStyle w:val="Appelnotedebasdep"/>
          <w:rFonts w:ascii="Times New Roman" w:hAnsi="Times New Roman"/>
          <w:sz w:val="24"/>
          <w:szCs w:val="24"/>
        </w:rPr>
        <w:footnoteReference w:id="53"/>
      </w:r>
      <w:r w:rsidRPr="0029361D">
        <w:rPr>
          <w:rFonts w:ascii="Times New Roman" w:hAnsi="Times New Roman"/>
          <w:sz w:val="24"/>
          <w:szCs w:val="24"/>
        </w:rPr>
        <w:t xml:space="preserve"> (Sala-i-Martin et Pinkovskiy (2010), Young (2010).</w:t>
      </w:r>
    </w:p>
    <w:p w:rsidR="005B6C96" w:rsidRDefault="005B6C96" w:rsidP="005B6C96">
      <w:pPr>
        <w:tabs>
          <w:tab w:val="left" w:pos="1335"/>
        </w:tabs>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9"/>
      </w:tblGrid>
      <w:tr w:rsidR="005B6C96" w:rsidRPr="00A343EC" w:rsidTr="00394FEA">
        <w:trPr>
          <w:trHeight w:val="347"/>
        </w:trPr>
        <w:tc>
          <w:tcPr>
            <w:tcW w:w="9189" w:type="dxa"/>
            <w:shd w:val="clear" w:color="auto" w:fill="92CDDC" w:themeFill="accent5" w:themeFillTint="99"/>
          </w:tcPr>
          <w:p w:rsidR="005B6C96" w:rsidRPr="00A343EC" w:rsidRDefault="00A343EC" w:rsidP="00394FEA">
            <w:pPr>
              <w:tabs>
                <w:tab w:val="left" w:pos="1335"/>
              </w:tabs>
              <w:spacing w:line="276" w:lineRule="auto"/>
              <w:rPr>
                <w:rFonts w:ascii="Times New Roman" w:hAnsi="Times New Roman"/>
                <w:sz w:val="24"/>
                <w:szCs w:val="24"/>
              </w:rPr>
            </w:pPr>
            <w:bookmarkStart w:id="80" w:name="_Toc382043048"/>
            <w:r w:rsidRPr="00A343EC">
              <w:rPr>
                <w:rFonts w:ascii="Times New Roman" w:hAnsi="Times New Roman"/>
                <w:sz w:val="24"/>
                <w:szCs w:val="24"/>
              </w:rPr>
              <w:t>Graphique 2.</w:t>
            </w:r>
            <w:r w:rsidR="00182C97" w:rsidRPr="00A343EC">
              <w:rPr>
                <w:rFonts w:ascii="Times New Roman" w:hAnsi="Times New Roman"/>
                <w:sz w:val="24"/>
                <w:szCs w:val="24"/>
              </w:rPr>
              <w:fldChar w:fldCharType="begin"/>
            </w:r>
            <w:r w:rsidRPr="00A343EC">
              <w:rPr>
                <w:rFonts w:ascii="Times New Roman" w:hAnsi="Times New Roman"/>
                <w:sz w:val="24"/>
                <w:szCs w:val="24"/>
              </w:rPr>
              <w:instrText xml:space="preserve"> SEQ Graphique_3. \* ARABIC </w:instrText>
            </w:r>
            <w:r w:rsidR="00182C97" w:rsidRPr="00A343EC">
              <w:rPr>
                <w:rFonts w:ascii="Times New Roman" w:hAnsi="Times New Roman"/>
                <w:sz w:val="24"/>
                <w:szCs w:val="24"/>
              </w:rPr>
              <w:fldChar w:fldCharType="separate"/>
            </w:r>
            <w:r w:rsidR="00AB1967">
              <w:rPr>
                <w:rFonts w:ascii="Times New Roman" w:hAnsi="Times New Roman"/>
                <w:noProof/>
                <w:sz w:val="24"/>
                <w:szCs w:val="24"/>
              </w:rPr>
              <w:t>6</w:t>
            </w:r>
            <w:r w:rsidR="00182C97" w:rsidRPr="00A343EC">
              <w:rPr>
                <w:rFonts w:ascii="Times New Roman" w:hAnsi="Times New Roman"/>
                <w:sz w:val="24"/>
                <w:szCs w:val="24"/>
              </w:rPr>
              <w:fldChar w:fldCharType="end"/>
            </w:r>
            <w:r w:rsidR="005B6C96" w:rsidRPr="00A343EC">
              <w:rPr>
                <w:rFonts w:ascii="Times New Roman" w:hAnsi="Times New Roman"/>
                <w:sz w:val="24"/>
                <w:szCs w:val="24"/>
              </w:rPr>
              <w:t>: Corrélation entre croissance</w:t>
            </w:r>
            <w:r w:rsidR="005B6C96" w:rsidRPr="00A343EC">
              <w:rPr>
                <w:rStyle w:val="Appelnotedebasdep"/>
                <w:rFonts w:ascii="Times New Roman" w:hAnsi="Times New Roman"/>
                <w:sz w:val="24"/>
                <w:szCs w:val="24"/>
              </w:rPr>
              <w:footnoteReference w:id="54"/>
            </w:r>
            <w:r w:rsidR="005B6C96" w:rsidRPr="00A343EC">
              <w:rPr>
                <w:rFonts w:ascii="Times New Roman" w:hAnsi="Times New Roman"/>
                <w:sz w:val="24"/>
                <w:szCs w:val="24"/>
              </w:rPr>
              <w:t xml:space="preserve"> et pauvreté entre 2006 et 2009</w:t>
            </w:r>
            <w:bookmarkEnd w:id="80"/>
          </w:p>
        </w:tc>
      </w:tr>
      <w:tr w:rsidR="005B6C96" w:rsidTr="00394FEA">
        <w:trPr>
          <w:trHeight w:val="4225"/>
        </w:trPr>
        <w:tc>
          <w:tcPr>
            <w:tcW w:w="9189" w:type="dxa"/>
            <w:shd w:val="clear" w:color="auto" w:fill="DAEEF3" w:themeFill="accent5" w:themeFillTint="33"/>
          </w:tcPr>
          <w:p w:rsidR="005B6C96" w:rsidRDefault="00651B9D" w:rsidP="00394FEA">
            <w:pPr>
              <w:spacing w:before="120" w:after="120" w:line="240" w:lineRule="auto"/>
              <w:ind w:left="-57"/>
              <w:jc w:val="center"/>
            </w:pPr>
            <w:r w:rsidRPr="00651B9D">
              <w:rPr>
                <w:noProof/>
                <w:lang w:eastAsia="fr-FR"/>
              </w:rPr>
              <w:drawing>
                <wp:inline distT="0" distB="0" distL="0" distR="0" wp14:anchorId="4ECD5C8A" wp14:editId="3763FEB0">
                  <wp:extent cx="5048250" cy="2552700"/>
                  <wp:effectExtent l="19050" t="0" r="19050" b="0"/>
                  <wp:docPr id="2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5B6C96" w:rsidRPr="00E16B3C" w:rsidTr="00394FEA">
        <w:tc>
          <w:tcPr>
            <w:tcW w:w="9189" w:type="dxa"/>
            <w:shd w:val="clear" w:color="auto" w:fill="DAEEF3" w:themeFill="accent5" w:themeFillTint="33"/>
          </w:tcPr>
          <w:p w:rsidR="005B6C96" w:rsidRPr="004D3255" w:rsidRDefault="005B6C96" w:rsidP="00394FEA">
            <w:pPr>
              <w:spacing w:line="240" w:lineRule="auto"/>
              <w:rPr>
                <w:rFonts w:ascii="Times New Roman" w:hAnsi="Times New Roman"/>
                <w:sz w:val="20"/>
                <w:szCs w:val="20"/>
              </w:rPr>
            </w:pPr>
            <w:r w:rsidRPr="004D3255">
              <w:rPr>
                <w:rFonts w:ascii="Times New Roman" w:hAnsi="Times New Roman"/>
                <w:sz w:val="20"/>
                <w:szCs w:val="20"/>
              </w:rPr>
              <w:t>Source : INSAE, 2013</w:t>
            </w:r>
          </w:p>
        </w:tc>
      </w:tr>
    </w:tbl>
    <w:p w:rsidR="005B6C96" w:rsidRDefault="005B6C96" w:rsidP="005B6C96">
      <w:pPr>
        <w:tabs>
          <w:tab w:val="left" w:pos="1335"/>
        </w:tabs>
        <w:spacing w:line="276" w:lineRule="auto"/>
        <w:rPr>
          <w:rFonts w:ascii="Times New Roman" w:hAnsi="Times New Roman"/>
          <w:sz w:val="24"/>
          <w:szCs w:val="24"/>
        </w:rPr>
      </w:pPr>
    </w:p>
    <w:p w:rsidR="00324B2E" w:rsidRDefault="00324B2E" w:rsidP="00324B2E">
      <w:pPr>
        <w:tabs>
          <w:tab w:val="left" w:pos="1335"/>
        </w:tabs>
        <w:spacing w:line="276" w:lineRule="auto"/>
        <w:rPr>
          <w:rFonts w:ascii="Times New Roman" w:hAnsi="Times New Roman"/>
          <w:sz w:val="24"/>
          <w:szCs w:val="24"/>
        </w:rPr>
      </w:pPr>
      <w:r>
        <w:rPr>
          <w:rFonts w:ascii="Times New Roman" w:hAnsi="Times New Roman"/>
          <w:sz w:val="24"/>
          <w:szCs w:val="24"/>
        </w:rPr>
        <w:t xml:space="preserve">En outre, ces résultats suggèrent que dans les secteurs ci-dessus mentionnés, la croissance n’a pas été favorable aux ménages pauvres ni même aux vulnérables. </w:t>
      </w:r>
      <w:r w:rsidRPr="002D569B">
        <w:rPr>
          <w:rFonts w:ascii="Times New Roman" w:hAnsi="Times New Roman"/>
          <w:sz w:val="24"/>
          <w:szCs w:val="24"/>
        </w:rPr>
        <w:t>Dans ce contexte, il est important de savoir à quelle frange de la population</w:t>
      </w:r>
      <w:r>
        <w:rPr>
          <w:rFonts w:ascii="Times New Roman" w:hAnsi="Times New Roman"/>
          <w:sz w:val="24"/>
          <w:szCs w:val="24"/>
        </w:rPr>
        <w:t>,</w:t>
      </w:r>
      <w:r w:rsidRPr="002D569B">
        <w:rPr>
          <w:rFonts w:ascii="Times New Roman" w:hAnsi="Times New Roman"/>
          <w:sz w:val="24"/>
          <w:szCs w:val="24"/>
        </w:rPr>
        <w:t xml:space="preserve"> les épisodes de croissance enregistrés au niveau de certains de</w:t>
      </w:r>
      <w:r>
        <w:rPr>
          <w:rFonts w:ascii="Times New Roman" w:hAnsi="Times New Roman"/>
          <w:sz w:val="24"/>
          <w:szCs w:val="24"/>
        </w:rPr>
        <w:t>s</w:t>
      </w:r>
      <w:r w:rsidRPr="002D569B">
        <w:rPr>
          <w:rFonts w:ascii="Times New Roman" w:hAnsi="Times New Roman"/>
          <w:sz w:val="24"/>
          <w:szCs w:val="24"/>
        </w:rPr>
        <w:t xml:space="preserve"> pôles de croissanc</w:t>
      </w:r>
      <w:r>
        <w:rPr>
          <w:rFonts w:ascii="Times New Roman" w:hAnsi="Times New Roman"/>
          <w:sz w:val="24"/>
          <w:szCs w:val="24"/>
        </w:rPr>
        <w:t>e</w:t>
      </w:r>
      <w:r w:rsidRPr="002D569B">
        <w:rPr>
          <w:rFonts w:ascii="Times New Roman" w:hAnsi="Times New Roman"/>
          <w:sz w:val="24"/>
          <w:szCs w:val="24"/>
        </w:rPr>
        <w:t xml:space="preserve"> ont profité bien qu’</w:t>
      </w:r>
      <w:r>
        <w:rPr>
          <w:rFonts w:ascii="Times New Roman" w:hAnsi="Times New Roman"/>
          <w:sz w:val="24"/>
          <w:szCs w:val="24"/>
        </w:rPr>
        <w:t>i</w:t>
      </w:r>
      <w:r w:rsidRPr="002D569B">
        <w:rPr>
          <w:rFonts w:ascii="Times New Roman" w:hAnsi="Times New Roman"/>
          <w:sz w:val="24"/>
          <w:szCs w:val="24"/>
        </w:rPr>
        <w:t>ls soient de faible portée. En effet, il est souligné que, pour être rapide et soutenue, la réduction de la pauvreté doit s’appuyer sur une croissance favorable aux pauvres, c’est-à-dire une croissance dont le rythme et les modalités améliorent l’aptitude des pauvres, hommes et femmes, à participer à l’activité économique et à en tirer avantage (</w:t>
      </w:r>
      <w:r w:rsidRPr="002D569B">
        <w:rPr>
          <w:rFonts w:ascii="Times New Roman" w:eastAsia="Times New Roman" w:hAnsi="Times New Roman"/>
          <w:lang w:eastAsia="fr-FR"/>
        </w:rPr>
        <w:t>POVNET, 2006)</w:t>
      </w:r>
      <w:r w:rsidRPr="002D569B">
        <w:rPr>
          <w:rFonts w:ascii="Times New Roman" w:hAnsi="Times New Roman"/>
          <w:sz w:val="24"/>
          <w:szCs w:val="24"/>
        </w:rPr>
        <w:t>.</w:t>
      </w:r>
      <w:r w:rsidR="00C66B5E">
        <w:rPr>
          <w:rFonts w:ascii="Times New Roman" w:hAnsi="Times New Roman"/>
          <w:sz w:val="24"/>
          <w:szCs w:val="24"/>
        </w:rPr>
        <w:t xml:space="preserve"> </w:t>
      </w:r>
      <w:r>
        <w:rPr>
          <w:rFonts w:ascii="Times New Roman" w:hAnsi="Times New Roman"/>
          <w:sz w:val="24"/>
          <w:szCs w:val="24"/>
        </w:rPr>
        <w:t xml:space="preserve">Cet exercice permettra d’engager des réflexions sur des </w:t>
      </w:r>
      <w:r w:rsidRPr="00AF2701">
        <w:rPr>
          <w:rFonts w:ascii="Times New Roman" w:hAnsi="Times New Roman"/>
          <w:sz w:val="24"/>
          <w:szCs w:val="24"/>
        </w:rPr>
        <w:t>mesures</w:t>
      </w:r>
      <w:r>
        <w:rPr>
          <w:rFonts w:ascii="Times New Roman" w:hAnsi="Times New Roman"/>
          <w:sz w:val="24"/>
          <w:szCs w:val="24"/>
        </w:rPr>
        <w:t xml:space="preserve"> idoines</w:t>
      </w:r>
      <w:r w:rsidRPr="00AF2701">
        <w:rPr>
          <w:rFonts w:ascii="Times New Roman" w:hAnsi="Times New Roman"/>
          <w:sz w:val="24"/>
          <w:szCs w:val="24"/>
        </w:rPr>
        <w:t xml:space="preserve"> pour influer à la fois sur le</w:t>
      </w:r>
      <w:r w:rsidR="00C824AC">
        <w:rPr>
          <w:rFonts w:ascii="Times New Roman" w:hAnsi="Times New Roman"/>
          <w:sz w:val="24"/>
          <w:szCs w:val="24"/>
        </w:rPr>
        <w:t xml:space="preserve"> </w:t>
      </w:r>
      <w:r w:rsidRPr="00AF2701">
        <w:rPr>
          <w:rFonts w:ascii="Times New Roman" w:hAnsi="Times New Roman"/>
          <w:sz w:val="24"/>
          <w:szCs w:val="24"/>
        </w:rPr>
        <w:t>rythme de la croissance économique et sur ses modalités, autrement dit la mesure dans laquelle</w:t>
      </w:r>
      <w:r w:rsidR="00C824AC">
        <w:rPr>
          <w:rFonts w:ascii="Times New Roman" w:hAnsi="Times New Roman"/>
          <w:sz w:val="24"/>
          <w:szCs w:val="24"/>
        </w:rPr>
        <w:t xml:space="preserve"> </w:t>
      </w:r>
      <w:r w:rsidRPr="00AF2701">
        <w:rPr>
          <w:rFonts w:ascii="Times New Roman" w:hAnsi="Times New Roman"/>
          <w:sz w:val="24"/>
          <w:szCs w:val="24"/>
        </w:rPr>
        <w:t>les pauvres y sont associés, en qualité d’agents comme de bénéficiaires</w:t>
      </w:r>
      <w:r>
        <w:rPr>
          <w:rStyle w:val="Appelnotedebasdep"/>
          <w:rFonts w:ascii="Times New Roman" w:hAnsi="Times New Roman"/>
          <w:sz w:val="24"/>
          <w:szCs w:val="24"/>
        </w:rPr>
        <w:footnoteReference w:id="55"/>
      </w:r>
      <w:r>
        <w:rPr>
          <w:rFonts w:ascii="Times New Roman" w:hAnsi="Times New Roman"/>
          <w:sz w:val="24"/>
          <w:szCs w:val="24"/>
        </w:rPr>
        <w:t xml:space="preserve">. </w:t>
      </w:r>
    </w:p>
    <w:p w:rsidR="00324B2E" w:rsidRDefault="00324B2E" w:rsidP="00324B2E">
      <w:pPr>
        <w:tabs>
          <w:tab w:val="left" w:pos="1335"/>
        </w:tabs>
        <w:spacing w:line="276" w:lineRule="auto"/>
        <w:rPr>
          <w:rFonts w:ascii="Times New Roman" w:eastAsia="Times New Roman" w:hAnsi="Times New Roman"/>
          <w:lang w:eastAsia="fr-FR"/>
        </w:rPr>
      </w:pPr>
    </w:p>
    <w:p w:rsidR="00324B2E" w:rsidRDefault="00324B2E" w:rsidP="00324B2E">
      <w:pPr>
        <w:tabs>
          <w:tab w:val="left" w:pos="1335"/>
        </w:tabs>
        <w:spacing w:line="276" w:lineRule="auto"/>
        <w:rPr>
          <w:rFonts w:ascii="Times New Roman" w:hAnsi="Times New Roman"/>
          <w:sz w:val="24"/>
          <w:szCs w:val="24"/>
        </w:rPr>
      </w:pPr>
      <w:r w:rsidRPr="00137F5E">
        <w:rPr>
          <w:rFonts w:ascii="Times New Roman" w:hAnsi="Times New Roman"/>
          <w:sz w:val="24"/>
          <w:szCs w:val="24"/>
        </w:rPr>
        <w:t>Cette préoccupation est abordée dans la section qui suit à travers l’analyse de la nature de la croissance et de sa contribution à la réduction de la pauvreté.</w:t>
      </w:r>
    </w:p>
    <w:p w:rsidR="00324B2E" w:rsidRDefault="00324B2E" w:rsidP="00324B2E">
      <w:pPr>
        <w:tabs>
          <w:tab w:val="left" w:pos="1335"/>
        </w:tabs>
        <w:spacing w:line="276" w:lineRule="auto"/>
        <w:rPr>
          <w:rFonts w:ascii="Times New Roman" w:hAnsi="Times New Roman"/>
          <w:sz w:val="24"/>
          <w:szCs w:val="24"/>
        </w:rPr>
      </w:pPr>
    </w:p>
    <w:p w:rsidR="00324B2E" w:rsidRPr="00CC312E" w:rsidRDefault="00117A96" w:rsidP="00C85F00">
      <w:pPr>
        <w:pStyle w:val="Titre2"/>
        <w:spacing w:before="0" w:after="0" w:line="276" w:lineRule="auto"/>
        <w:rPr>
          <w:rFonts w:ascii="Times New Roman" w:hAnsi="Times New Roman" w:cs="Times New Roman"/>
          <w:i w:val="0"/>
          <w:color w:val="31849B" w:themeColor="accent5" w:themeShade="BF"/>
        </w:rPr>
      </w:pPr>
      <w:bookmarkStart w:id="81" w:name="_Toc382322925"/>
      <w:r w:rsidRPr="00CC312E">
        <w:rPr>
          <w:rFonts w:ascii="Times New Roman" w:hAnsi="Times New Roman" w:cs="Times New Roman"/>
          <w:i w:val="0"/>
          <w:color w:val="31849B" w:themeColor="accent5" w:themeShade="BF"/>
        </w:rPr>
        <w:t>2</w:t>
      </w:r>
      <w:r w:rsidR="00324B2E" w:rsidRPr="00CC312E">
        <w:rPr>
          <w:rFonts w:ascii="Times New Roman" w:hAnsi="Times New Roman" w:cs="Times New Roman"/>
          <w:i w:val="0"/>
          <w:color w:val="31849B" w:themeColor="accent5" w:themeShade="BF"/>
        </w:rPr>
        <w:t>.</w:t>
      </w:r>
      <w:r w:rsidR="00BE67B7">
        <w:rPr>
          <w:rFonts w:ascii="Times New Roman" w:hAnsi="Times New Roman" w:cs="Times New Roman"/>
          <w:i w:val="0"/>
          <w:color w:val="31849B" w:themeColor="accent5" w:themeShade="BF"/>
        </w:rPr>
        <w:t>3</w:t>
      </w:r>
      <w:r w:rsidR="00324B2E" w:rsidRPr="00CC312E">
        <w:rPr>
          <w:rFonts w:ascii="Times New Roman" w:hAnsi="Times New Roman" w:cs="Times New Roman"/>
          <w:i w:val="0"/>
          <w:color w:val="31849B" w:themeColor="accent5" w:themeShade="BF"/>
        </w:rPr>
        <w:t xml:space="preserve"> Analyse de la nature pro-pauvre de la croissance et de sa contribution à la réduction de la pauvreté.</w:t>
      </w:r>
      <w:bookmarkEnd w:id="81"/>
    </w:p>
    <w:p w:rsidR="00E87C89" w:rsidRDefault="00E87C89" w:rsidP="00324B2E">
      <w:pPr>
        <w:tabs>
          <w:tab w:val="left" w:pos="1335"/>
        </w:tabs>
        <w:spacing w:line="276" w:lineRule="auto"/>
        <w:rPr>
          <w:rFonts w:ascii="Times New Roman" w:hAnsi="Times New Roman"/>
          <w:sz w:val="24"/>
          <w:szCs w:val="24"/>
        </w:rPr>
      </w:pPr>
    </w:p>
    <w:p w:rsidR="00324B2E" w:rsidRPr="000321E2" w:rsidRDefault="00324B2E" w:rsidP="00324B2E">
      <w:pPr>
        <w:tabs>
          <w:tab w:val="left" w:pos="1335"/>
        </w:tabs>
        <w:spacing w:line="276" w:lineRule="auto"/>
        <w:rPr>
          <w:rFonts w:ascii="Times New Roman" w:hAnsi="Times New Roman"/>
          <w:color w:val="000000"/>
          <w:sz w:val="24"/>
          <w:szCs w:val="24"/>
        </w:rPr>
      </w:pPr>
      <w:r w:rsidRPr="00833690">
        <w:rPr>
          <w:rFonts w:ascii="Times New Roman" w:hAnsi="Times New Roman"/>
          <w:sz w:val="24"/>
          <w:szCs w:val="24"/>
        </w:rPr>
        <w:t>Cette section vise à analyser d’une part, la connexion entre la croissance économique et la réduction de la pauvreté et d’autre part, à apprécier l’importance relative de la croissance aux changements de la pauvreté. Ainsi, dans un premier temps, il s’agit de vérifier si la croissance a été</w:t>
      </w:r>
      <w:r>
        <w:rPr>
          <w:rFonts w:ascii="Times New Roman" w:hAnsi="Times New Roman"/>
          <w:sz w:val="24"/>
          <w:szCs w:val="24"/>
        </w:rPr>
        <w:t xml:space="preserve"> au</w:t>
      </w:r>
      <w:r w:rsidRPr="00833690">
        <w:rPr>
          <w:rFonts w:ascii="Times New Roman" w:hAnsi="Times New Roman"/>
          <w:sz w:val="24"/>
          <w:szCs w:val="24"/>
        </w:rPr>
        <w:t xml:space="preserve"> bénéfice </w:t>
      </w:r>
      <w:r>
        <w:rPr>
          <w:rFonts w:ascii="Times New Roman" w:hAnsi="Times New Roman"/>
          <w:sz w:val="24"/>
          <w:szCs w:val="24"/>
        </w:rPr>
        <w:t>des</w:t>
      </w:r>
      <w:r w:rsidRPr="00833690">
        <w:rPr>
          <w:rFonts w:ascii="Times New Roman" w:hAnsi="Times New Roman"/>
          <w:sz w:val="24"/>
          <w:szCs w:val="24"/>
        </w:rPr>
        <w:t xml:space="preserve"> pauvres de façon générale</w:t>
      </w:r>
      <w:r>
        <w:rPr>
          <w:rFonts w:ascii="Times New Roman" w:hAnsi="Times New Roman"/>
          <w:sz w:val="24"/>
          <w:szCs w:val="24"/>
        </w:rPr>
        <w:t>,</w:t>
      </w:r>
      <w:r w:rsidRPr="00833690">
        <w:rPr>
          <w:rFonts w:ascii="Times New Roman" w:hAnsi="Times New Roman"/>
          <w:sz w:val="24"/>
          <w:szCs w:val="24"/>
        </w:rPr>
        <w:t xml:space="preserve"> ou </w:t>
      </w:r>
      <w:r>
        <w:rPr>
          <w:rFonts w:ascii="Times New Roman" w:hAnsi="Times New Roman"/>
          <w:sz w:val="24"/>
          <w:szCs w:val="24"/>
        </w:rPr>
        <w:t xml:space="preserve">dans </w:t>
      </w:r>
      <w:r w:rsidRPr="00833690">
        <w:rPr>
          <w:rFonts w:ascii="Times New Roman" w:hAnsi="Times New Roman"/>
          <w:sz w:val="24"/>
          <w:szCs w:val="24"/>
        </w:rPr>
        <w:t xml:space="preserve">le cas </w:t>
      </w:r>
      <w:r>
        <w:rPr>
          <w:rFonts w:ascii="Times New Roman" w:hAnsi="Times New Roman"/>
          <w:sz w:val="24"/>
          <w:szCs w:val="24"/>
        </w:rPr>
        <w:t>contraire,</w:t>
      </w:r>
      <w:r w:rsidRPr="00833690">
        <w:rPr>
          <w:rFonts w:ascii="Times New Roman" w:hAnsi="Times New Roman"/>
          <w:sz w:val="24"/>
          <w:szCs w:val="24"/>
        </w:rPr>
        <w:t xml:space="preserve"> à quelle frange de cette population pauvre cette croissance </w:t>
      </w:r>
      <w:r>
        <w:rPr>
          <w:rFonts w:ascii="Times New Roman" w:hAnsi="Times New Roman"/>
          <w:sz w:val="24"/>
          <w:szCs w:val="24"/>
        </w:rPr>
        <w:t>a</w:t>
      </w:r>
      <w:r w:rsidRPr="00833690">
        <w:rPr>
          <w:rFonts w:ascii="Times New Roman" w:hAnsi="Times New Roman"/>
          <w:sz w:val="24"/>
          <w:szCs w:val="24"/>
        </w:rPr>
        <w:t xml:space="preserve"> profité</w:t>
      </w:r>
      <w:r>
        <w:rPr>
          <w:rFonts w:ascii="Times New Roman" w:hAnsi="Times New Roman"/>
          <w:sz w:val="24"/>
          <w:szCs w:val="24"/>
        </w:rPr>
        <w:t>.</w:t>
      </w:r>
      <w:r w:rsidRPr="00833690">
        <w:rPr>
          <w:rFonts w:ascii="Times New Roman" w:hAnsi="Times New Roman"/>
          <w:sz w:val="24"/>
          <w:szCs w:val="24"/>
        </w:rPr>
        <w:t xml:space="preserve"> Dans un second temps, il s’agit d’apprécier l’importance relative de l’effet croissance et de l’effet de la distribution dans la variation de la pauvreté. </w:t>
      </w:r>
      <w:r w:rsidRPr="00722E59">
        <w:rPr>
          <w:rFonts w:ascii="Times New Roman" w:hAnsi="Times New Roman"/>
          <w:sz w:val="24"/>
          <w:szCs w:val="24"/>
        </w:rPr>
        <w:t xml:space="preserve">Ce deuxième effet permet de comprendre l’importance des inégalités dans le processus de réduction de </w:t>
      </w:r>
      <w:r>
        <w:rPr>
          <w:rFonts w:ascii="Times New Roman" w:hAnsi="Times New Roman"/>
          <w:sz w:val="24"/>
          <w:szCs w:val="24"/>
        </w:rPr>
        <w:t>l</w:t>
      </w:r>
      <w:r w:rsidRPr="00722E59">
        <w:rPr>
          <w:rFonts w:ascii="Times New Roman" w:hAnsi="Times New Roman"/>
          <w:sz w:val="24"/>
          <w:szCs w:val="24"/>
        </w:rPr>
        <w:t>a pauvreté.</w:t>
      </w:r>
      <w:r>
        <w:rPr>
          <w:rFonts w:ascii="Times New Roman" w:hAnsi="Times New Roman"/>
          <w:sz w:val="24"/>
          <w:szCs w:val="24"/>
        </w:rPr>
        <w:t xml:space="preserve"> En effet, </w:t>
      </w:r>
      <w:r w:rsidRPr="00833690">
        <w:rPr>
          <w:rFonts w:ascii="Times New Roman" w:hAnsi="Times New Roman"/>
          <w:sz w:val="24"/>
          <w:szCs w:val="24"/>
        </w:rPr>
        <w:t>comme le souligne Osmani (2005), une croissance est considérée comme pro-pauvre lorsqu’elle réduit à la fois la pauvreté et l’inégalité</w:t>
      </w:r>
      <w:r w:rsidRPr="00833690">
        <w:rPr>
          <w:rFonts w:ascii="Times New Roman" w:hAnsi="Times New Roman"/>
          <w:vertAlign w:val="superscript"/>
        </w:rPr>
        <w:footnoteReference w:id="56"/>
      </w:r>
      <w:r w:rsidRPr="00833690">
        <w:rPr>
          <w:rFonts w:ascii="Times New Roman" w:hAnsi="Times New Roman"/>
          <w:sz w:val="24"/>
          <w:szCs w:val="24"/>
        </w:rPr>
        <w:t xml:space="preserve">. Ainsi, dans une perspective d’une stratégie de réduction de la pauvreté basée sur une croissance pro-pauvre, une attention particulière doit être aussi bien accordée à la croissance qu’à l’inégalité. </w:t>
      </w:r>
      <w:r>
        <w:rPr>
          <w:rFonts w:ascii="Times New Roman" w:hAnsi="Times New Roman"/>
          <w:sz w:val="24"/>
          <w:szCs w:val="24"/>
        </w:rPr>
        <w:t xml:space="preserve">Abondant dans le même sens, </w:t>
      </w:r>
      <w:r w:rsidRPr="000321E2">
        <w:rPr>
          <w:rFonts w:ascii="Times New Roman" w:hAnsi="Times New Roman"/>
          <w:color w:val="000000"/>
          <w:sz w:val="24"/>
          <w:szCs w:val="24"/>
        </w:rPr>
        <w:t>Bourguignon (2002)</w:t>
      </w:r>
      <w:r>
        <w:rPr>
          <w:rFonts w:ascii="Times New Roman" w:hAnsi="Times New Roman"/>
          <w:color w:val="000000"/>
          <w:sz w:val="24"/>
          <w:szCs w:val="24"/>
        </w:rPr>
        <w:t xml:space="preserve"> souligne que</w:t>
      </w:r>
      <w:r w:rsidRPr="000321E2">
        <w:rPr>
          <w:rFonts w:ascii="Times New Roman" w:hAnsi="Times New Roman"/>
          <w:color w:val="000000"/>
          <w:sz w:val="24"/>
          <w:szCs w:val="24"/>
        </w:rPr>
        <w:t xml:space="preserve"> la réduction des inégalités génère un «double dividende». Non seulement </w:t>
      </w:r>
      <w:r>
        <w:rPr>
          <w:rFonts w:ascii="Times New Roman" w:hAnsi="Times New Roman"/>
          <w:color w:val="000000"/>
          <w:sz w:val="24"/>
          <w:szCs w:val="24"/>
        </w:rPr>
        <w:t xml:space="preserve">la baisse de </w:t>
      </w:r>
      <w:r w:rsidRPr="000321E2">
        <w:rPr>
          <w:rFonts w:ascii="Times New Roman" w:hAnsi="Times New Roman"/>
          <w:color w:val="000000"/>
          <w:sz w:val="24"/>
          <w:szCs w:val="24"/>
        </w:rPr>
        <w:t xml:space="preserve">l’inégalité contribue à réduire la pauvreté à travers un pur effet de redistribution, mais </w:t>
      </w:r>
      <w:r>
        <w:rPr>
          <w:rFonts w:ascii="Times New Roman" w:hAnsi="Times New Roman"/>
          <w:color w:val="000000"/>
          <w:sz w:val="24"/>
          <w:szCs w:val="24"/>
        </w:rPr>
        <w:t>en</w:t>
      </w:r>
      <w:r w:rsidRPr="000321E2">
        <w:rPr>
          <w:rFonts w:ascii="Times New Roman" w:hAnsi="Times New Roman"/>
          <w:color w:val="000000"/>
          <w:sz w:val="24"/>
          <w:szCs w:val="24"/>
        </w:rPr>
        <w:t xml:space="preserve"> plus cette baisse entraîne une accélération du rythme de réduction de la pauvreté, car l’élasticité du taux de pauvreté au revenu moyen dépend de façon étroite et négative du degré d’inégalité des revenus.</w:t>
      </w:r>
    </w:p>
    <w:p w:rsidR="00324B2E" w:rsidRDefault="00324B2E" w:rsidP="00324B2E">
      <w:pPr>
        <w:tabs>
          <w:tab w:val="left" w:pos="1335"/>
        </w:tabs>
        <w:spacing w:line="276" w:lineRule="auto"/>
        <w:rPr>
          <w:rFonts w:ascii="Times New Roman" w:hAnsi="Times New Roman"/>
          <w:sz w:val="24"/>
          <w:szCs w:val="24"/>
        </w:rPr>
      </w:pPr>
    </w:p>
    <w:p w:rsidR="00324B2E" w:rsidRDefault="00324B2E" w:rsidP="00324B2E">
      <w:pPr>
        <w:tabs>
          <w:tab w:val="left" w:pos="1335"/>
        </w:tabs>
        <w:spacing w:line="276" w:lineRule="auto"/>
        <w:rPr>
          <w:rFonts w:ascii="Times New Roman" w:hAnsi="Times New Roman"/>
          <w:sz w:val="24"/>
          <w:szCs w:val="24"/>
        </w:rPr>
      </w:pPr>
      <w:r>
        <w:rPr>
          <w:rFonts w:ascii="Times New Roman" w:hAnsi="Times New Roman"/>
          <w:sz w:val="24"/>
          <w:szCs w:val="24"/>
        </w:rPr>
        <w:t>Dans cette section, l</w:t>
      </w:r>
      <w:r w:rsidRPr="00B03D52">
        <w:rPr>
          <w:rFonts w:ascii="Times New Roman" w:hAnsi="Times New Roman"/>
          <w:sz w:val="24"/>
          <w:szCs w:val="24"/>
        </w:rPr>
        <w:t>’analyse de la nature pro-pauvre de la croissance a été faite à travers l’estimation de la Courbe de Croissance de Pauvreté</w:t>
      </w:r>
      <w:r w:rsidRPr="00C976CA">
        <w:rPr>
          <w:vertAlign w:val="superscript"/>
        </w:rPr>
        <w:footnoteReference w:id="57"/>
      </w:r>
      <w:r w:rsidRPr="00B03D52">
        <w:rPr>
          <w:rFonts w:ascii="Times New Roman" w:hAnsi="Times New Roman"/>
          <w:sz w:val="24"/>
          <w:szCs w:val="24"/>
        </w:rPr>
        <w:t xml:space="preserve"> (CCP) proposée par Son (2004b). Elle permet de dire sans ambigüité si la pauvreté a augmenté </w:t>
      </w:r>
      <w:r>
        <w:rPr>
          <w:rFonts w:ascii="Times New Roman" w:hAnsi="Times New Roman"/>
          <w:sz w:val="24"/>
          <w:szCs w:val="24"/>
        </w:rPr>
        <w:t xml:space="preserve">ou non entre deux dates et aussi </w:t>
      </w:r>
      <w:r w:rsidRPr="00B03D52">
        <w:rPr>
          <w:rFonts w:ascii="Times New Roman" w:hAnsi="Times New Roman"/>
          <w:sz w:val="24"/>
          <w:szCs w:val="24"/>
        </w:rPr>
        <w:t>de déterminer si les pauvres bénéficient plus que les non pauvres des gains de la croissance</w:t>
      </w:r>
      <w:r>
        <w:rPr>
          <w:rFonts w:ascii="Times New Roman" w:hAnsi="Times New Roman"/>
          <w:sz w:val="24"/>
          <w:szCs w:val="24"/>
        </w:rPr>
        <w:t xml:space="preserve">. </w:t>
      </w:r>
      <w:r w:rsidR="005B381B">
        <w:rPr>
          <w:rFonts w:ascii="Times New Roman" w:hAnsi="Times New Roman"/>
          <w:sz w:val="24"/>
          <w:szCs w:val="24"/>
        </w:rPr>
        <w:t>En outre, elle permet de déduire si la variation de la pauvreté est consécutive ou non à la</w:t>
      </w:r>
      <w:r w:rsidR="005B381B" w:rsidRPr="00B03D52">
        <w:rPr>
          <w:rFonts w:ascii="Times New Roman" w:hAnsi="Times New Roman"/>
          <w:sz w:val="24"/>
          <w:szCs w:val="24"/>
        </w:rPr>
        <w:t xml:space="preserve"> variation des inégalités</w:t>
      </w:r>
      <w:r w:rsidR="005B381B">
        <w:rPr>
          <w:rFonts w:ascii="Times New Roman" w:hAnsi="Times New Roman"/>
          <w:sz w:val="24"/>
          <w:szCs w:val="24"/>
        </w:rPr>
        <w:t>. Dans le premier cas, elle illustre le taux de croissance du revenu moyen des p pour cent du bas de la distribution de la population, lorsque les individus sont ordonnés selon les revenus par tête</w:t>
      </w:r>
      <w:r w:rsidRPr="00B03D52">
        <w:rPr>
          <w:rFonts w:ascii="Times New Roman" w:hAnsi="Times New Roman"/>
          <w:sz w:val="24"/>
          <w:szCs w:val="24"/>
        </w:rPr>
        <w:t xml:space="preserve">. Ainsi, si la CCP estimée est partout au-dessus de zéro, </w:t>
      </w:r>
      <w:r>
        <w:rPr>
          <w:rFonts w:ascii="Times New Roman" w:hAnsi="Times New Roman"/>
          <w:sz w:val="24"/>
          <w:szCs w:val="24"/>
        </w:rPr>
        <w:t>alors la croissance se révèle pro-pauvre en termes absolus</w:t>
      </w:r>
      <w:r>
        <w:rPr>
          <w:rStyle w:val="Appelnotedebasdep"/>
          <w:rFonts w:ascii="Times New Roman" w:hAnsi="Times New Roman"/>
          <w:sz w:val="24"/>
          <w:szCs w:val="24"/>
        </w:rPr>
        <w:footnoteReference w:id="58"/>
      </w:r>
      <w:r w:rsidRPr="00B03D52">
        <w:rPr>
          <w:rFonts w:ascii="Times New Roman" w:hAnsi="Times New Roman"/>
          <w:sz w:val="24"/>
          <w:szCs w:val="24"/>
        </w:rPr>
        <w:t xml:space="preserve">, </w:t>
      </w:r>
      <w:r>
        <w:rPr>
          <w:rFonts w:ascii="Times New Roman" w:hAnsi="Times New Roman"/>
          <w:sz w:val="24"/>
          <w:szCs w:val="24"/>
        </w:rPr>
        <w:t xml:space="preserve">puisque la consommation par tête a </w:t>
      </w:r>
      <w:r w:rsidRPr="00B03D52">
        <w:rPr>
          <w:rFonts w:ascii="Times New Roman" w:hAnsi="Times New Roman"/>
          <w:sz w:val="24"/>
          <w:szCs w:val="24"/>
        </w:rPr>
        <w:t>augment</w:t>
      </w:r>
      <w:r>
        <w:rPr>
          <w:rFonts w:ascii="Times New Roman" w:hAnsi="Times New Roman"/>
          <w:sz w:val="24"/>
          <w:szCs w:val="24"/>
        </w:rPr>
        <w:t>é</w:t>
      </w:r>
      <w:r w:rsidRPr="00B03D52">
        <w:rPr>
          <w:rFonts w:ascii="Times New Roman" w:hAnsi="Times New Roman"/>
          <w:sz w:val="24"/>
          <w:szCs w:val="24"/>
        </w:rPr>
        <w:t xml:space="preserve"> à tous les points de la distribution. </w:t>
      </w:r>
      <w:r w:rsidR="005B381B">
        <w:rPr>
          <w:rFonts w:ascii="Times New Roman" w:hAnsi="Times New Roman"/>
          <w:sz w:val="24"/>
          <w:szCs w:val="24"/>
        </w:rPr>
        <w:t xml:space="preserve"> Dans le cas, elle illustre la différence entre</w:t>
      </w:r>
      <w:r w:rsidR="009876E4">
        <w:rPr>
          <w:rFonts w:ascii="Times New Roman" w:hAnsi="Times New Roman"/>
          <w:sz w:val="24"/>
          <w:szCs w:val="24"/>
        </w:rPr>
        <w:t xml:space="preserve"> le taux de croissance du revenu moyen des p pour cent du bas de la distribution de la population et le taux de croissance du revenu moyen de l’ensemble de la population. De la même manière, </w:t>
      </w:r>
      <w:r w:rsidR="009876E4" w:rsidRPr="00B03D52">
        <w:rPr>
          <w:rFonts w:ascii="Times New Roman" w:hAnsi="Times New Roman"/>
          <w:sz w:val="24"/>
          <w:szCs w:val="24"/>
        </w:rPr>
        <w:t xml:space="preserve">si la CCP </w:t>
      </w:r>
      <w:r w:rsidR="009876E4">
        <w:rPr>
          <w:rFonts w:ascii="Times New Roman" w:hAnsi="Times New Roman"/>
          <w:sz w:val="24"/>
          <w:szCs w:val="24"/>
        </w:rPr>
        <w:t>est partout</w:t>
      </w:r>
      <w:r w:rsidR="009876E4" w:rsidRPr="00B03D52">
        <w:rPr>
          <w:rFonts w:ascii="Times New Roman" w:hAnsi="Times New Roman"/>
          <w:sz w:val="24"/>
          <w:szCs w:val="24"/>
        </w:rPr>
        <w:t xml:space="preserve"> au-dessus de zéro, </w:t>
      </w:r>
      <w:r w:rsidR="009876E4">
        <w:rPr>
          <w:rFonts w:ascii="Times New Roman" w:hAnsi="Times New Roman"/>
          <w:sz w:val="24"/>
          <w:szCs w:val="24"/>
        </w:rPr>
        <w:t>alors la croissance se révèle pro-pauvre en termes relatifs</w:t>
      </w:r>
      <w:r w:rsidR="00182C97">
        <w:rPr>
          <w:rFonts w:ascii="Times New Roman" w:hAnsi="Times New Roman"/>
          <w:sz w:val="24"/>
          <w:szCs w:val="24"/>
        </w:rPr>
        <w:t xml:space="preserve">, puisque cela implique que les pauvres bénéficient plus que les non pauvres des gains de la croissance et l’inégalité diminue. </w:t>
      </w:r>
    </w:p>
    <w:p w:rsidR="009876E4" w:rsidRDefault="009876E4" w:rsidP="00324B2E">
      <w:pPr>
        <w:tabs>
          <w:tab w:val="left" w:pos="1335"/>
        </w:tabs>
        <w:spacing w:line="276" w:lineRule="auto"/>
        <w:rPr>
          <w:rFonts w:ascii="Times New Roman" w:hAnsi="Times New Roman"/>
          <w:sz w:val="24"/>
          <w:szCs w:val="24"/>
        </w:rPr>
      </w:pPr>
    </w:p>
    <w:p w:rsidR="00324B2E" w:rsidRPr="004C6829" w:rsidRDefault="00182C97" w:rsidP="00324B2E">
      <w:pPr>
        <w:spacing w:line="276" w:lineRule="auto"/>
        <w:rPr>
          <w:rFonts w:ascii="Times New Roman" w:hAnsi="Times New Roman"/>
          <w:sz w:val="24"/>
          <w:szCs w:val="24"/>
        </w:rPr>
      </w:pPr>
      <w:r w:rsidRPr="004C6829">
        <w:rPr>
          <w:rFonts w:ascii="Times New Roman" w:hAnsi="Times New Roman"/>
          <w:b/>
          <w:sz w:val="24"/>
          <w:szCs w:val="24"/>
        </w:rPr>
        <w:t xml:space="preserve">Au niveau national, </w:t>
      </w:r>
      <w:r w:rsidRPr="004C6829">
        <w:rPr>
          <w:rFonts w:ascii="Times New Roman" w:eastAsia="Times New Roman" w:hAnsi="Times New Roman"/>
          <w:b/>
          <w:bCs/>
          <w:color w:val="000000"/>
          <w:sz w:val="24"/>
          <w:szCs w:val="24"/>
          <w:lang w:eastAsia="fr-FR"/>
        </w:rPr>
        <w:t xml:space="preserve">les niveaux de vie des populations les plus pauvres ont plus fortement augmentés qu’en moyenne. Ainsi, la croissance économique a été relativement pro-pauvre. Cependant, le taux de pauvreté a peu diminué car cette évolution favorable concerne environ les deux premiers déciles. Cette baisse est liée à une diminution des inégalités. </w:t>
      </w:r>
      <w:r w:rsidRPr="004C6829">
        <w:rPr>
          <w:rFonts w:ascii="Times New Roman" w:eastAsia="Times New Roman" w:hAnsi="Times New Roman"/>
          <w:bCs/>
          <w:color w:val="000000"/>
          <w:sz w:val="24"/>
          <w:szCs w:val="24"/>
          <w:lang w:eastAsia="fr-FR"/>
        </w:rPr>
        <w:t>L</w:t>
      </w:r>
      <w:r w:rsidRPr="004C6829">
        <w:rPr>
          <w:rFonts w:ascii="Times New Roman" w:hAnsi="Times New Roman"/>
          <w:sz w:val="24"/>
          <w:szCs w:val="24"/>
        </w:rPr>
        <w:t>e graphique 2.</w:t>
      </w:r>
      <w:r w:rsidR="008C2241" w:rsidRPr="00C15C6F">
        <w:rPr>
          <w:rFonts w:ascii="Times New Roman" w:hAnsi="Times New Roman"/>
          <w:sz w:val="24"/>
          <w:szCs w:val="24"/>
        </w:rPr>
        <w:t>7</w:t>
      </w:r>
      <w:r w:rsidRPr="004C6829">
        <w:rPr>
          <w:rFonts w:ascii="Times New Roman" w:hAnsi="Times New Roman"/>
          <w:sz w:val="24"/>
          <w:szCs w:val="24"/>
        </w:rPr>
        <w:t xml:space="preserve"> indique la CCP de la consommation réelle par tête pour la population totale. La ligne grise entourée d’une zone grisée est la CCP réelle. Les taux de pauvreté sont aussi représentés dans chaque graphique par les lignes verticales en pointillés pour 2006 et en traits pointillés pour 2009. On peut noter que la CPP est</w:t>
      </w:r>
      <w:r w:rsidR="00852683" w:rsidRPr="00C15C6F">
        <w:rPr>
          <w:rFonts w:ascii="Times New Roman" w:hAnsi="Times New Roman"/>
          <w:sz w:val="24"/>
          <w:szCs w:val="24"/>
        </w:rPr>
        <w:t xml:space="preserve"> partout</w:t>
      </w:r>
      <w:r w:rsidRPr="004C6829">
        <w:rPr>
          <w:rFonts w:ascii="Times New Roman" w:hAnsi="Times New Roman"/>
          <w:sz w:val="24"/>
          <w:szCs w:val="24"/>
        </w:rPr>
        <w:t xml:space="preserve"> située au dessus</w:t>
      </w:r>
      <w:r w:rsidR="00852683" w:rsidRPr="00C15C6F">
        <w:rPr>
          <w:rFonts w:ascii="Times New Roman" w:hAnsi="Times New Roman"/>
          <w:sz w:val="24"/>
          <w:szCs w:val="24"/>
        </w:rPr>
        <w:t xml:space="preserve"> de zéro</w:t>
      </w:r>
      <w:r w:rsidRPr="00C15C6F">
        <w:rPr>
          <w:rFonts w:ascii="Times New Roman" w:hAnsi="Times New Roman"/>
          <w:sz w:val="24"/>
          <w:szCs w:val="24"/>
        </w:rPr>
        <w:t xml:space="preserve">, ce qui suggère que la croissance a été pro-pauvre en termes relatifs. En outre, ce résultat suggère que l’inégalité a diminué. Ainsi, comme l’ont souligné Osmani (2005) et </w:t>
      </w:r>
      <w:r w:rsidRPr="00C15C6F">
        <w:rPr>
          <w:rFonts w:ascii="Times New Roman" w:hAnsi="Times New Roman"/>
          <w:color w:val="000000"/>
          <w:sz w:val="24"/>
          <w:szCs w:val="24"/>
        </w:rPr>
        <w:t xml:space="preserve">Bourguignon (2002), </w:t>
      </w:r>
      <w:r w:rsidRPr="00C15C6F">
        <w:rPr>
          <w:rFonts w:ascii="Times New Roman" w:hAnsi="Times New Roman"/>
          <w:sz w:val="24"/>
          <w:szCs w:val="24"/>
        </w:rPr>
        <w:t>dans une perspective d’une stratégie de réduction de la pauvreté basée sur une croissance pro-pauvre, une attention particulière doit être aussi bien accordée à la croissance qu’à l’inégalité.</w:t>
      </w:r>
    </w:p>
    <w:p w:rsidR="00324B2E" w:rsidRPr="00C15C6F" w:rsidRDefault="00324B2E" w:rsidP="00324B2E">
      <w:pPr>
        <w:spacing w:line="276" w:lineRule="auto"/>
        <w:rPr>
          <w:rFonts w:ascii="Times New Roman" w:eastAsia="Times New Roman" w:hAnsi="Times New Roman"/>
          <w:b/>
          <w:bCs/>
          <w:color w:val="000000"/>
          <w:sz w:val="24"/>
          <w:szCs w:val="24"/>
          <w:lang w:eastAsia="fr-FR"/>
        </w:rPr>
      </w:pPr>
    </w:p>
    <w:p w:rsidR="00324B2E" w:rsidRPr="004C6829" w:rsidRDefault="00182C97" w:rsidP="00324B2E">
      <w:pPr>
        <w:spacing w:line="276" w:lineRule="auto"/>
        <w:rPr>
          <w:rFonts w:ascii="Times New Roman" w:eastAsia="Times New Roman" w:hAnsi="Times New Roman"/>
          <w:b/>
          <w:bCs/>
          <w:color w:val="000000"/>
          <w:sz w:val="24"/>
          <w:szCs w:val="24"/>
          <w:lang w:eastAsia="fr-FR"/>
        </w:rPr>
      </w:pPr>
      <w:r w:rsidRPr="00C15C6F">
        <w:rPr>
          <w:rFonts w:ascii="Times New Roman" w:eastAsia="Times New Roman" w:hAnsi="Times New Roman"/>
          <w:b/>
          <w:bCs/>
          <w:color w:val="000000"/>
          <w:sz w:val="24"/>
          <w:szCs w:val="24"/>
          <w:lang w:eastAsia="fr-FR"/>
        </w:rPr>
        <w:t xml:space="preserve">Que ce soit en milieu urbain ou en milieu rural, la croissance économique a été relativement pro-pauvre. </w:t>
      </w:r>
      <w:r w:rsidRPr="00C15C6F">
        <w:rPr>
          <w:rFonts w:ascii="Times New Roman" w:eastAsia="Times New Roman" w:hAnsi="Times New Roman"/>
          <w:bCs/>
          <w:color w:val="000000"/>
          <w:sz w:val="24"/>
          <w:szCs w:val="24"/>
          <w:lang w:eastAsia="fr-FR"/>
        </w:rPr>
        <w:t xml:space="preserve">Pour chacun de ces milieux, la CCP </w:t>
      </w:r>
      <w:r w:rsidRPr="00C15C6F">
        <w:rPr>
          <w:rFonts w:ascii="Times New Roman" w:hAnsi="Times New Roman"/>
          <w:sz w:val="24"/>
          <w:szCs w:val="24"/>
        </w:rPr>
        <w:t xml:space="preserve">est située </w:t>
      </w:r>
      <w:r w:rsidR="004C6829" w:rsidRPr="00C15C6F">
        <w:rPr>
          <w:rFonts w:ascii="Times New Roman" w:hAnsi="Times New Roman"/>
          <w:sz w:val="24"/>
          <w:szCs w:val="24"/>
        </w:rPr>
        <w:t>est partout située au dessus de zéro</w:t>
      </w:r>
      <w:r w:rsidRPr="00C15C6F">
        <w:rPr>
          <w:rFonts w:ascii="Times New Roman" w:hAnsi="Times New Roman"/>
          <w:sz w:val="24"/>
          <w:szCs w:val="24"/>
        </w:rPr>
        <w:t xml:space="preserve">. Ainsi, les pauvres ont bénéficié proportionnellement plus que les non pauvres des gains de la croissance et l’inégalité a diminué. Par contre en termes absolus, c’est seulement en milieu urbain que la croissance a été pro-pauvre. En effet,  en milieu urbain, la CCP est positive </w:t>
      </w:r>
      <w:r w:rsidRPr="00C15C6F">
        <w:rPr>
          <w:rFonts w:ascii="Times New Roman" w:eastAsia="Times New Roman" w:hAnsi="Times New Roman"/>
          <w:bCs/>
          <w:color w:val="000000"/>
          <w:sz w:val="24"/>
          <w:szCs w:val="24"/>
          <w:lang w:eastAsia="fr-FR"/>
        </w:rPr>
        <w:t xml:space="preserve"> traduisant ainsi une amélioration du niveau de vie </w:t>
      </w:r>
      <w:r w:rsidRPr="00C15C6F">
        <w:rPr>
          <w:rFonts w:ascii="Times New Roman" w:hAnsi="Times New Roman"/>
          <w:sz w:val="24"/>
          <w:szCs w:val="24"/>
        </w:rPr>
        <w:t xml:space="preserve">pour tous les percentiles de la distribution des dépenses de consommation. Ceci expliquerait la baisse de l’incidence de la pauvreté de 5,3 points entre 2006 et 2009, puisque le niveau de vie de toute la population a augmenté. En revanche, en milieu rural, la croissance a plus profité aux ménages se situant au bas niveau de la distribution qu’aux ménages dont </w:t>
      </w:r>
      <w:r w:rsidRPr="00C15C6F">
        <w:rPr>
          <w:rFonts w:ascii="Times New Roman" w:eastAsia="Times New Roman" w:hAnsi="Times New Roman"/>
          <w:bCs/>
          <w:color w:val="000000"/>
          <w:sz w:val="24"/>
          <w:szCs w:val="24"/>
          <w:lang w:eastAsia="fr-FR"/>
        </w:rPr>
        <w:t xml:space="preserve">la consommation par tête est proche du seuil de pauvreté, ce qui a fait que la baisse de l’incidence de la pauvreté est restée négligeable. </w:t>
      </w:r>
    </w:p>
    <w:p w:rsidR="00324B2E" w:rsidRPr="00C15C6F" w:rsidRDefault="00324B2E" w:rsidP="00324B2E">
      <w:pPr>
        <w:spacing w:line="276" w:lineRule="auto"/>
        <w:rPr>
          <w:rFonts w:ascii="Times New Roman" w:eastAsia="Times New Roman" w:hAnsi="Times New Roman"/>
          <w:b/>
          <w:bCs/>
          <w:color w:val="000000"/>
          <w:sz w:val="24"/>
          <w:szCs w:val="24"/>
          <w:lang w:eastAsia="fr-FR"/>
        </w:rPr>
      </w:pPr>
    </w:p>
    <w:p w:rsidR="004C6829" w:rsidRPr="00C15C6F" w:rsidRDefault="004C6829" w:rsidP="00324B2E">
      <w:pPr>
        <w:spacing w:line="276" w:lineRule="auto"/>
        <w:rPr>
          <w:rFonts w:ascii="Times New Roman" w:eastAsia="Times New Roman" w:hAnsi="Times New Roman"/>
          <w:b/>
          <w:bCs/>
          <w:color w:val="000000"/>
          <w:sz w:val="24"/>
          <w:szCs w:val="24"/>
          <w:lang w:eastAsia="fr-FR"/>
        </w:rPr>
      </w:pPr>
    </w:p>
    <w:p w:rsidR="004C6829" w:rsidRPr="00C15C6F" w:rsidRDefault="004C6829" w:rsidP="00324B2E">
      <w:pPr>
        <w:spacing w:line="276" w:lineRule="auto"/>
        <w:rPr>
          <w:rFonts w:ascii="Times New Roman" w:eastAsia="Times New Roman" w:hAnsi="Times New Roman"/>
          <w:b/>
          <w:bCs/>
          <w:color w:val="000000"/>
          <w:sz w:val="24"/>
          <w:szCs w:val="24"/>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1"/>
      </w:tblGrid>
      <w:tr w:rsidR="00BD555A" w:rsidRPr="004C6829" w:rsidTr="00BD555A">
        <w:tc>
          <w:tcPr>
            <w:tcW w:w="9201" w:type="dxa"/>
            <w:shd w:val="clear" w:color="auto" w:fill="92CDDC" w:themeFill="accent5" w:themeFillTint="99"/>
          </w:tcPr>
          <w:p w:rsidR="00BD555A" w:rsidRPr="004C6829" w:rsidRDefault="00182C97" w:rsidP="00BD555A">
            <w:pPr>
              <w:spacing w:line="240" w:lineRule="auto"/>
              <w:ind w:left="-57"/>
              <w:jc w:val="left"/>
              <w:rPr>
                <w:rFonts w:ascii="Times New Roman" w:hAnsi="Times New Roman"/>
                <w:noProof/>
                <w:sz w:val="24"/>
                <w:szCs w:val="24"/>
                <w:lang w:eastAsia="fr-FR"/>
              </w:rPr>
            </w:pPr>
            <w:r w:rsidRPr="00C15C6F">
              <w:rPr>
                <w:rFonts w:ascii="Times New Roman" w:hAnsi="Times New Roman"/>
                <w:sz w:val="24"/>
                <w:szCs w:val="24"/>
              </w:rPr>
              <w:t>Graphique 2.7: Courbes de croissance de la pauvreté (2006-2009) au niveau national et selon les milieux de résidence</w:t>
            </w:r>
          </w:p>
        </w:tc>
      </w:tr>
      <w:tr w:rsidR="005B6C96" w:rsidRPr="004C6829" w:rsidTr="00BE67B7">
        <w:tc>
          <w:tcPr>
            <w:tcW w:w="9201" w:type="dxa"/>
            <w:shd w:val="clear" w:color="auto" w:fill="DAEEF3" w:themeFill="accent5" w:themeFillTint="33"/>
          </w:tcPr>
          <w:p w:rsidR="005B6C96" w:rsidRPr="004C6829" w:rsidRDefault="008C2241" w:rsidP="00394FEA">
            <w:pPr>
              <w:spacing w:before="120" w:after="120" w:line="240" w:lineRule="auto"/>
              <w:ind w:left="-57"/>
              <w:jc w:val="center"/>
            </w:pPr>
            <w:r w:rsidRPr="00C15C6F">
              <w:rPr>
                <w:noProof/>
                <w:lang w:eastAsia="fr-FR"/>
              </w:rPr>
              <w:drawing>
                <wp:inline distT="0" distB="0" distL="0" distR="0" wp14:anchorId="122E76A3" wp14:editId="1B8A16BF">
                  <wp:extent cx="5114925" cy="3743325"/>
                  <wp:effectExtent l="0" t="0" r="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srcRect/>
                          <a:stretch>
                            <a:fillRect/>
                          </a:stretch>
                        </pic:blipFill>
                        <pic:spPr bwMode="auto">
                          <a:xfrm>
                            <a:off x="0" y="0"/>
                            <a:ext cx="5114925" cy="3743325"/>
                          </a:xfrm>
                          <a:prstGeom prst="rect">
                            <a:avLst/>
                          </a:prstGeom>
                          <a:noFill/>
                          <a:ln w="9525">
                            <a:noFill/>
                            <a:miter lim="800000"/>
                            <a:headEnd/>
                            <a:tailEnd/>
                          </a:ln>
                        </pic:spPr>
                      </pic:pic>
                    </a:graphicData>
                  </a:graphic>
                </wp:inline>
              </w:drawing>
            </w:r>
          </w:p>
        </w:tc>
      </w:tr>
      <w:tr w:rsidR="005B6C96" w:rsidRPr="00AA42E9" w:rsidTr="00BE67B7">
        <w:tc>
          <w:tcPr>
            <w:tcW w:w="9201" w:type="dxa"/>
            <w:shd w:val="clear" w:color="auto" w:fill="DAEEF3" w:themeFill="accent5" w:themeFillTint="33"/>
          </w:tcPr>
          <w:p w:rsidR="005B6C96" w:rsidRPr="004C6829" w:rsidRDefault="00182C97" w:rsidP="00394FEA">
            <w:pPr>
              <w:spacing w:line="240" w:lineRule="auto"/>
              <w:rPr>
                <w:rFonts w:ascii="Times New Roman" w:hAnsi="Times New Roman"/>
              </w:rPr>
            </w:pPr>
            <w:r w:rsidRPr="00C15C6F">
              <w:rPr>
                <w:rFonts w:ascii="Times New Roman" w:hAnsi="Times New Roman"/>
              </w:rPr>
              <w:t>Source : INSAE, EMICoV (2006-2009)</w:t>
            </w:r>
          </w:p>
          <w:p w:rsidR="005B6C96" w:rsidRPr="004C6829" w:rsidRDefault="00182C97" w:rsidP="005B6C96">
            <w:pPr>
              <w:spacing w:line="240" w:lineRule="auto"/>
              <w:rPr>
                <w:rFonts w:ascii="Times New Roman" w:hAnsi="Times New Roman"/>
                <w:sz w:val="20"/>
                <w:szCs w:val="20"/>
              </w:rPr>
            </w:pPr>
            <w:r w:rsidRPr="00C15C6F">
              <w:rPr>
                <w:rFonts w:ascii="Times New Roman" w:hAnsi="Times New Roman"/>
                <w:sz w:val="20"/>
                <w:szCs w:val="20"/>
              </w:rPr>
              <w:t xml:space="preserve">: Intervalle de confiance à 95% ; </w:t>
            </w:r>
            <w:r w:rsidRPr="004C6829">
              <w:rPr>
                <w:rFonts w:ascii="Times New Roman" w:hAnsi="Times New Roman"/>
                <w:sz w:val="20"/>
                <w:szCs w:val="20"/>
                <w:vertAlign w:val="superscript"/>
              </w:rPr>
              <w:t>____</w:t>
            </w:r>
            <w:r w:rsidRPr="00C15C6F">
              <w:rPr>
                <w:rFonts w:ascii="Times New Roman" w:hAnsi="Times New Roman"/>
                <w:sz w:val="20"/>
                <w:szCs w:val="20"/>
              </w:rPr>
              <w:t xml:space="preserve"> : Différence estimée ;  </w:t>
            </w:r>
            <w:r w:rsidRPr="004C6829">
              <w:rPr>
                <w:rFonts w:ascii="Times New Roman" w:hAnsi="Times New Roman"/>
                <w:sz w:val="20"/>
                <w:szCs w:val="20"/>
                <w:vertAlign w:val="superscript"/>
              </w:rPr>
              <w:t>…</w:t>
            </w:r>
            <w:r w:rsidRPr="00C15C6F">
              <w:rPr>
                <w:rFonts w:ascii="Times New Roman" w:hAnsi="Times New Roman"/>
                <w:sz w:val="20"/>
                <w:szCs w:val="20"/>
              </w:rPr>
              <w:t> : P0 2006 ;  --- : P0 2009</w:t>
            </w:r>
          </w:p>
        </w:tc>
      </w:tr>
    </w:tbl>
    <w:p w:rsidR="005B6C96" w:rsidRPr="00C15C6F" w:rsidRDefault="005B6C96" w:rsidP="005B6C96">
      <w:pPr>
        <w:rPr>
          <w:highlight w:val="yellow"/>
        </w:rPr>
      </w:pPr>
    </w:p>
    <w:p w:rsidR="00324B2E" w:rsidRPr="00805952" w:rsidRDefault="00182C97" w:rsidP="00324B2E">
      <w:pPr>
        <w:spacing w:line="276" w:lineRule="auto"/>
        <w:rPr>
          <w:rFonts w:ascii="Times New Roman" w:eastAsia="Times New Roman" w:hAnsi="Times New Roman"/>
          <w:bCs/>
          <w:color w:val="000000"/>
          <w:sz w:val="24"/>
          <w:szCs w:val="24"/>
          <w:lang w:eastAsia="fr-FR"/>
        </w:rPr>
      </w:pPr>
      <w:r w:rsidRPr="00C15C6F">
        <w:rPr>
          <w:rFonts w:ascii="Times New Roman" w:eastAsia="Times New Roman" w:hAnsi="Times New Roman"/>
          <w:b/>
          <w:bCs/>
          <w:color w:val="000000"/>
          <w:sz w:val="24"/>
          <w:szCs w:val="24"/>
          <w:lang w:eastAsia="fr-FR"/>
        </w:rPr>
        <w:t>Au niveau sectoriel, la croissance économique a été relativement pro-pauvre au niveau de l’agriculture, du coton-textile, de l’artisanat, culture et tourisme</w:t>
      </w:r>
      <w:r w:rsidR="004C6829" w:rsidRPr="00C15C6F">
        <w:rPr>
          <w:rFonts w:ascii="Times New Roman" w:eastAsia="Times New Roman" w:hAnsi="Times New Roman"/>
          <w:b/>
          <w:bCs/>
          <w:color w:val="000000"/>
          <w:sz w:val="24"/>
          <w:szCs w:val="24"/>
          <w:lang w:eastAsia="fr-FR"/>
        </w:rPr>
        <w:t>, et des BTP</w:t>
      </w:r>
      <w:r w:rsidRPr="00C15C6F">
        <w:rPr>
          <w:rFonts w:ascii="Times New Roman" w:eastAsia="Times New Roman" w:hAnsi="Times New Roman"/>
          <w:b/>
          <w:bCs/>
          <w:color w:val="000000"/>
          <w:sz w:val="24"/>
          <w:szCs w:val="24"/>
          <w:lang w:eastAsia="fr-FR"/>
        </w:rPr>
        <w:t>. Elle est accompagnée d’une baisse de l’inégalité</w:t>
      </w:r>
      <w:r w:rsidRPr="00C15C6F">
        <w:rPr>
          <w:rFonts w:ascii="Times New Roman" w:eastAsia="Times New Roman" w:hAnsi="Times New Roman"/>
          <w:bCs/>
          <w:color w:val="000000"/>
          <w:sz w:val="24"/>
          <w:szCs w:val="24"/>
          <w:lang w:eastAsia="fr-FR"/>
        </w:rPr>
        <w:t xml:space="preserve">. Pour ces secteurs, </w:t>
      </w:r>
      <w:r w:rsidRPr="00C15C6F">
        <w:rPr>
          <w:rFonts w:ascii="Times New Roman" w:hAnsi="Times New Roman"/>
          <w:sz w:val="24"/>
          <w:szCs w:val="24"/>
        </w:rPr>
        <w:t xml:space="preserve">la CPP </w:t>
      </w:r>
      <w:r w:rsidR="00805952" w:rsidRPr="00805952">
        <w:rPr>
          <w:rFonts w:ascii="Times New Roman" w:hAnsi="Times New Roman"/>
          <w:sz w:val="24"/>
          <w:szCs w:val="24"/>
        </w:rPr>
        <w:t>est située est partout située au dessus de zéro</w:t>
      </w:r>
      <w:r w:rsidRPr="00C15C6F">
        <w:rPr>
          <w:rFonts w:ascii="Times New Roman" w:eastAsia="Times New Roman" w:hAnsi="Times New Roman"/>
          <w:bCs/>
          <w:color w:val="000000"/>
          <w:sz w:val="24"/>
          <w:szCs w:val="24"/>
          <w:lang w:eastAsia="fr-FR"/>
        </w:rPr>
        <w:t>. Ainsi, les pauvres ont bénéficié proportionnellement plus que les non pauvres des gains de la croissance et l’inégalité a diminué. Toutefois en termes absolus, contrairement aux secteurs « coton-textile » et « artisanat, culture, tourisme », la croissance n’a pas été pro-pauvre dans le secteur de l’agriculture. En effet, dans ce secteur, seuls les ménages pauvres du premier décile ont connu une amélioration de leur niveau de vie. Ainsi, l’aggravation de la pauvreté observée s’expliquerait par la dégradation du niveau de vie des ménages dont la consommation par tête est proche du seuil de pauvreté.</w:t>
      </w:r>
    </w:p>
    <w:p w:rsidR="00324B2E" w:rsidRPr="00C15C6F" w:rsidRDefault="00324B2E" w:rsidP="00BE67B7">
      <w:pPr>
        <w:spacing w:line="240" w:lineRule="auto"/>
        <w:rPr>
          <w:rFonts w:ascii="Times New Roman" w:eastAsia="Times New Roman" w:hAnsi="Times New Roman"/>
          <w:bCs/>
          <w:color w:val="000000"/>
          <w:sz w:val="24"/>
          <w:szCs w:val="24"/>
          <w:highlight w:val="yellow"/>
          <w:lang w:eastAsia="fr-FR"/>
        </w:rPr>
      </w:pPr>
    </w:p>
    <w:p w:rsidR="00BE67B7" w:rsidRPr="00805952" w:rsidRDefault="00182C97" w:rsidP="00BE67B7">
      <w:pPr>
        <w:spacing w:line="276" w:lineRule="auto"/>
        <w:rPr>
          <w:rFonts w:ascii="Times New Roman" w:eastAsia="Times New Roman" w:hAnsi="Times New Roman"/>
          <w:bCs/>
          <w:color w:val="000000"/>
          <w:sz w:val="24"/>
          <w:szCs w:val="24"/>
          <w:lang w:eastAsia="fr-FR"/>
        </w:rPr>
      </w:pPr>
      <w:r w:rsidRPr="00C15C6F">
        <w:rPr>
          <w:rFonts w:ascii="Times New Roman" w:eastAsia="Times New Roman" w:hAnsi="Times New Roman"/>
          <w:bCs/>
          <w:color w:val="000000"/>
          <w:sz w:val="24"/>
          <w:szCs w:val="24"/>
          <w:lang w:eastAsia="fr-FR"/>
        </w:rPr>
        <w:t>En revanche, pour les deux autres secteurs à savoir « </w:t>
      </w:r>
      <w:r w:rsidRPr="00C15C6F">
        <w:rPr>
          <w:rFonts w:ascii="Times New Roman" w:eastAsia="Times New Roman" w:hAnsi="Times New Roman"/>
          <w:b/>
          <w:bCs/>
          <w:color w:val="000000"/>
          <w:sz w:val="24"/>
          <w:szCs w:val="24"/>
          <w:lang w:eastAsia="fr-FR"/>
        </w:rPr>
        <w:t>coton-textile</w:t>
      </w:r>
      <w:r w:rsidRPr="00C15C6F">
        <w:rPr>
          <w:rFonts w:ascii="Times New Roman" w:eastAsia="Times New Roman" w:hAnsi="Times New Roman"/>
          <w:bCs/>
          <w:color w:val="000000"/>
          <w:sz w:val="24"/>
          <w:szCs w:val="24"/>
          <w:lang w:eastAsia="fr-FR"/>
        </w:rPr>
        <w:t> » et « </w:t>
      </w:r>
      <w:r w:rsidRPr="00C15C6F">
        <w:rPr>
          <w:rFonts w:ascii="Times New Roman" w:eastAsia="Times New Roman" w:hAnsi="Times New Roman"/>
          <w:b/>
          <w:bCs/>
          <w:color w:val="000000"/>
          <w:sz w:val="24"/>
          <w:szCs w:val="24"/>
          <w:lang w:eastAsia="fr-FR"/>
        </w:rPr>
        <w:t>artisanat, culture et tourisme »</w:t>
      </w:r>
      <w:r w:rsidRPr="00C15C6F">
        <w:rPr>
          <w:rFonts w:ascii="Times New Roman" w:eastAsia="Times New Roman" w:hAnsi="Times New Roman"/>
          <w:bCs/>
          <w:color w:val="000000"/>
          <w:sz w:val="24"/>
          <w:szCs w:val="24"/>
          <w:lang w:eastAsia="fr-FR"/>
        </w:rPr>
        <w:t xml:space="preserve">, la CCP est positive traduisant ainsi une amélioration du niveau </w:t>
      </w:r>
      <w:r w:rsidRPr="00C15C6F">
        <w:rPr>
          <w:rFonts w:ascii="Times New Roman" w:hAnsi="Times New Roman"/>
          <w:sz w:val="24"/>
          <w:szCs w:val="24"/>
        </w:rPr>
        <w:t>pour tous les percentiles de la distribution des dépenses de consommation, ce qui justifie la baisse de la pauvreté notée</w:t>
      </w:r>
      <w:r w:rsidRPr="00C15C6F">
        <w:rPr>
          <w:rFonts w:ascii="Times New Roman" w:eastAsia="Times New Roman" w:hAnsi="Times New Roman"/>
          <w:bCs/>
          <w:color w:val="000000"/>
          <w:sz w:val="24"/>
          <w:szCs w:val="24"/>
          <w:lang w:eastAsia="fr-FR"/>
        </w:rPr>
        <w:t xml:space="preserve">. Il convient de mentionner que la tendance observée en termes d’amélioration du niveau de vie des ménages au niveau secteur « coton-textile » traduit plutôt la situation des producteurs de coton-graine. Contrairement aux performances du « coton-textile » mentionnées plus haut et qui sont plus spécifiques aux usines d’égrenage, les ménages producteurs de coton graine ont connu une augmentation de leur revenu de 16,4% entre 2006 et 2009 (cf. tableau 1.5 chapitre 1). Cette augmentation s’expliquerait aussi bien par l’effet quantité que par l’effet prix. En effet, entre 2006 et 2009, la quantité de coton graine vendue et le </w:t>
      </w:r>
      <w:r w:rsidRPr="00C15C6F">
        <w:rPr>
          <w:rFonts w:ascii="Times New Roman" w:eastAsia="Times New Roman" w:hAnsi="Times New Roman"/>
          <w:color w:val="000000"/>
          <w:sz w:val="24"/>
          <w:szCs w:val="24"/>
          <w:lang w:eastAsia="fr-FR"/>
        </w:rPr>
        <w:t>prix de vente de coton au producteur a augmenté</w:t>
      </w:r>
      <w:r w:rsidRPr="00C15C6F">
        <w:rPr>
          <w:rFonts w:ascii="Times New Roman" w:eastAsia="Times New Roman" w:hAnsi="Times New Roman"/>
          <w:bCs/>
          <w:color w:val="000000"/>
          <w:sz w:val="24"/>
          <w:szCs w:val="24"/>
          <w:lang w:eastAsia="fr-FR"/>
        </w:rPr>
        <w:t xml:space="preserve"> respectivement de 10,2% et de 5,6%. </w:t>
      </w:r>
    </w:p>
    <w:p w:rsidR="00BE67B7" w:rsidRPr="00805952" w:rsidRDefault="00BE67B7" w:rsidP="00BE67B7">
      <w:pPr>
        <w:spacing w:line="240" w:lineRule="auto"/>
        <w:rPr>
          <w:rFonts w:ascii="Times New Roman" w:eastAsia="Times New Roman" w:hAnsi="Times New Roman"/>
          <w:bCs/>
          <w:color w:val="000000"/>
          <w:sz w:val="16"/>
          <w:szCs w:val="16"/>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4"/>
      </w:tblGrid>
      <w:tr w:rsidR="00BD555A" w:rsidRPr="00AA42E9" w:rsidTr="00BD555A">
        <w:trPr>
          <w:trHeight w:val="381"/>
        </w:trPr>
        <w:tc>
          <w:tcPr>
            <w:tcW w:w="4556" w:type="dxa"/>
            <w:shd w:val="clear" w:color="auto" w:fill="92CDDC" w:themeFill="accent5" w:themeFillTint="99"/>
          </w:tcPr>
          <w:p w:rsidR="00BD555A" w:rsidRPr="00805952" w:rsidRDefault="00182C97" w:rsidP="00BD555A">
            <w:pPr>
              <w:spacing w:line="240" w:lineRule="auto"/>
              <w:ind w:left="-57"/>
              <w:jc w:val="left"/>
              <w:rPr>
                <w:rFonts w:ascii="Times New Roman" w:hAnsi="Times New Roman"/>
                <w:noProof/>
                <w:sz w:val="24"/>
                <w:szCs w:val="24"/>
                <w:lang w:eastAsia="fr-FR"/>
              </w:rPr>
            </w:pPr>
            <w:r w:rsidRPr="00C15C6F">
              <w:rPr>
                <w:rFonts w:ascii="Times New Roman" w:hAnsi="Times New Roman"/>
                <w:sz w:val="24"/>
                <w:szCs w:val="24"/>
              </w:rPr>
              <w:t>Graphique 2.8: Courbes de croissance de la pauvreté (2006-2009) selon les pôles de croissance</w:t>
            </w:r>
          </w:p>
        </w:tc>
      </w:tr>
      <w:tr w:rsidR="00842BDE" w:rsidRPr="00AA42E9" w:rsidTr="00BD555A">
        <w:tc>
          <w:tcPr>
            <w:tcW w:w="4556" w:type="dxa"/>
            <w:shd w:val="clear" w:color="auto" w:fill="DAEEF3" w:themeFill="accent5" w:themeFillTint="33"/>
          </w:tcPr>
          <w:p w:rsidR="00842BDE" w:rsidRPr="00C15C6F" w:rsidRDefault="004C6829" w:rsidP="00394FEA">
            <w:pPr>
              <w:spacing w:before="120" w:after="120" w:line="240" w:lineRule="auto"/>
              <w:ind w:left="-57"/>
              <w:jc w:val="center"/>
              <w:rPr>
                <w:highlight w:val="yellow"/>
              </w:rPr>
            </w:pPr>
            <w:r>
              <w:rPr>
                <w:noProof/>
                <w:lang w:eastAsia="fr-FR"/>
              </w:rPr>
              <w:drawing>
                <wp:inline distT="0" distB="0" distL="0" distR="0" wp14:anchorId="08AE9FD7" wp14:editId="2E36A91D">
                  <wp:extent cx="5114925" cy="3743325"/>
                  <wp:effectExtent l="0" t="0" r="0" b="0"/>
                  <wp:docPr id="3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srcRect/>
                          <a:stretch>
                            <a:fillRect/>
                          </a:stretch>
                        </pic:blipFill>
                        <pic:spPr bwMode="auto">
                          <a:xfrm>
                            <a:off x="0" y="0"/>
                            <a:ext cx="5114925" cy="3743325"/>
                          </a:xfrm>
                          <a:prstGeom prst="rect">
                            <a:avLst/>
                          </a:prstGeom>
                          <a:noFill/>
                          <a:ln w="9525">
                            <a:noFill/>
                            <a:miter lim="800000"/>
                            <a:headEnd/>
                            <a:tailEnd/>
                          </a:ln>
                        </pic:spPr>
                      </pic:pic>
                    </a:graphicData>
                  </a:graphic>
                </wp:inline>
              </w:drawing>
            </w:r>
          </w:p>
        </w:tc>
      </w:tr>
      <w:tr w:rsidR="00842BDE" w:rsidRPr="00AA42E9" w:rsidTr="00BD555A">
        <w:tc>
          <w:tcPr>
            <w:tcW w:w="4556" w:type="dxa"/>
            <w:shd w:val="clear" w:color="auto" w:fill="DAEEF3" w:themeFill="accent5" w:themeFillTint="33"/>
          </w:tcPr>
          <w:p w:rsidR="00842BDE" w:rsidRPr="00805952" w:rsidRDefault="00182C97" w:rsidP="00394FEA">
            <w:pPr>
              <w:spacing w:line="240" w:lineRule="auto"/>
              <w:rPr>
                <w:rFonts w:ascii="Times New Roman" w:hAnsi="Times New Roman"/>
                <w:sz w:val="20"/>
                <w:szCs w:val="20"/>
              </w:rPr>
            </w:pPr>
            <w:r w:rsidRPr="00C15C6F">
              <w:rPr>
                <w:rFonts w:ascii="Times New Roman" w:hAnsi="Times New Roman"/>
                <w:sz w:val="20"/>
                <w:szCs w:val="20"/>
              </w:rPr>
              <w:t>Source : INSAE, EMICoV (2006-2009)</w:t>
            </w:r>
          </w:p>
        </w:tc>
      </w:tr>
    </w:tbl>
    <w:p w:rsidR="00842BDE" w:rsidRPr="00C15C6F" w:rsidRDefault="00842BDE" w:rsidP="00842BDE">
      <w:pPr>
        <w:rPr>
          <w:sz w:val="28"/>
          <w:szCs w:val="28"/>
          <w:highlight w:val="yellow"/>
        </w:rPr>
      </w:pPr>
    </w:p>
    <w:p w:rsidR="00324B2E" w:rsidRPr="00805952" w:rsidRDefault="00182C97" w:rsidP="00324B2E">
      <w:pPr>
        <w:spacing w:line="276" w:lineRule="auto"/>
        <w:rPr>
          <w:rFonts w:ascii="Times New Roman" w:eastAsia="Times New Roman" w:hAnsi="Times New Roman"/>
          <w:bCs/>
          <w:color w:val="000000"/>
          <w:sz w:val="24"/>
          <w:szCs w:val="24"/>
          <w:lang w:eastAsia="fr-FR"/>
        </w:rPr>
      </w:pPr>
      <w:r w:rsidRPr="00C15C6F">
        <w:rPr>
          <w:rFonts w:ascii="Times New Roman" w:eastAsia="Times New Roman" w:hAnsi="Times New Roman"/>
          <w:bCs/>
          <w:color w:val="000000"/>
          <w:sz w:val="24"/>
          <w:szCs w:val="24"/>
          <w:lang w:eastAsia="fr-FR"/>
        </w:rPr>
        <w:t>Dans le secteur « agroalimentaire », la croissance n’a pas été pro-pauvre. Elle s’accompagne d’une augmentation des inégalités avec une dégradation du niveau de vie de la majorité des ménages, surtout les pauvres. Ainsi, l’aggravation de la pauvreté s’expliquerait par la dégradation du niveau de vie des ménages dont la consommation par tête est proche du seuil de pauvreté. Si c’est aussi le cas pour le secteur « commerce et logistique », il convient cependant de noter  que dans ce secteur, une petite frange de la population pauvre a davantage bénéficié des gains de la croissance que les non pauvres. De même, l’aggravation de la pauvreté notée dans le secteur « commerce et logistique » largement dominé par l’informel s’expliquerait par la détérioration du niveau de vie des ménages dont la consommation par tête est proche du seuil de pauvreté.</w:t>
      </w:r>
    </w:p>
    <w:p w:rsidR="00324B2E" w:rsidRPr="00C15C6F" w:rsidRDefault="00324B2E" w:rsidP="00324B2E">
      <w:pPr>
        <w:tabs>
          <w:tab w:val="left" w:pos="1335"/>
        </w:tabs>
        <w:spacing w:line="276" w:lineRule="auto"/>
        <w:rPr>
          <w:rFonts w:ascii="Times New Roman" w:hAnsi="Times New Roman"/>
          <w:b/>
          <w:sz w:val="24"/>
          <w:szCs w:val="24"/>
          <w:highlight w:val="yellow"/>
        </w:rPr>
      </w:pPr>
    </w:p>
    <w:p w:rsidR="00324B2E" w:rsidRDefault="00182C97" w:rsidP="00324B2E">
      <w:pPr>
        <w:tabs>
          <w:tab w:val="left" w:pos="1335"/>
        </w:tabs>
        <w:spacing w:line="276" w:lineRule="auto"/>
        <w:rPr>
          <w:rFonts w:ascii="Times New Roman" w:hAnsi="Times New Roman"/>
          <w:sz w:val="24"/>
          <w:szCs w:val="24"/>
        </w:rPr>
      </w:pPr>
      <w:r w:rsidRPr="00C15C6F">
        <w:rPr>
          <w:rFonts w:ascii="Times New Roman" w:hAnsi="Times New Roman"/>
          <w:b/>
          <w:sz w:val="24"/>
          <w:szCs w:val="24"/>
        </w:rPr>
        <w:t>La baisse de l’incidence de la pauvreté notée entre 2006 et 2009 s’expliquerait essentiellement par l’effet positif et dominant de la redistribution</w:t>
      </w:r>
      <w:r w:rsidRPr="00C15C6F">
        <w:rPr>
          <w:rFonts w:ascii="Times New Roman" w:hAnsi="Times New Roman"/>
          <w:sz w:val="24"/>
          <w:szCs w:val="24"/>
        </w:rPr>
        <w:t>. Les résultats de la décomposition de la variation de la pauvreté confirment l’importance à accorder à l’inégalité dans une perspective d’une stratégie de réduction de la pauvreté basée sur une croissance pro-pauvre. L’appréciation de l’importance relative de l’effet croissance et de l’effet redistribution dans la variation de la pauvreté a été faite selon la méthode de décomposition de Shapley proposée Shorrocks (1999).  L’effet croissance évalue le changement de la pauvreté qui serait obtenue si l’inégalité reste constante (la courbe de Lorenz n’était pas modifiée) alors que l’effet redistribution évalue le changement de la pauvreté imputable à une variation de l’inégalité lorsque le revenu moyen est constant. De façon générale, il ressort que les épisodes de baisse de l’incidence de la pauvreté sont largement imputables à une diminution des inégalités. L’effet croissance s’est avéré plutôt négatif en raison de l’insuffisance de la croissance due à une contraction des dépenses de consommation par tête des ménages.</w:t>
      </w:r>
      <w:r w:rsidR="00324B2E">
        <w:rPr>
          <w:rFonts w:ascii="Times New Roman" w:hAnsi="Times New Roman"/>
          <w:sz w:val="24"/>
          <w:szCs w:val="24"/>
        </w:rPr>
        <w:t xml:space="preserve"> </w:t>
      </w:r>
    </w:p>
    <w:p w:rsidR="00324B2E" w:rsidRDefault="00324B2E" w:rsidP="00324B2E">
      <w:pPr>
        <w:tabs>
          <w:tab w:val="left" w:pos="1335"/>
        </w:tabs>
        <w:spacing w:line="276" w:lineRule="auto"/>
        <w:rPr>
          <w:rFonts w:ascii="Times New Roman" w:hAnsi="Times New Roman"/>
          <w:sz w:val="24"/>
          <w:szCs w:val="24"/>
        </w:rPr>
      </w:pPr>
    </w:p>
    <w:tbl>
      <w:tblPr>
        <w:tblW w:w="9512" w:type="dxa"/>
        <w:tblInd w:w="57" w:type="dxa"/>
        <w:tblCellMar>
          <w:left w:w="70" w:type="dxa"/>
          <w:right w:w="70" w:type="dxa"/>
        </w:tblCellMar>
        <w:tblLook w:val="04A0" w:firstRow="1" w:lastRow="0" w:firstColumn="1" w:lastColumn="0" w:noHBand="0" w:noVBand="1"/>
      </w:tblPr>
      <w:tblGrid>
        <w:gridCol w:w="2824"/>
        <w:gridCol w:w="983"/>
        <w:gridCol w:w="930"/>
        <w:gridCol w:w="1118"/>
        <w:gridCol w:w="895"/>
        <w:gridCol w:w="1314"/>
        <w:gridCol w:w="1448"/>
      </w:tblGrid>
      <w:tr w:rsidR="00D12563" w:rsidRPr="004D3255" w:rsidTr="00D12563">
        <w:trPr>
          <w:trHeight w:val="513"/>
          <w:tblHeader/>
        </w:trPr>
        <w:tc>
          <w:tcPr>
            <w:tcW w:w="9512" w:type="dxa"/>
            <w:gridSpan w:val="7"/>
            <w:tcBorders>
              <w:left w:val="nil"/>
              <w:bottom w:val="double" w:sz="6" w:space="0" w:color="000000"/>
              <w:right w:val="nil"/>
            </w:tcBorders>
            <w:shd w:val="clear" w:color="auto" w:fill="92CDDC" w:themeFill="accent5" w:themeFillTint="99"/>
            <w:vAlign w:val="center"/>
            <w:hideMark/>
          </w:tcPr>
          <w:p w:rsidR="00D12563" w:rsidRPr="00D12563" w:rsidRDefault="00D12563" w:rsidP="00D12563">
            <w:pPr>
              <w:spacing w:line="240" w:lineRule="auto"/>
              <w:jc w:val="left"/>
              <w:rPr>
                <w:rFonts w:ascii="Times New Roman" w:eastAsia="Times New Roman" w:hAnsi="Times New Roman"/>
                <w:bCs/>
                <w:color w:val="000000"/>
                <w:sz w:val="24"/>
                <w:szCs w:val="24"/>
                <w:lang w:eastAsia="fr-FR"/>
              </w:rPr>
            </w:pPr>
            <w:bookmarkStart w:id="82" w:name="_Toc369714587"/>
            <w:bookmarkStart w:id="83" w:name="_Toc373430371"/>
            <w:r w:rsidRPr="00D12563">
              <w:rPr>
                <w:rFonts w:ascii="Times New Roman" w:hAnsi="Times New Roman"/>
                <w:sz w:val="24"/>
                <w:szCs w:val="24"/>
              </w:rPr>
              <w:t>Tableau 2.</w:t>
            </w:r>
            <w:r w:rsidR="00182C97" w:rsidRPr="00D12563">
              <w:rPr>
                <w:rFonts w:ascii="Times New Roman" w:hAnsi="Times New Roman"/>
                <w:sz w:val="24"/>
                <w:szCs w:val="24"/>
              </w:rPr>
              <w:fldChar w:fldCharType="begin"/>
            </w:r>
            <w:r w:rsidRPr="00D12563">
              <w:rPr>
                <w:rFonts w:ascii="Times New Roman" w:hAnsi="Times New Roman"/>
                <w:sz w:val="24"/>
                <w:szCs w:val="24"/>
              </w:rPr>
              <w:instrText xml:space="preserve"> SEQ Tableau_2. \* ARABIC </w:instrText>
            </w:r>
            <w:r w:rsidR="00182C97" w:rsidRPr="00D12563">
              <w:rPr>
                <w:rFonts w:ascii="Times New Roman" w:hAnsi="Times New Roman"/>
                <w:sz w:val="24"/>
                <w:szCs w:val="24"/>
              </w:rPr>
              <w:fldChar w:fldCharType="separate"/>
            </w:r>
            <w:r w:rsidR="00AB1967">
              <w:rPr>
                <w:rFonts w:ascii="Times New Roman" w:hAnsi="Times New Roman"/>
                <w:noProof/>
                <w:sz w:val="24"/>
                <w:szCs w:val="24"/>
              </w:rPr>
              <w:t>5</w:t>
            </w:r>
            <w:r w:rsidR="00182C97" w:rsidRPr="00D12563">
              <w:rPr>
                <w:rFonts w:ascii="Times New Roman" w:hAnsi="Times New Roman"/>
                <w:sz w:val="24"/>
                <w:szCs w:val="24"/>
              </w:rPr>
              <w:fldChar w:fldCharType="end"/>
            </w:r>
            <w:r w:rsidRPr="00D12563">
              <w:rPr>
                <w:rFonts w:ascii="Times New Roman" w:hAnsi="Times New Roman"/>
                <w:sz w:val="24"/>
                <w:szCs w:val="24"/>
                <w:lang w:eastAsia="fr-FR"/>
              </w:rPr>
              <w:t>: Décomposition de l'évolution de la pauvreté selon les pôles de croissance</w:t>
            </w:r>
            <w:bookmarkEnd w:id="82"/>
            <w:bookmarkEnd w:id="83"/>
          </w:p>
        </w:tc>
      </w:tr>
      <w:tr w:rsidR="00842BDE" w:rsidRPr="004D3255" w:rsidTr="00D12563">
        <w:trPr>
          <w:trHeight w:val="513"/>
          <w:tblHeader/>
        </w:trPr>
        <w:tc>
          <w:tcPr>
            <w:tcW w:w="2824" w:type="dxa"/>
            <w:tcBorders>
              <w:top w:val="double" w:sz="6" w:space="0" w:color="000000"/>
              <w:left w:val="nil"/>
              <w:bottom w:val="single" w:sz="8" w:space="0" w:color="000000"/>
              <w:right w:val="nil"/>
            </w:tcBorders>
            <w:shd w:val="clear" w:color="auto" w:fill="DAEEF3" w:themeFill="accent5" w:themeFillTint="33"/>
            <w:vAlign w:val="center"/>
            <w:hideMark/>
          </w:tcPr>
          <w:p w:rsidR="00842BDE" w:rsidRPr="004D3255" w:rsidRDefault="00842BDE" w:rsidP="00394FEA">
            <w:pPr>
              <w:spacing w:line="240" w:lineRule="auto"/>
              <w:jc w:val="center"/>
              <w:rPr>
                <w:rFonts w:ascii="Times New Roman" w:eastAsia="Times New Roman" w:hAnsi="Times New Roman"/>
                <w:sz w:val="20"/>
                <w:szCs w:val="20"/>
                <w:lang w:eastAsia="fr-FR"/>
              </w:rPr>
            </w:pPr>
          </w:p>
        </w:tc>
        <w:tc>
          <w:tcPr>
            <w:tcW w:w="983" w:type="dxa"/>
            <w:tcBorders>
              <w:top w:val="double" w:sz="6" w:space="0" w:color="000000"/>
              <w:left w:val="nil"/>
              <w:bottom w:val="single" w:sz="8" w:space="0" w:color="000000"/>
              <w:right w:val="nil"/>
            </w:tcBorders>
            <w:shd w:val="clear" w:color="auto" w:fill="DAEEF3" w:themeFill="accent5" w:themeFillTint="33"/>
            <w:vAlign w:val="bottom"/>
            <w:hideMark/>
          </w:tcPr>
          <w:p w:rsidR="00842BDE" w:rsidRPr="004D3255" w:rsidRDefault="00842BDE" w:rsidP="00394FEA">
            <w:pPr>
              <w:spacing w:line="240" w:lineRule="auto"/>
              <w:jc w:val="center"/>
              <w:rPr>
                <w:rFonts w:ascii="Times New Roman" w:eastAsia="Times New Roman" w:hAnsi="Times New Roman"/>
                <w:bCs/>
                <w:color w:val="000000"/>
                <w:lang w:eastAsia="fr-FR"/>
              </w:rPr>
            </w:pPr>
            <w:r w:rsidRPr="004D3255">
              <w:rPr>
                <w:rFonts w:ascii="Times New Roman" w:eastAsia="Times New Roman" w:hAnsi="Times New Roman"/>
                <w:bCs/>
                <w:color w:val="000000"/>
                <w:lang w:eastAsia="fr-FR"/>
              </w:rPr>
              <w:t>P0 (2006)</w:t>
            </w:r>
          </w:p>
        </w:tc>
        <w:tc>
          <w:tcPr>
            <w:tcW w:w="930" w:type="dxa"/>
            <w:tcBorders>
              <w:top w:val="double" w:sz="6" w:space="0" w:color="000000"/>
              <w:left w:val="nil"/>
              <w:bottom w:val="single" w:sz="8" w:space="0" w:color="000000"/>
              <w:right w:val="nil"/>
            </w:tcBorders>
            <w:shd w:val="clear" w:color="auto" w:fill="DAEEF3" w:themeFill="accent5" w:themeFillTint="33"/>
            <w:vAlign w:val="bottom"/>
            <w:hideMark/>
          </w:tcPr>
          <w:p w:rsidR="00842BDE" w:rsidRPr="004D3255" w:rsidRDefault="00842BDE" w:rsidP="00394FEA">
            <w:pPr>
              <w:spacing w:line="240" w:lineRule="auto"/>
              <w:jc w:val="center"/>
              <w:rPr>
                <w:rFonts w:ascii="Times New Roman" w:eastAsia="Times New Roman" w:hAnsi="Times New Roman"/>
                <w:bCs/>
                <w:color w:val="000000"/>
                <w:lang w:eastAsia="fr-FR"/>
              </w:rPr>
            </w:pPr>
            <w:r w:rsidRPr="004D3255">
              <w:rPr>
                <w:rFonts w:ascii="Times New Roman" w:eastAsia="Times New Roman" w:hAnsi="Times New Roman"/>
                <w:bCs/>
                <w:color w:val="000000"/>
                <w:lang w:eastAsia="fr-FR"/>
              </w:rPr>
              <w:t>P0 (2009)</w:t>
            </w:r>
          </w:p>
        </w:tc>
        <w:tc>
          <w:tcPr>
            <w:tcW w:w="1118" w:type="dxa"/>
            <w:tcBorders>
              <w:top w:val="double" w:sz="6" w:space="0" w:color="000000"/>
              <w:left w:val="nil"/>
              <w:bottom w:val="single" w:sz="8" w:space="0" w:color="000000"/>
              <w:right w:val="nil"/>
            </w:tcBorders>
            <w:shd w:val="clear" w:color="auto" w:fill="DAEEF3" w:themeFill="accent5" w:themeFillTint="33"/>
            <w:vAlign w:val="bottom"/>
            <w:hideMark/>
          </w:tcPr>
          <w:p w:rsidR="00842BDE" w:rsidRPr="004D3255" w:rsidRDefault="00842BDE" w:rsidP="00394FEA">
            <w:pPr>
              <w:spacing w:line="240" w:lineRule="auto"/>
              <w:jc w:val="center"/>
              <w:rPr>
                <w:rFonts w:ascii="Times New Roman" w:eastAsia="Times New Roman" w:hAnsi="Times New Roman"/>
                <w:bCs/>
                <w:color w:val="000000"/>
                <w:lang w:eastAsia="fr-FR"/>
              </w:rPr>
            </w:pPr>
            <w:r w:rsidRPr="004D3255">
              <w:rPr>
                <w:rFonts w:ascii="Times New Roman" w:eastAsia="Times New Roman" w:hAnsi="Times New Roman"/>
                <w:bCs/>
                <w:color w:val="000000"/>
                <w:lang w:eastAsia="fr-FR"/>
              </w:rPr>
              <w:t>Différence</w:t>
            </w:r>
          </w:p>
        </w:tc>
        <w:tc>
          <w:tcPr>
            <w:tcW w:w="895" w:type="dxa"/>
            <w:tcBorders>
              <w:top w:val="double" w:sz="6" w:space="0" w:color="000000"/>
              <w:left w:val="nil"/>
              <w:bottom w:val="single" w:sz="8" w:space="0" w:color="000000"/>
              <w:right w:val="nil"/>
            </w:tcBorders>
            <w:shd w:val="clear" w:color="auto" w:fill="DAEEF3" w:themeFill="accent5" w:themeFillTint="33"/>
            <w:vAlign w:val="bottom"/>
            <w:hideMark/>
          </w:tcPr>
          <w:p w:rsidR="00842BDE" w:rsidRPr="004D3255" w:rsidRDefault="00842BDE" w:rsidP="00394FEA">
            <w:pPr>
              <w:spacing w:line="240" w:lineRule="auto"/>
              <w:jc w:val="center"/>
              <w:rPr>
                <w:rFonts w:ascii="Times New Roman" w:eastAsia="Times New Roman" w:hAnsi="Times New Roman"/>
                <w:bCs/>
                <w:color w:val="000000"/>
                <w:lang w:eastAsia="fr-FR"/>
              </w:rPr>
            </w:pPr>
            <w:r w:rsidRPr="004D3255">
              <w:rPr>
                <w:rFonts w:ascii="Times New Roman" w:eastAsia="Times New Roman" w:hAnsi="Times New Roman"/>
                <w:bCs/>
                <w:color w:val="000000"/>
                <w:lang w:eastAsia="fr-FR"/>
              </w:rPr>
              <w:t>Ecart-type</w:t>
            </w:r>
          </w:p>
        </w:tc>
        <w:tc>
          <w:tcPr>
            <w:tcW w:w="1314" w:type="dxa"/>
            <w:tcBorders>
              <w:top w:val="double" w:sz="6" w:space="0" w:color="000000"/>
              <w:left w:val="nil"/>
              <w:bottom w:val="single" w:sz="8" w:space="0" w:color="000000"/>
              <w:right w:val="nil"/>
            </w:tcBorders>
            <w:shd w:val="clear" w:color="auto" w:fill="DAEEF3" w:themeFill="accent5" w:themeFillTint="33"/>
            <w:vAlign w:val="bottom"/>
            <w:hideMark/>
          </w:tcPr>
          <w:p w:rsidR="00842BDE" w:rsidRPr="004D3255" w:rsidRDefault="00842BDE" w:rsidP="00394FEA">
            <w:pPr>
              <w:spacing w:line="240" w:lineRule="auto"/>
              <w:jc w:val="center"/>
              <w:rPr>
                <w:rFonts w:ascii="Times New Roman" w:eastAsia="Times New Roman" w:hAnsi="Times New Roman"/>
                <w:bCs/>
                <w:color w:val="000000"/>
                <w:lang w:eastAsia="fr-FR"/>
              </w:rPr>
            </w:pPr>
            <w:r w:rsidRPr="004D3255">
              <w:rPr>
                <w:rFonts w:ascii="Times New Roman" w:eastAsia="Times New Roman" w:hAnsi="Times New Roman"/>
                <w:bCs/>
                <w:color w:val="000000"/>
                <w:lang w:eastAsia="fr-FR"/>
              </w:rPr>
              <w:t xml:space="preserve">Composante croissance </w:t>
            </w:r>
          </w:p>
        </w:tc>
        <w:tc>
          <w:tcPr>
            <w:tcW w:w="1448" w:type="dxa"/>
            <w:tcBorders>
              <w:top w:val="double" w:sz="6" w:space="0" w:color="000000"/>
              <w:left w:val="nil"/>
              <w:bottom w:val="single" w:sz="8" w:space="0" w:color="000000"/>
              <w:right w:val="nil"/>
            </w:tcBorders>
            <w:shd w:val="clear" w:color="auto" w:fill="DAEEF3" w:themeFill="accent5" w:themeFillTint="33"/>
            <w:vAlign w:val="bottom"/>
            <w:hideMark/>
          </w:tcPr>
          <w:p w:rsidR="00842BDE" w:rsidRPr="004D3255" w:rsidRDefault="00842BDE" w:rsidP="00394FEA">
            <w:pPr>
              <w:spacing w:line="240" w:lineRule="auto"/>
              <w:jc w:val="center"/>
              <w:rPr>
                <w:rFonts w:ascii="Times New Roman" w:eastAsia="Times New Roman" w:hAnsi="Times New Roman"/>
                <w:bCs/>
                <w:color w:val="000000"/>
                <w:lang w:eastAsia="fr-FR"/>
              </w:rPr>
            </w:pPr>
            <w:r w:rsidRPr="004D3255">
              <w:rPr>
                <w:rFonts w:ascii="Times New Roman" w:eastAsia="Times New Roman" w:hAnsi="Times New Roman"/>
                <w:bCs/>
                <w:color w:val="000000"/>
                <w:lang w:eastAsia="fr-FR"/>
              </w:rPr>
              <w:t xml:space="preserve">Composante redistribution </w:t>
            </w:r>
          </w:p>
        </w:tc>
      </w:tr>
      <w:tr w:rsidR="00842BDE" w:rsidRPr="00364F6B" w:rsidTr="00394FEA">
        <w:trPr>
          <w:trHeight w:val="295"/>
        </w:trPr>
        <w:tc>
          <w:tcPr>
            <w:tcW w:w="2824" w:type="dxa"/>
            <w:tcBorders>
              <w:top w:val="single" w:sz="8" w:space="0" w:color="000000"/>
              <w:left w:val="nil"/>
              <w:bottom w:val="single" w:sz="4" w:space="0" w:color="auto"/>
              <w:right w:val="nil"/>
            </w:tcBorders>
            <w:shd w:val="clear" w:color="auto" w:fill="DAEEF3" w:themeFill="accent5" w:themeFillTint="33"/>
            <w:hideMark/>
          </w:tcPr>
          <w:p w:rsidR="00842BDE" w:rsidRPr="00364F6B" w:rsidRDefault="00842BDE" w:rsidP="00394FEA">
            <w:pPr>
              <w:spacing w:line="240" w:lineRule="auto"/>
              <w:rPr>
                <w:rFonts w:ascii="Times New Roman" w:eastAsia="Times New Roman" w:hAnsi="Times New Roman"/>
                <w:b/>
                <w:bCs/>
                <w:color w:val="000000"/>
                <w:lang w:eastAsia="fr-FR"/>
              </w:rPr>
            </w:pPr>
            <w:r w:rsidRPr="00364F6B">
              <w:rPr>
                <w:rFonts w:ascii="Times New Roman" w:eastAsia="Times New Roman" w:hAnsi="Times New Roman"/>
                <w:b/>
                <w:bCs/>
                <w:color w:val="000000"/>
                <w:lang w:eastAsia="fr-FR"/>
              </w:rPr>
              <w:t>Bénin</w:t>
            </w:r>
          </w:p>
        </w:tc>
        <w:tc>
          <w:tcPr>
            <w:tcW w:w="983" w:type="dxa"/>
            <w:tcBorders>
              <w:top w:val="single" w:sz="8" w:space="0" w:color="000000"/>
              <w:left w:val="nil"/>
              <w:bottom w:val="single" w:sz="4" w:space="0" w:color="auto"/>
              <w:right w:val="nil"/>
            </w:tcBorders>
            <w:shd w:val="clear" w:color="auto" w:fill="DAEEF3" w:themeFill="accent5" w:themeFillTint="33"/>
            <w:noWrap/>
            <w:hideMark/>
          </w:tcPr>
          <w:p w:rsidR="00842BDE" w:rsidRPr="004D3255" w:rsidRDefault="00842BDE" w:rsidP="00394FEA">
            <w:pPr>
              <w:spacing w:line="240" w:lineRule="auto"/>
              <w:jc w:val="center"/>
              <w:rPr>
                <w:rFonts w:ascii="Times New Roman" w:eastAsia="Times New Roman" w:hAnsi="Times New Roman"/>
                <w:b/>
                <w:color w:val="000000"/>
                <w:lang w:eastAsia="fr-FR"/>
              </w:rPr>
            </w:pPr>
            <w:r w:rsidRPr="004D3255">
              <w:rPr>
                <w:rFonts w:ascii="Times New Roman" w:eastAsia="Times New Roman" w:hAnsi="Times New Roman"/>
                <w:b/>
                <w:color w:val="000000"/>
                <w:lang w:eastAsia="fr-FR"/>
              </w:rPr>
              <w:t>0,375</w:t>
            </w:r>
          </w:p>
        </w:tc>
        <w:tc>
          <w:tcPr>
            <w:tcW w:w="930" w:type="dxa"/>
            <w:tcBorders>
              <w:top w:val="single" w:sz="8" w:space="0" w:color="000000"/>
              <w:left w:val="nil"/>
              <w:bottom w:val="single" w:sz="4" w:space="0" w:color="auto"/>
              <w:right w:val="nil"/>
            </w:tcBorders>
            <w:shd w:val="clear" w:color="auto" w:fill="DAEEF3" w:themeFill="accent5" w:themeFillTint="33"/>
            <w:noWrap/>
            <w:hideMark/>
          </w:tcPr>
          <w:p w:rsidR="00842BDE" w:rsidRPr="004D3255" w:rsidRDefault="00842BDE" w:rsidP="00394FEA">
            <w:pPr>
              <w:spacing w:line="240" w:lineRule="auto"/>
              <w:jc w:val="center"/>
              <w:rPr>
                <w:rFonts w:ascii="Times New Roman" w:eastAsia="Times New Roman" w:hAnsi="Times New Roman"/>
                <w:b/>
                <w:color w:val="000000"/>
                <w:lang w:eastAsia="fr-FR"/>
              </w:rPr>
            </w:pPr>
            <w:r w:rsidRPr="004D3255">
              <w:rPr>
                <w:rFonts w:ascii="Times New Roman" w:eastAsia="Times New Roman" w:hAnsi="Times New Roman"/>
                <w:b/>
                <w:color w:val="000000"/>
                <w:lang w:eastAsia="fr-FR"/>
              </w:rPr>
              <w:t>0,352</w:t>
            </w:r>
          </w:p>
        </w:tc>
        <w:tc>
          <w:tcPr>
            <w:tcW w:w="1118" w:type="dxa"/>
            <w:tcBorders>
              <w:top w:val="single" w:sz="8" w:space="0" w:color="000000"/>
              <w:left w:val="nil"/>
              <w:bottom w:val="single" w:sz="4" w:space="0" w:color="auto"/>
              <w:right w:val="nil"/>
            </w:tcBorders>
            <w:shd w:val="clear" w:color="auto" w:fill="DAEEF3" w:themeFill="accent5" w:themeFillTint="33"/>
            <w:noWrap/>
            <w:hideMark/>
          </w:tcPr>
          <w:p w:rsidR="00842BDE" w:rsidRPr="004D3255" w:rsidRDefault="00842BDE" w:rsidP="00394FEA">
            <w:pPr>
              <w:spacing w:line="240" w:lineRule="auto"/>
              <w:jc w:val="center"/>
              <w:rPr>
                <w:rFonts w:ascii="Times New Roman" w:eastAsia="Times New Roman" w:hAnsi="Times New Roman"/>
                <w:b/>
                <w:color w:val="000000"/>
                <w:lang w:eastAsia="fr-FR"/>
              </w:rPr>
            </w:pPr>
            <w:r w:rsidRPr="004D3255">
              <w:rPr>
                <w:rFonts w:ascii="Times New Roman" w:eastAsia="Times New Roman" w:hAnsi="Times New Roman"/>
                <w:b/>
                <w:color w:val="000000"/>
                <w:lang w:eastAsia="fr-FR"/>
              </w:rPr>
              <w:t>-0,023</w:t>
            </w:r>
          </w:p>
        </w:tc>
        <w:tc>
          <w:tcPr>
            <w:tcW w:w="895" w:type="dxa"/>
            <w:tcBorders>
              <w:top w:val="single" w:sz="8" w:space="0" w:color="000000"/>
              <w:left w:val="nil"/>
              <w:bottom w:val="single" w:sz="4" w:space="0" w:color="auto"/>
              <w:right w:val="nil"/>
            </w:tcBorders>
            <w:shd w:val="clear" w:color="auto" w:fill="DAEEF3" w:themeFill="accent5" w:themeFillTint="33"/>
            <w:noWrap/>
            <w:hideMark/>
          </w:tcPr>
          <w:p w:rsidR="00842BDE" w:rsidRPr="004D3255" w:rsidRDefault="00842BDE" w:rsidP="00394FEA">
            <w:pPr>
              <w:spacing w:line="240" w:lineRule="auto"/>
              <w:jc w:val="center"/>
              <w:rPr>
                <w:rFonts w:ascii="Times New Roman" w:eastAsia="Times New Roman" w:hAnsi="Times New Roman"/>
                <w:b/>
                <w:color w:val="000000"/>
                <w:lang w:eastAsia="fr-FR"/>
              </w:rPr>
            </w:pPr>
            <w:r w:rsidRPr="004D3255">
              <w:rPr>
                <w:rFonts w:ascii="Times New Roman" w:eastAsia="Times New Roman" w:hAnsi="Times New Roman"/>
                <w:b/>
                <w:color w:val="000000"/>
                <w:lang w:eastAsia="fr-FR"/>
              </w:rPr>
              <w:t>0,014</w:t>
            </w:r>
          </w:p>
        </w:tc>
        <w:tc>
          <w:tcPr>
            <w:tcW w:w="1314" w:type="dxa"/>
            <w:tcBorders>
              <w:top w:val="single" w:sz="8" w:space="0" w:color="000000"/>
              <w:left w:val="nil"/>
              <w:bottom w:val="single" w:sz="4" w:space="0" w:color="auto"/>
              <w:right w:val="nil"/>
            </w:tcBorders>
            <w:shd w:val="clear" w:color="auto" w:fill="DAEEF3" w:themeFill="accent5" w:themeFillTint="33"/>
            <w:noWrap/>
            <w:hideMark/>
          </w:tcPr>
          <w:p w:rsidR="00842BDE" w:rsidRPr="004D3255" w:rsidRDefault="00842BDE" w:rsidP="00394FEA">
            <w:pPr>
              <w:spacing w:line="240" w:lineRule="auto"/>
              <w:jc w:val="center"/>
              <w:rPr>
                <w:rFonts w:ascii="Times New Roman" w:eastAsia="Times New Roman" w:hAnsi="Times New Roman"/>
                <w:b/>
                <w:color w:val="000000"/>
                <w:lang w:eastAsia="fr-FR"/>
              </w:rPr>
            </w:pPr>
            <w:r w:rsidRPr="004D3255">
              <w:rPr>
                <w:rFonts w:ascii="Times New Roman" w:eastAsia="Times New Roman" w:hAnsi="Times New Roman"/>
                <w:b/>
                <w:color w:val="000000"/>
                <w:lang w:eastAsia="fr-FR"/>
              </w:rPr>
              <w:t>0,036</w:t>
            </w:r>
          </w:p>
        </w:tc>
        <w:tc>
          <w:tcPr>
            <w:tcW w:w="1448" w:type="dxa"/>
            <w:tcBorders>
              <w:top w:val="single" w:sz="8" w:space="0" w:color="000000"/>
              <w:left w:val="nil"/>
              <w:bottom w:val="single" w:sz="4" w:space="0" w:color="auto"/>
              <w:right w:val="nil"/>
            </w:tcBorders>
            <w:shd w:val="clear" w:color="auto" w:fill="DAEEF3" w:themeFill="accent5" w:themeFillTint="33"/>
            <w:noWrap/>
            <w:hideMark/>
          </w:tcPr>
          <w:p w:rsidR="00842BDE" w:rsidRPr="004D3255" w:rsidRDefault="00842BDE" w:rsidP="00394FEA">
            <w:pPr>
              <w:spacing w:line="240" w:lineRule="auto"/>
              <w:jc w:val="center"/>
              <w:rPr>
                <w:rFonts w:ascii="Times New Roman" w:eastAsia="Times New Roman" w:hAnsi="Times New Roman"/>
                <w:b/>
                <w:color w:val="000000"/>
                <w:lang w:eastAsia="fr-FR"/>
              </w:rPr>
            </w:pPr>
            <w:r w:rsidRPr="004D3255">
              <w:rPr>
                <w:rFonts w:ascii="Times New Roman" w:eastAsia="Times New Roman" w:hAnsi="Times New Roman"/>
                <w:b/>
                <w:color w:val="000000"/>
                <w:lang w:eastAsia="fr-FR"/>
              </w:rPr>
              <w:t>-0,059</w:t>
            </w:r>
          </w:p>
        </w:tc>
      </w:tr>
      <w:tr w:rsidR="00842BDE" w:rsidRPr="00B4759B" w:rsidTr="00394FEA">
        <w:trPr>
          <w:trHeight w:val="295"/>
        </w:trPr>
        <w:tc>
          <w:tcPr>
            <w:tcW w:w="2824" w:type="dxa"/>
            <w:tcBorders>
              <w:top w:val="single" w:sz="4" w:space="0" w:color="auto"/>
              <w:left w:val="nil"/>
              <w:bottom w:val="nil"/>
              <w:right w:val="nil"/>
            </w:tcBorders>
            <w:shd w:val="clear" w:color="auto" w:fill="DAEEF3" w:themeFill="accent5" w:themeFillTint="33"/>
            <w:hideMark/>
          </w:tcPr>
          <w:p w:rsidR="00842BDE" w:rsidRPr="00B4759B" w:rsidRDefault="00842BDE" w:rsidP="00394FEA">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Agriculture</w:t>
            </w:r>
          </w:p>
        </w:tc>
        <w:tc>
          <w:tcPr>
            <w:tcW w:w="983" w:type="dxa"/>
            <w:tcBorders>
              <w:top w:val="single" w:sz="4" w:space="0" w:color="auto"/>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0,409</w:t>
            </w:r>
          </w:p>
        </w:tc>
        <w:tc>
          <w:tcPr>
            <w:tcW w:w="930" w:type="dxa"/>
            <w:tcBorders>
              <w:top w:val="single" w:sz="4" w:space="0" w:color="auto"/>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0,431</w:t>
            </w:r>
          </w:p>
        </w:tc>
        <w:tc>
          <w:tcPr>
            <w:tcW w:w="1118" w:type="dxa"/>
            <w:tcBorders>
              <w:top w:val="single" w:sz="4" w:space="0" w:color="auto"/>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0,022</w:t>
            </w:r>
          </w:p>
        </w:tc>
        <w:tc>
          <w:tcPr>
            <w:tcW w:w="895" w:type="dxa"/>
            <w:tcBorders>
              <w:top w:val="single" w:sz="4" w:space="0" w:color="auto"/>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0,018</w:t>
            </w:r>
          </w:p>
        </w:tc>
        <w:tc>
          <w:tcPr>
            <w:tcW w:w="1314" w:type="dxa"/>
            <w:tcBorders>
              <w:top w:val="single" w:sz="4" w:space="0" w:color="auto"/>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0,088</w:t>
            </w:r>
          </w:p>
        </w:tc>
        <w:tc>
          <w:tcPr>
            <w:tcW w:w="1448" w:type="dxa"/>
            <w:tcBorders>
              <w:top w:val="single" w:sz="4" w:space="0" w:color="auto"/>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-0,066</w:t>
            </w:r>
          </w:p>
        </w:tc>
      </w:tr>
      <w:tr w:rsidR="00842BDE" w:rsidRPr="00B4759B" w:rsidTr="00394FEA">
        <w:trPr>
          <w:trHeight w:val="295"/>
        </w:trPr>
        <w:tc>
          <w:tcPr>
            <w:tcW w:w="2824" w:type="dxa"/>
            <w:tcBorders>
              <w:top w:val="nil"/>
              <w:left w:val="nil"/>
              <w:bottom w:val="nil"/>
              <w:right w:val="nil"/>
            </w:tcBorders>
            <w:shd w:val="clear" w:color="auto" w:fill="DAEEF3" w:themeFill="accent5" w:themeFillTint="33"/>
            <w:hideMark/>
          </w:tcPr>
          <w:p w:rsidR="00842BDE" w:rsidRPr="00B4759B" w:rsidRDefault="00842BDE" w:rsidP="00394FEA">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Coton-Textile</w:t>
            </w:r>
          </w:p>
        </w:tc>
        <w:tc>
          <w:tcPr>
            <w:tcW w:w="983"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0,453</w:t>
            </w:r>
          </w:p>
        </w:tc>
        <w:tc>
          <w:tcPr>
            <w:tcW w:w="930"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0,333</w:t>
            </w:r>
          </w:p>
        </w:tc>
        <w:tc>
          <w:tcPr>
            <w:tcW w:w="1118"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-0,120</w:t>
            </w:r>
          </w:p>
        </w:tc>
        <w:tc>
          <w:tcPr>
            <w:tcW w:w="895"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0,073</w:t>
            </w:r>
          </w:p>
        </w:tc>
        <w:tc>
          <w:tcPr>
            <w:tcW w:w="1314"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-0,011</w:t>
            </w:r>
          </w:p>
        </w:tc>
        <w:tc>
          <w:tcPr>
            <w:tcW w:w="1448"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-0,109</w:t>
            </w:r>
          </w:p>
        </w:tc>
      </w:tr>
      <w:tr w:rsidR="00842BDE" w:rsidRPr="00B4759B" w:rsidTr="00394FEA">
        <w:trPr>
          <w:trHeight w:val="295"/>
        </w:trPr>
        <w:tc>
          <w:tcPr>
            <w:tcW w:w="2824" w:type="dxa"/>
            <w:tcBorders>
              <w:top w:val="nil"/>
              <w:left w:val="nil"/>
              <w:bottom w:val="nil"/>
              <w:right w:val="nil"/>
            </w:tcBorders>
            <w:shd w:val="clear" w:color="auto" w:fill="DAEEF3" w:themeFill="accent5" w:themeFillTint="33"/>
            <w:hideMark/>
          </w:tcPr>
          <w:p w:rsidR="00842BDE" w:rsidRPr="00B4759B" w:rsidRDefault="00842BDE" w:rsidP="00394FEA">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Commerce-logistique</w:t>
            </w:r>
          </w:p>
        </w:tc>
        <w:tc>
          <w:tcPr>
            <w:tcW w:w="983"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0,236</w:t>
            </w:r>
          </w:p>
        </w:tc>
        <w:tc>
          <w:tcPr>
            <w:tcW w:w="930"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0,267</w:t>
            </w:r>
          </w:p>
        </w:tc>
        <w:tc>
          <w:tcPr>
            <w:tcW w:w="1118"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0,031</w:t>
            </w:r>
          </w:p>
        </w:tc>
        <w:tc>
          <w:tcPr>
            <w:tcW w:w="895"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0,035</w:t>
            </w:r>
          </w:p>
        </w:tc>
        <w:tc>
          <w:tcPr>
            <w:tcW w:w="1314"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0,085</w:t>
            </w:r>
          </w:p>
        </w:tc>
        <w:tc>
          <w:tcPr>
            <w:tcW w:w="1448"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-0,054</w:t>
            </w:r>
          </w:p>
        </w:tc>
      </w:tr>
      <w:tr w:rsidR="00842BDE" w:rsidRPr="00B4759B" w:rsidTr="00394FEA">
        <w:trPr>
          <w:trHeight w:val="295"/>
        </w:trPr>
        <w:tc>
          <w:tcPr>
            <w:tcW w:w="2824" w:type="dxa"/>
            <w:tcBorders>
              <w:top w:val="nil"/>
              <w:left w:val="nil"/>
              <w:bottom w:val="nil"/>
              <w:right w:val="nil"/>
            </w:tcBorders>
            <w:shd w:val="clear" w:color="auto" w:fill="DAEEF3" w:themeFill="accent5" w:themeFillTint="33"/>
            <w:hideMark/>
          </w:tcPr>
          <w:p w:rsidR="00842BDE" w:rsidRPr="00B4759B" w:rsidRDefault="00842BDE" w:rsidP="00394FEA">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Agroalimentaire</w:t>
            </w:r>
          </w:p>
        </w:tc>
        <w:tc>
          <w:tcPr>
            <w:tcW w:w="983"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0,244</w:t>
            </w:r>
          </w:p>
        </w:tc>
        <w:tc>
          <w:tcPr>
            <w:tcW w:w="930"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0,298</w:t>
            </w:r>
          </w:p>
        </w:tc>
        <w:tc>
          <w:tcPr>
            <w:tcW w:w="1118"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0,054</w:t>
            </w:r>
          </w:p>
        </w:tc>
        <w:tc>
          <w:tcPr>
            <w:tcW w:w="895"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0,085</w:t>
            </w:r>
          </w:p>
        </w:tc>
        <w:tc>
          <w:tcPr>
            <w:tcW w:w="1314"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-0,055</w:t>
            </w:r>
          </w:p>
        </w:tc>
        <w:tc>
          <w:tcPr>
            <w:tcW w:w="1448"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0,109</w:t>
            </w:r>
          </w:p>
        </w:tc>
      </w:tr>
      <w:tr w:rsidR="00842BDE" w:rsidRPr="00B4759B" w:rsidTr="00394FEA">
        <w:trPr>
          <w:trHeight w:val="295"/>
        </w:trPr>
        <w:tc>
          <w:tcPr>
            <w:tcW w:w="2824" w:type="dxa"/>
            <w:tcBorders>
              <w:top w:val="nil"/>
              <w:left w:val="nil"/>
              <w:bottom w:val="nil"/>
              <w:right w:val="nil"/>
            </w:tcBorders>
            <w:shd w:val="clear" w:color="auto" w:fill="DAEEF3" w:themeFill="accent5" w:themeFillTint="33"/>
            <w:hideMark/>
          </w:tcPr>
          <w:p w:rsidR="00842BDE" w:rsidRPr="00B4759B" w:rsidRDefault="00842BDE" w:rsidP="00394FEA">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BTP - matériaux de construction</w:t>
            </w:r>
          </w:p>
        </w:tc>
        <w:tc>
          <w:tcPr>
            <w:tcW w:w="983"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0,299</w:t>
            </w:r>
          </w:p>
        </w:tc>
        <w:tc>
          <w:tcPr>
            <w:tcW w:w="930"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0,296</w:t>
            </w:r>
          </w:p>
        </w:tc>
        <w:tc>
          <w:tcPr>
            <w:tcW w:w="1118"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-0,003</w:t>
            </w:r>
          </w:p>
        </w:tc>
        <w:tc>
          <w:tcPr>
            <w:tcW w:w="895"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0,040</w:t>
            </w:r>
          </w:p>
        </w:tc>
        <w:tc>
          <w:tcPr>
            <w:tcW w:w="1314" w:type="dxa"/>
            <w:tcBorders>
              <w:top w:val="nil"/>
              <w:left w:val="nil"/>
              <w:bottom w:val="nil"/>
              <w:right w:val="nil"/>
            </w:tcBorders>
            <w:shd w:val="clear" w:color="auto" w:fill="DAEEF3" w:themeFill="accent5" w:themeFillTint="33"/>
            <w:noWrap/>
            <w:hideMark/>
          </w:tcPr>
          <w:p w:rsidR="00842BDE" w:rsidRPr="00B375EB" w:rsidRDefault="00842BDE" w:rsidP="00394FEA">
            <w:pPr>
              <w:spacing w:line="240" w:lineRule="auto"/>
              <w:jc w:val="center"/>
              <w:rPr>
                <w:rFonts w:ascii="Times New Roman" w:eastAsia="Times New Roman" w:hAnsi="Times New Roman"/>
                <w:color w:val="000000"/>
                <w:lang w:eastAsia="fr-FR"/>
              </w:rPr>
            </w:pPr>
            <w:r w:rsidRPr="00B375EB">
              <w:rPr>
                <w:rFonts w:ascii="Times New Roman" w:eastAsia="Times New Roman" w:hAnsi="Times New Roman"/>
                <w:color w:val="000000"/>
                <w:lang w:eastAsia="fr-FR"/>
              </w:rPr>
              <w:t>0,127</w:t>
            </w:r>
          </w:p>
        </w:tc>
        <w:tc>
          <w:tcPr>
            <w:tcW w:w="1448" w:type="dxa"/>
            <w:tcBorders>
              <w:top w:val="nil"/>
              <w:left w:val="nil"/>
              <w:bottom w:val="nil"/>
              <w:right w:val="nil"/>
            </w:tcBorders>
            <w:shd w:val="clear" w:color="auto" w:fill="DAEEF3" w:themeFill="accent5" w:themeFillTint="33"/>
            <w:noWrap/>
            <w:hideMark/>
          </w:tcPr>
          <w:p w:rsidR="00842BDE" w:rsidRPr="00B4759B" w:rsidRDefault="00842BDE" w:rsidP="00394FEA">
            <w:pPr>
              <w:spacing w:line="240" w:lineRule="auto"/>
              <w:jc w:val="center"/>
              <w:rPr>
                <w:rFonts w:ascii="Times New Roman" w:eastAsia="Times New Roman" w:hAnsi="Times New Roman"/>
                <w:color w:val="000000"/>
                <w:lang w:eastAsia="fr-FR"/>
              </w:rPr>
            </w:pPr>
            <w:r w:rsidRPr="00B4759B">
              <w:rPr>
                <w:rFonts w:ascii="Times New Roman" w:eastAsia="Times New Roman" w:hAnsi="Times New Roman"/>
                <w:color w:val="000000"/>
                <w:lang w:eastAsia="fr-FR"/>
              </w:rPr>
              <w:t>-0,130</w:t>
            </w:r>
          </w:p>
        </w:tc>
      </w:tr>
      <w:tr w:rsidR="00842BDE" w:rsidRPr="00B4759B" w:rsidTr="00394FEA">
        <w:trPr>
          <w:trHeight w:val="295"/>
        </w:trPr>
        <w:tc>
          <w:tcPr>
            <w:tcW w:w="2824" w:type="dxa"/>
            <w:tcBorders>
              <w:top w:val="nil"/>
              <w:left w:val="nil"/>
              <w:bottom w:val="double" w:sz="6" w:space="0" w:color="000000"/>
              <w:right w:val="nil"/>
            </w:tcBorders>
            <w:shd w:val="clear" w:color="auto" w:fill="DAEEF3" w:themeFill="accent5" w:themeFillTint="33"/>
            <w:hideMark/>
          </w:tcPr>
          <w:p w:rsidR="00842BDE" w:rsidRPr="00B4759B" w:rsidRDefault="00842BDE" w:rsidP="00394FEA">
            <w:pPr>
              <w:spacing w:line="240" w:lineRule="auto"/>
              <w:rPr>
                <w:rFonts w:ascii="Times New Roman" w:eastAsia="Times New Roman" w:hAnsi="Times New Roman"/>
                <w:color w:val="000000"/>
                <w:lang w:eastAsia="fr-FR"/>
              </w:rPr>
            </w:pPr>
            <w:r w:rsidRPr="00B4759B">
              <w:rPr>
                <w:rFonts w:ascii="Times New Roman" w:eastAsia="Times New Roman" w:hAnsi="Times New Roman"/>
                <w:color w:val="000000"/>
                <w:lang w:eastAsia="fr-FR"/>
              </w:rPr>
              <w:t>Artisanat, culture et tourisme</w:t>
            </w:r>
          </w:p>
        </w:tc>
        <w:tc>
          <w:tcPr>
            <w:tcW w:w="983" w:type="dxa"/>
            <w:tcBorders>
              <w:top w:val="nil"/>
              <w:left w:val="nil"/>
              <w:bottom w:val="double" w:sz="6" w:space="0" w:color="000000"/>
              <w:right w:val="nil"/>
            </w:tcBorders>
            <w:shd w:val="clear" w:color="auto" w:fill="DAEEF3" w:themeFill="accent5" w:themeFillTint="33"/>
            <w:noWrap/>
            <w:hideMark/>
          </w:tcPr>
          <w:p w:rsidR="00842BDE" w:rsidRPr="00B4759B" w:rsidRDefault="00BF5952" w:rsidP="00394FE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0,345</w:t>
            </w:r>
          </w:p>
        </w:tc>
        <w:tc>
          <w:tcPr>
            <w:tcW w:w="930" w:type="dxa"/>
            <w:tcBorders>
              <w:top w:val="nil"/>
              <w:left w:val="nil"/>
              <w:bottom w:val="double" w:sz="6" w:space="0" w:color="000000"/>
              <w:right w:val="nil"/>
            </w:tcBorders>
            <w:shd w:val="clear" w:color="auto" w:fill="DAEEF3" w:themeFill="accent5" w:themeFillTint="33"/>
            <w:noWrap/>
            <w:hideMark/>
          </w:tcPr>
          <w:p w:rsidR="00842BDE" w:rsidRPr="00B4759B" w:rsidRDefault="00BF5952" w:rsidP="00394FE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0,286</w:t>
            </w:r>
          </w:p>
        </w:tc>
        <w:tc>
          <w:tcPr>
            <w:tcW w:w="1118" w:type="dxa"/>
            <w:tcBorders>
              <w:top w:val="nil"/>
              <w:left w:val="nil"/>
              <w:bottom w:val="double" w:sz="6" w:space="0" w:color="000000"/>
              <w:right w:val="nil"/>
            </w:tcBorders>
            <w:shd w:val="clear" w:color="auto" w:fill="DAEEF3" w:themeFill="accent5" w:themeFillTint="33"/>
            <w:noWrap/>
            <w:hideMark/>
          </w:tcPr>
          <w:p w:rsidR="00842BDE" w:rsidRPr="00B375EB" w:rsidRDefault="00BF5952" w:rsidP="00394FE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-0,059</w:t>
            </w:r>
          </w:p>
        </w:tc>
        <w:tc>
          <w:tcPr>
            <w:tcW w:w="895" w:type="dxa"/>
            <w:tcBorders>
              <w:top w:val="nil"/>
              <w:left w:val="nil"/>
              <w:bottom w:val="double" w:sz="6" w:space="0" w:color="000000"/>
              <w:right w:val="nil"/>
            </w:tcBorders>
            <w:shd w:val="clear" w:color="auto" w:fill="DAEEF3" w:themeFill="accent5" w:themeFillTint="33"/>
            <w:noWrap/>
            <w:hideMark/>
          </w:tcPr>
          <w:p w:rsidR="00842BDE" w:rsidRPr="00B375EB" w:rsidRDefault="00BF5952" w:rsidP="00394FE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0,034</w:t>
            </w:r>
          </w:p>
        </w:tc>
        <w:tc>
          <w:tcPr>
            <w:tcW w:w="1314" w:type="dxa"/>
            <w:tcBorders>
              <w:top w:val="nil"/>
              <w:left w:val="nil"/>
              <w:bottom w:val="double" w:sz="6" w:space="0" w:color="000000"/>
              <w:right w:val="nil"/>
            </w:tcBorders>
            <w:shd w:val="clear" w:color="auto" w:fill="DAEEF3" w:themeFill="accent5" w:themeFillTint="33"/>
            <w:noWrap/>
            <w:hideMark/>
          </w:tcPr>
          <w:p w:rsidR="00842BDE" w:rsidRPr="00B375EB" w:rsidRDefault="00BF5952" w:rsidP="00394FE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0,046</w:t>
            </w:r>
          </w:p>
        </w:tc>
        <w:tc>
          <w:tcPr>
            <w:tcW w:w="1448" w:type="dxa"/>
            <w:tcBorders>
              <w:top w:val="nil"/>
              <w:left w:val="nil"/>
              <w:bottom w:val="double" w:sz="6" w:space="0" w:color="000000"/>
              <w:right w:val="nil"/>
            </w:tcBorders>
            <w:shd w:val="clear" w:color="auto" w:fill="DAEEF3" w:themeFill="accent5" w:themeFillTint="33"/>
            <w:noWrap/>
            <w:hideMark/>
          </w:tcPr>
          <w:p w:rsidR="00842BDE" w:rsidRPr="00B4759B" w:rsidRDefault="00BF5952" w:rsidP="00394FEA">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-0,105</w:t>
            </w:r>
          </w:p>
        </w:tc>
      </w:tr>
      <w:tr w:rsidR="00842BDE" w:rsidRPr="004D3255" w:rsidTr="00394FEA">
        <w:trPr>
          <w:trHeight w:val="233"/>
        </w:trPr>
        <w:tc>
          <w:tcPr>
            <w:tcW w:w="9512" w:type="dxa"/>
            <w:gridSpan w:val="7"/>
            <w:tcBorders>
              <w:top w:val="double" w:sz="6" w:space="0" w:color="000000"/>
              <w:left w:val="nil"/>
              <w:right w:val="nil"/>
            </w:tcBorders>
            <w:shd w:val="clear" w:color="auto" w:fill="DAEEF3" w:themeFill="accent5" w:themeFillTint="33"/>
            <w:hideMark/>
          </w:tcPr>
          <w:p w:rsidR="00842BDE" w:rsidRPr="004D3255" w:rsidRDefault="00842BDE" w:rsidP="00394FEA">
            <w:pPr>
              <w:spacing w:line="240" w:lineRule="auto"/>
              <w:rPr>
                <w:rFonts w:ascii="Times New Roman" w:eastAsia="Times New Roman" w:hAnsi="Times New Roman"/>
                <w:bCs/>
                <w:color w:val="000000"/>
                <w:sz w:val="20"/>
                <w:szCs w:val="20"/>
                <w:lang w:eastAsia="fr-FR"/>
              </w:rPr>
            </w:pPr>
            <w:r w:rsidRPr="004D3255">
              <w:rPr>
                <w:rFonts w:ascii="Times New Roman" w:eastAsia="Times New Roman" w:hAnsi="Times New Roman"/>
                <w:bCs/>
                <w:color w:val="000000"/>
                <w:sz w:val="20"/>
                <w:szCs w:val="20"/>
                <w:lang w:eastAsia="fr-FR"/>
              </w:rPr>
              <w:t>Source : INSAE, 2013</w:t>
            </w:r>
          </w:p>
        </w:tc>
      </w:tr>
    </w:tbl>
    <w:p w:rsidR="00842BDE" w:rsidRDefault="00842BDE" w:rsidP="00842BDE">
      <w:pPr>
        <w:rPr>
          <w:rFonts w:ascii="Times New Roman" w:eastAsia="Times New Roman" w:hAnsi="Times New Roman"/>
          <w:bCs/>
          <w:color w:val="000000"/>
          <w:sz w:val="20"/>
          <w:szCs w:val="20"/>
          <w:lang w:eastAsia="fr-FR"/>
        </w:rPr>
      </w:pPr>
    </w:p>
    <w:p w:rsidR="009B5D4E" w:rsidRDefault="00B03462" w:rsidP="00324B2E">
      <w:pPr>
        <w:spacing w:line="276" w:lineRule="auto"/>
        <w:rPr>
          <w:rFonts w:ascii="Times New Roman" w:eastAsia="Times New Roman" w:hAnsi="Times New Roman"/>
          <w:bCs/>
          <w:color w:val="000000"/>
          <w:sz w:val="24"/>
          <w:szCs w:val="24"/>
          <w:lang w:eastAsia="fr-FR"/>
        </w:rPr>
      </w:pPr>
      <w:r>
        <w:rPr>
          <w:rFonts w:ascii="Times New Roman" w:eastAsia="Times New Roman" w:hAnsi="Times New Roman"/>
          <w:bCs/>
          <w:color w:val="000000"/>
          <w:sz w:val="24"/>
          <w:szCs w:val="24"/>
          <w:lang w:eastAsia="fr-FR"/>
        </w:rPr>
        <w:t>Il faut noter qu’e</w:t>
      </w:r>
      <w:r w:rsidR="001064B7" w:rsidRPr="001064B7">
        <w:rPr>
          <w:rFonts w:ascii="Times New Roman" w:eastAsia="Times New Roman" w:hAnsi="Times New Roman"/>
          <w:bCs/>
          <w:color w:val="000000"/>
          <w:sz w:val="24"/>
          <w:szCs w:val="24"/>
          <w:lang w:eastAsia="fr-FR"/>
        </w:rPr>
        <w:t xml:space="preserve">ntre 2006 et 2009, </w:t>
      </w:r>
      <w:r w:rsidR="00922551">
        <w:rPr>
          <w:rFonts w:ascii="Times New Roman" w:eastAsia="Times New Roman" w:hAnsi="Times New Roman"/>
          <w:bCs/>
          <w:color w:val="000000"/>
          <w:sz w:val="24"/>
          <w:szCs w:val="24"/>
          <w:lang w:eastAsia="fr-FR"/>
        </w:rPr>
        <w:t>plusieurs politiques de redistribution ont été mises en œuvre par le Gouvernement</w:t>
      </w:r>
      <w:r w:rsidR="00F74373">
        <w:rPr>
          <w:rStyle w:val="Appelnotedebasdep"/>
          <w:rFonts w:ascii="Times New Roman" w:eastAsia="Times New Roman" w:hAnsi="Times New Roman"/>
          <w:bCs/>
          <w:color w:val="000000"/>
          <w:sz w:val="24"/>
          <w:szCs w:val="24"/>
          <w:lang w:eastAsia="fr-FR"/>
        </w:rPr>
        <w:footnoteReference w:id="59"/>
      </w:r>
      <w:r w:rsidR="00922551">
        <w:rPr>
          <w:rFonts w:ascii="Times New Roman" w:eastAsia="Times New Roman" w:hAnsi="Times New Roman"/>
          <w:bCs/>
          <w:color w:val="000000"/>
          <w:sz w:val="24"/>
          <w:szCs w:val="24"/>
          <w:lang w:eastAsia="fr-FR"/>
        </w:rPr>
        <w:t xml:space="preserve">. </w:t>
      </w:r>
      <w:r w:rsidR="00F74373">
        <w:rPr>
          <w:rFonts w:ascii="Times New Roman" w:eastAsia="Times New Roman" w:hAnsi="Times New Roman"/>
          <w:bCs/>
          <w:color w:val="000000"/>
          <w:sz w:val="24"/>
          <w:szCs w:val="24"/>
          <w:lang w:eastAsia="fr-FR"/>
        </w:rPr>
        <w:t>En particulier, d</w:t>
      </w:r>
      <w:r w:rsidR="00922551">
        <w:rPr>
          <w:rFonts w:ascii="Times New Roman" w:eastAsia="Times New Roman" w:hAnsi="Times New Roman"/>
          <w:bCs/>
          <w:color w:val="000000"/>
          <w:sz w:val="24"/>
          <w:szCs w:val="24"/>
          <w:lang w:eastAsia="fr-FR"/>
        </w:rPr>
        <w:t>ans le domaine agricole, on peut citer le Programme d’Urgence d’Appui à la Sécurité Alimentaire (PUASA) et le Programme de Diversification Agricole par la Valorisation des Vallées (PDAVV) lancés au début de 2008 afin de faire face à la crise alimentaire. Ces actions destinées à lutter contre l’insécurité alimentaire visent à accroître et ceci à brève échéance, le volume des denrées alimentaires à travers l’installation d’unités de production capables de produire de façon intensive et durable. Ces unités concernent les différentes filières agricoles stratégiques à promouvoir.</w:t>
      </w:r>
    </w:p>
    <w:p w:rsidR="00324B2E" w:rsidRDefault="00324B2E" w:rsidP="00324B2E">
      <w:pPr>
        <w:spacing w:line="276" w:lineRule="auto"/>
        <w:rPr>
          <w:rFonts w:ascii="Times New Roman" w:eastAsia="Times New Roman" w:hAnsi="Times New Roman"/>
          <w:bCs/>
          <w:color w:val="000000"/>
          <w:sz w:val="24"/>
          <w:szCs w:val="24"/>
          <w:lang w:eastAsia="fr-FR"/>
        </w:rPr>
      </w:pPr>
    </w:p>
    <w:p w:rsidR="00145BC3" w:rsidRDefault="001064B7" w:rsidP="00145BC3">
      <w:pPr>
        <w:spacing w:line="276" w:lineRule="auto"/>
        <w:rPr>
          <w:rFonts w:ascii="Times New Roman" w:hAnsi="Times New Roman"/>
          <w:b/>
          <w:sz w:val="24"/>
          <w:szCs w:val="24"/>
        </w:rPr>
      </w:pPr>
      <w:r w:rsidRPr="001064B7">
        <w:rPr>
          <w:rFonts w:ascii="Times New Roman" w:eastAsia="Times New Roman" w:hAnsi="Times New Roman"/>
          <w:bCs/>
          <w:color w:val="000000"/>
          <w:sz w:val="24"/>
          <w:szCs w:val="24"/>
          <w:lang w:eastAsia="fr-FR"/>
        </w:rPr>
        <w:t>En somme</w:t>
      </w:r>
      <w:r w:rsidR="00145BC3">
        <w:rPr>
          <w:rFonts w:ascii="Times New Roman" w:eastAsia="Times New Roman" w:hAnsi="Times New Roman"/>
          <w:bCs/>
          <w:color w:val="000000"/>
          <w:sz w:val="24"/>
          <w:szCs w:val="24"/>
          <w:lang w:eastAsia="fr-FR"/>
        </w:rPr>
        <w:t xml:space="preserve">, de </w:t>
      </w:r>
      <w:r w:rsidR="00B53FD1">
        <w:rPr>
          <w:rFonts w:ascii="Times New Roman" w:eastAsia="Times New Roman" w:hAnsi="Times New Roman"/>
          <w:bCs/>
          <w:color w:val="000000"/>
          <w:sz w:val="24"/>
          <w:szCs w:val="24"/>
          <w:lang w:eastAsia="fr-FR"/>
        </w:rPr>
        <w:t>ce chapitre,</w:t>
      </w:r>
      <w:r w:rsidR="006730B0">
        <w:rPr>
          <w:rFonts w:ascii="Times New Roman" w:eastAsia="Times New Roman" w:hAnsi="Times New Roman"/>
          <w:bCs/>
          <w:color w:val="000000"/>
          <w:sz w:val="24"/>
          <w:szCs w:val="24"/>
          <w:lang w:eastAsia="fr-FR"/>
        </w:rPr>
        <w:t xml:space="preserve"> </w:t>
      </w:r>
      <w:r w:rsidR="00145BC3">
        <w:rPr>
          <w:rFonts w:ascii="Times New Roman" w:eastAsia="Times New Roman" w:hAnsi="Times New Roman"/>
          <w:bCs/>
          <w:color w:val="000000"/>
          <w:sz w:val="24"/>
          <w:szCs w:val="24"/>
          <w:lang w:eastAsia="fr-FR"/>
        </w:rPr>
        <w:t xml:space="preserve">il ressort notamment que la croissance n’a pas été favorable aux pauvres dans </w:t>
      </w:r>
      <w:r w:rsidR="004C74B7">
        <w:rPr>
          <w:rFonts w:ascii="Times New Roman" w:eastAsia="Times New Roman" w:hAnsi="Times New Roman"/>
          <w:bCs/>
          <w:color w:val="000000"/>
          <w:sz w:val="24"/>
          <w:szCs w:val="24"/>
          <w:lang w:eastAsia="fr-FR"/>
        </w:rPr>
        <w:t xml:space="preserve">le </w:t>
      </w:r>
      <w:r w:rsidR="00145BC3">
        <w:rPr>
          <w:rFonts w:ascii="Times New Roman" w:eastAsia="Times New Roman" w:hAnsi="Times New Roman"/>
          <w:bCs/>
          <w:color w:val="000000"/>
          <w:sz w:val="24"/>
          <w:szCs w:val="24"/>
          <w:lang w:eastAsia="fr-FR"/>
        </w:rPr>
        <w:t xml:space="preserve">secteur de l’agriculture qui occupe plus de la moitié de </w:t>
      </w:r>
      <w:r w:rsidRPr="001064B7">
        <w:rPr>
          <w:rFonts w:ascii="Times New Roman" w:eastAsia="Times New Roman" w:hAnsi="Times New Roman"/>
          <w:bCs/>
          <w:color w:val="000000"/>
          <w:sz w:val="24"/>
          <w:szCs w:val="24"/>
          <w:lang w:eastAsia="fr-FR"/>
        </w:rPr>
        <w:t xml:space="preserve"> la population totale</w:t>
      </w:r>
      <w:r w:rsidR="00145BC3">
        <w:rPr>
          <w:rFonts w:ascii="Times New Roman" w:eastAsia="Times New Roman" w:hAnsi="Times New Roman"/>
          <w:bCs/>
          <w:color w:val="000000"/>
          <w:sz w:val="24"/>
          <w:szCs w:val="24"/>
          <w:lang w:eastAsia="fr-FR"/>
        </w:rPr>
        <w:t xml:space="preserve">.  Cette dernière contribuant </w:t>
      </w:r>
      <w:r w:rsidRPr="001064B7">
        <w:rPr>
          <w:rFonts w:ascii="Times New Roman" w:eastAsia="Times New Roman" w:hAnsi="Times New Roman"/>
          <w:bCs/>
          <w:color w:val="000000"/>
          <w:sz w:val="24"/>
          <w:szCs w:val="24"/>
          <w:lang w:eastAsia="fr-FR"/>
        </w:rPr>
        <w:t xml:space="preserve"> à</w:t>
      </w:r>
      <w:r w:rsidR="00145BC3">
        <w:rPr>
          <w:rFonts w:ascii="Times New Roman" w:eastAsia="Times New Roman" w:hAnsi="Times New Roman"/>
          <w:bCs/>
          <w:color w:val="000000"/>
          <w:sz w:val="24"/>
          <w:szCs w:val="24"/>
          <w:lang w:eastAsia="fr-FR"/>
        </w:rPr>
        <w:t xml:space="preserve"> 58,3</w:t>
      </w:r>
      <w:r w:rsidRPr="001064B7">
        <w:rPr>
          <w:rFonts w:ascii="Times New Roman" w:eastAsia="Times New Roman" w:hAnsi="Times New Roman"/>
          <w:bCs/>
          <w:color w:val="000000"/>
          <w:sz w:val="24"/>
          <w:szCs w:val="24"/>
          <w:lang w:eastAsia="fr-FR"/>
        </w:rPr>
        <w:t xml:space="preserve"> % à la pauvreté nationale en 2011</w:t>
      </w:r>
      <w:r w:rsidR="00505883">
        <w:rPr>
          <w:rFonts w:ascii="Times New Roman" w:eastAsia="Times New Roman" w:hAnsi="Times New Roman"/>
          <w:bCs/>
          <w:color w:val="000000"/>
          <w:sz w:val="24"/>
          <w:szCs w:val="24"/>
          <w:lang w:eastAsia="fr-FR"/>
        </w:rPr>
        <w:t>.</w:t>
      </w:r>
    </w:p>
    <w:p w:rsidR="00207631" w:rsidRDefault="00207631" w:rsidP="00DE5FAD">
      <w:pPr>
        <w:spacing w:line="276" w:lineRule="auto"/>
        <w:rPr>
          <w:rFonts w:ascii="Times New Roman" w:eastAsia="Times New Roman" w:hAnsi="Times New Roman"/>
          <w:bCs/>
          <w:color w:val="000000"/>
          <w:sz w:val="24"/>
          <w:szCs w:val="24"/>
          <w:lang w:eastAsia="fr-FR"/>
        </w:rPr>
      </w:pPr>
    </w:p>
    <w:p w:rsidR="00DE5FAD" w:rsidRPr="007C3F41" w:rsidRDefault="00505883" w:rsidP="00DE5FAD">
      <w:pPr>
        <w:spacing w:line="276" w:lineRule="auto"/>
        <w:rPr>
          <w:rFonts w:ascii="Times New Roman" w:hAnsi="Times New Roman"/>
          <w:sz w:val="24"/>
          <w:szCs w:val="24"/>
        </w:rPr>
      </w:pPr>
      <w:r>
        <w:rPr>
          <w:rFonts w:ascii="Times New Roman" w:hAnsi="Times New Roman"/>
          <w:sz w:val="24"/>
          <w:szCs w:val="24"/>
        </w:rPr>
        <w:t xml:space="preserve">Cette tendance </w:t>
      </w:r>
      <w:r w:rsidR="002B35C4">
        <w:rPr>
          <w:rFonts w:ascii="Times New Roman" w:hAnsi="Times New Roman"/>
          <w:sz w:val="24"/>
          <w:szCs w:val="24"/>
        </w:rPr>
        <w:t xml:space="preserve">semble mettre davantage en exergue la faible </w:t>
      </w:r>
      <w:r w:rsidR="002B35C4" w:rsidRPr="007C3F41">
        <w:rPr>
          <w:rFonts w:ascii="Times New Roman" w:hAnsi="Times New Roman"/>
          <w:sz w:val="24"/>
          <w:szCs w:val="24"/>
        </w:rPr>
        <w:t>productivité des agriculteurs</w:t>
      </w:r>
      <w:r w:rsidR="002B35C4">
        <w:rPr>
          <w:rFonts w:ascii="Times New Roman" w:hAnsi="Times New Roman"/>
          <w:sz w:val="24"/>
          <w:szCs w:val="24"/>
        </w:rPr>
        <w:t xml:space="preserve">. Elle constitue cependant l’un des </w:t>
      </w:r>
      <w:r w:rsidR="00DE5FAD">
        <w:rPr>
          <w:rFonts w:ascii="Times New Roman" w:hAnsi="Times New Roman"/>
          <w:sz w:val="24"/>
          <w:szCs w:val="24"/>
        </w:rPr>
        <w:t>principaux o</w:t>
      </w:r>
      <w:r w:rsidR="00DE5FAD" w:rsidRPr="007C3F41">
        <w:rPr>
          <w:rFonts w:ascii="Times New Roman" w:hAnsi="Times New Roman"/>
          <w:sz w:val="24"/>
          <w:szCs w:val="24"/>
        </w:rPr>
        <w:t>bstacles au développement de l'agriculture</w:t>
      </w:r>
      <w:r w:rsidR="006730B0">
        <w:rPr>
          <w:rFonts w:ascii="Times New Roman" w:hAnsi="Times New Roman"/>
          <w:sz w:val="24"/>
          <w:szCs w:val="24"/>
        </w:rPr>
        <w:t xml:space="preserve"> </w:t>
      </w:r>
      <w:r w:rsidR="00DE5FAD" w:rsidRPr="007C3F41">
        <w:rPr>
          <w:rFonts w:ascii="Times New Roman" w:hAnsi="Times New Roman"/>
          <w:sz w:val="24"/>
          <w:szCs w:val="24"/>
        </w:rPr>
        <w:t>et à la réduction de la pauvreté rurale</w:t>
      </w:r>
      <w:r w:rsidR="00DA592C">
        <w:rPr>
          <w:rFonts w:ascii="Times New Roman" w:hAnsi="Times New Roman"/>
          <w:sz w:val="24"/>
          <w:szCs w:val="24"/>
        </w:rPr>
        <w:t xml:space="preserve"> souvent mis en évidence</w:t>
      </w:r>
      <w:r w:rsidR="000670ED">
        <w:rPr>
          <w:rFonts w:ascii="Times New Roman" w:hAnsi="Times New Roman"/>
          <w:sz w:val="24"/>
          <w:szCs w:val="24"/>
        </w:rPr>
        <w:t xml:space="preserve"> pour les pays africains</w:t>
      </w:r>
      <w:r>
        <w:rPr>
          <w:rFonts w:ascii="Times New Roman" w:hAnsi="Times New Roman"/>
          <w:sz w:val="24"/>
          <w:szCs w:val="24"/>
        </w:rPr>
        <w:t xml:space="preserve">. </w:t>
      </w:r>
      <w:r w:rsidR="00DA592C">
        <w:rPr>
          <w:rFonts w:ascii="Times New Roman" w:hAnsi="Times New Roman"/>
          <w:sz w:val="24"/>
          <w:szCs w:val="24"/>
        </w:rPr>
        <w:t xml:space="preserve">Ils </w:t>
      </w:r>
      <w:r w:rsidR="002B35C4">
        <w:rPr>
          <w:rFonts w:ascii="Times New Roman" w:hAnsi="Times New Roman"/>
          <w:sz w:val="24"/>
          <w:szCs w:val="24"/>
        </w:rPr>
        <w:t>portent</w:t>
      </w:r>
      <w:r w:rsidR="006730B0">
        <w:rPr>
          <w:rFonts w:ascii="Times New Roman" w:hAnsi="Times New Roman"/>
          <w:sz w:val="24"/>
          <w:szCs w:val="24"/>
        </w:rPr>
        <w:t xml:space="preserve"> </w:t>
      </w:r>
      <w:r w:rsidR="00DA592C">
        <w:rPr>
          <w:rFonts w:ascii="Times New Roman" w:hAnsi="Times New Roman"/>
          <w:sz w:val="24"/>
          <w:szCs w:val="24"/>
        </w:rPr>
        <w:t>notamment</w:t>
      </w:r>
      <w:r w:rsidR="002B35C4">
        <w:rPr>
          <w:rFonts w:ascii="Times New Roman" w:hAnsi="Times New Roman"/>
          <w:sz w:val="24"/>
          <w:szCs w:val="24"/>
        </w:rPr>
        <w:t xml:space="preserve"> sur : (i</w:t>
      </w:r>
      <w:r w:rsidR="00DE5FAD">
        <w:rPr>
          <w:rFonts w:ascii="Times New Roman" w:hAnsi="Times New Roman"/>
          <w:sz w:val="24"/>
          <w:szCs w:val="24"/>
        </w:rPr>
        <w:t>) l’</w:t>
      </w:r>
      <w:r w:rsidR="00DE5FAD" w:rsidRPr="007C3F41">
        <w:rPr>
          <w:rFonts w:ascii="Times New Roman" w:hAnsi="Times New Roman"/>
          <w:sz w:val="24"/>
          <w:szCs w:val="24"/>
        </w:rPr>
        <w:t>inefficacité des mécanismes de commercialisation des produits agricoles et en particulier des produits vivriers</w:t>
      </w:r>
      <w:r w:rsidR="002B35C4">
        <w:rPr>
          <w:rFonts w:ascii="Times New Roman" w:hAnsi="Times New Roman"/>
          <w:sz w:val="24"/>
          <w:szCs w:val="24"/>
        </w:rPr>
        <w:t>, (ii</w:t>
      </w:r>
      <w:r w:rsidR="00134EFA">
        <w:rPr>
          <w:rFonts w:ascii="Times New Roman" w:hAnsi="Times New Roman"/>
          <w:sz w:val="24"/>
          <w:szCs w:val="24"/>
        </w:rPr>
        <w:t xml:space="preserve">) </w:t>
      </w:r>
      <w:r w:rsidR="002B35C4">
        <w:rPr>
          <w:rFonts w:ascii="Times New Roman" w:hAnsi="Times New Roman"/>
          <w:sz w:val="24"/>
          <w:szCs w:val="24"/>
        </w:rPr>
        <w:t xml:space="preserve">le </w:t>
      </w:r>
      <w:r w:rsidR="00DE5FAD" w:rsidRPr="007C3F41">
        <w:rPr>
          <w:rFonts w:ascii="Times New Roman" w:hAnsi="Times New Roman"/>
          <w:sz w:val="24"/>
          <w:szCs w:val="24"/>
        </w:rPr>
        <w:t>manque d'accès aux capitaux</w:t>
      </w:r>
      <w:r w:rsidR="00694394">
        <w:rPr>
          <w:rFonts w:ascii="Times New Roman" w:hAnsi="Times New Roman"/>
          <w:sz w:val="24"/>
          <w:szCs w:val="24"/>
        </w:rPr>
        <w:t>,</w:t>
      </w:r>
      <w:r w:rsidR="002B35C4">
        <w:rPr>
          <w:rFonts w:ascii="Times New Roman" w:hAnsi="Times New Roman"/>
          <w:sz w:val="24"/>
          <w:szCs w:val="24"/>
        </w:rPr>
        <w:t xml:space="preserve"> (iii</w:t>
      </w:r>
      <w:r w:rsidR="00DE5FAD" w:rsidRPr="007C3F41">
        <w:rPr>
          <w:rFonts w:ascii="Times New Roman" w:hAnsi="Times New Roman"/>
          <w:sz w:val="24"/>
          <w:szCs w:val="24"/>
        </w:rPr>
        <w:t xml:space="preserve">) </w:t>
      </w:r>
      <w:r w:rsidR="00DE5FAD">
        <w:rPr>
          <w:rFonts w:ascii="Times New Roman" w:hAnsi="Times New Roman"/>
          <w:sz w:val="24"/>
          <w:szCs w:val="24"/>
        </w:rPr>
        <w:t xml:space="preserve"> l’</w:t>
      </w:r>
      <w:r w:rsidR="00DE5FAD" w:rsidRPr="007C3F41">
        <w:rPr>
          <w:rFonts w:ascii="Times New Roman" w:hAnsi="Times New Roman"/>
          <w:sz w:val="24"/>
          <w:szCs w:val="24"/>
        </w:rPr>
        <w:t>incapacité d'exploiter pleinement des possibilités d'activités non agricoles rémunératrices qui permettraient de réduire les risques et (</w:t>
      </w:r>
      <w:r w:rsidR="00694394">
        <w:rPr>
          <w:rFonts w:ascii="Times New Roman" w:hAnsi="Times New Roman"/>
          <w:sz w:val="24"/>
          <w:szCs w:val="24"/>
        </w:rPr>
        <w:t>i</w:t>
      </w:r>
      <w:r w:rsidR="00DE5FAD" w:rsidRPr="007C3F41">
        <w:rPr>
          <w:rFonts w:ascii="Times New Roman" w:hAnsi="Times New Roman"/>
          <w:sz w:val="24"/>
          <w:szCs w:val="24"/>
        </w:rPr>
        <w:t xml:space="preserve">v)  </w:t>
      </w:r>
      <w:r w:rsidR="00694394">
        <w:rPr>
          <w:rFonts w:ascii="Times New Roman" w:hAnsi="Times New Roman"/>
          <w:sz w:val="24"/>
          <w:szCs w:val="24"/>
        </w:rPr>
        <w:t xml:space="preserve">le </w:t>
      </w:r>
      <w:r w:rsidR="00DE5FAD" w:rsidRPr="007C3F41">
        <w:rPr>
          <w:rFonts w:ascii="Times New Roman" w:hAnsi="Times New Roman"/>
          <w:sz w:val="24"/>
          <w:szCs w:val="24"/>
        </w:rPr>
        <w:t>développement insuffisant des infrastructures rurales</w:t>
      </w:r>
      <w:r w:rsidR="00DE5FAD">
        <w:rPr>
          <w:rFonts w:ascii="Times New Roman" w:hAnsi="Times New Roman"/>
          <w:sz w:val="24"/>
          <w:szCs w:val="24"/>
        </w:rPr>
        <w:t xml:space="preserve"> (FIDA, 2011)</w:t>
      </w:r>
      <w:r w:rsidR="00DE5FAD" w:rsidRPr="007C3F41">
        <w:rPr>
          <w:rFonts w:ascii="Times New Roman" w:hAnsi="Times New Roman"/>
          <w:sz w:val="24"/>
          <w:szCs w:val="24"/>
        </w:rPr>
        <w:t>.</w:t>
      </w:r>
    </w:p>
    <w:p w:rsidR="00DE5FAD" w:rsidRPr="00180C11" w:rsidRDefault="00DE5FAD" w:rsidP="00DE5FAD">
      <w:pPr>
        <w:autoSpaceDE w:val="0"/>
        <w:autoSpaceDN w:val="0"/>
        <w:adjustRightInd w:val="0"/>
        <w:spacing w:line="240" w:lineRule="auto"/>
        <w:rPr>
          <w:rFonts w:ascii="Times New Roman" w:hAnsi="Times New Roman"/>
          <w:sz w:val="24"/>
          <w:szCs w:val="24"/>
        </w:rPr>
      </w:pPr>
    </w:p>
    <w:p w:rsidR="00DE5FAD" w:rsidRDefault="00C01BEB" w:rsidP="00DE5FAD">
      <w:pPr>
        <w:spacing w:line="276" w:lineRule="auto"/>
        <w:rPr>
          <w:rFonts w:ascii="Times New Roman" w:hAnsi="Times New Roman"/>
          <w:sz w:val="24"/>
          <w:szCs w:val="24"/>
        </w:rPr>
      </w:pPr>
      <w:r>
        <w:rPr>
          <w:rFonts w:ascii="Times New Roman" w:hAnsi="Times New Roman"/>
          <w:sz w:val="24"/>
          <w:szCs w:val="24"/>
        </w:rPr>
        <w:t xml:space="preserve">Pour inverser cette tendance, </w:t>
      </w:r>
      <w:r w:rsidR="00DE5FAD">
        <w:rPr>
          <w:rFonts w:ascii="Times New Roman" w:hAnsi="Times New Roman"/>
          <w:sz w:val="24"/>
          <w:szCs w:val="24"/>
        </w:rPr>
        <w:t>la productivité agricole en Afrique devrait constituer un impératif pour le changement</w:t>
      </w:r>
      <w:r w:rsidR="003D7730">
        <w:rPr>
          <w:rFonts w:ascii="Times New Roman" w:hAnsi="Times New Roman"/>
          <w:sz w:val="24"/>
          <w:szCs w:val="24"/>
        </w:rPr>
        <w:t xml:space="preserve"> (Forum Africain pour la Recherche Agricole (FARA), 2006)</w:t>
      </w:r>
      <w:r w:rsidR="00DE5FAD">
        <w:rPr>
          <w:rFonts w:ascii="Times New Roman" w:hAnsi="Times New Roman"/>
          <w:sz w:val="24"/>
          <w:szCs w:val="24"/>
        </w:rPr>
        <w:t>.En effet, l’amélioration de la</w:t>
      </w:r>
      <w:r w:rsidR="00DE5FAD" w:rsidRPr="007C3F41">
        <w:rPr>
          <w:rFonts w:ascii="Times New Roman" w:hAnsi="Times New Roman"/>
          <w:sz w:val="24"/>
          <w:szCs w:val="24"/>
        </w:rPr>
        <w:t xml:space="preserve"> productivité dans l'agriculture </w:t>
      </w:r>
      <w:r w:rsidR="00DE5FAD">
        <w:rPr>
          <w:rFonts w:ascii="Times New Roman" w:hAnsi="Times New Roman"/>
          <w:sz w:val="24"/>
          <w:szCs w:val="24"/>
        </w:rPr>
        <w:t xml:space="preserve">devrait favoriser l’accroissement des revenus des ménages agricoles et </w:t>
      </w:r>
      <w:r w:rsidR="00DE5FAD" w:rsidRPr="00172265">
        <w:rPr>
          <w:rFonts w:ascii="Times New Roman" w:hAnsi="Times New Roman"/>
          <w:sz w:val="24"/>
          <w:szCs w:val="24"/>
        </w:rPr>
        <w:t xml:space="preserve">la satisfaction des besoins non alimentaires (soins de santé, éducation et autres), l’amélioration des conditions d’emploi et d’existence en milieu rural ainsi que la contribution du secteur à la croissance de l’économie nationale. En </w:t>
      </w:r>
      <w:r w:rsidR="00DE5FAD">
        <w:rPr>
          <w:rFonts w:ascii="Times New Roman" w:hAnsi="Times New Roman"/>
          <w:sz w:val="24"/>
          <w:szCs w:val="24"/>
        </w:rPr>
        <w:t xml:space="preserve">conséquence, elle devrait conduire à une réduction substantielle de la pauvreté. </w:t>
      </w:r>
      <w:r w:rsidR="000E6E43">
        <w:rPr>
          <w:rFonts w:ascii="Times New Roman" w:hAnsi="Times New Roman"/>
          <w:sz w:val="24"/>
          <w:szCs w:val="24"/>
        </w:rPr>
        <w:t xml:space="preserve">A cet égard, </w:t>
      </w:r>
      <w:r w:rsidR="00DE5FAD" w:rsidRPr="007C3F41">
        <w:rPr>
          <w:rFonts w:ascii="Times New Roman" w:hAnsi="Times New Roman"/>
          <w:sz w:val="24"/>
          <w:szCs w:val="24"/>
        </w:rPr>
        <w:t>Thirt, Lin et Piesse (2003)</w:t>
      </w:r>
      <w:r w:rsidR="00922551">
        <w:rPr>
          <w:rFonts w:ascii="Times New Roman" w:hAnsi="Times New Roman"/>
          <w:sz w:val="24"/>
          <w:szCs w:val="24"/>
          <w:vertAlign w:val="superscript"/>
        </w:rPr>
        <w:footnoteReference w:id="60"/>
      </w:r>
      <w:r w:rsidR="000E6E43">
        <w:rPr>
          <w:rFonts w:ascii="Times New Roman" w:hAnsi="Times New Roman"/>
          <w:sz w:val="24"/>
          <w:szCs w:val="24"/>
        </w:rPr>
        <w:t xml:space="preserve">ont montré </w:t>
      </w:r>
      <w:r w:rsidR="00DE5FAD">
        <w:rPr>
          <w:rFonts w:ascii="Times New Roman" w:hAnsi="Times New Roman"/>
          <w:sz w:val="24"/>
          <w:szCs w:val="24"/>
        </w:rPr>
        <w:t xml:space="preserve">dans une étude sur plusieurs pays, </w:t>
      </w:r>
      <w:r w:rsidR="007B7843">
        <w:rPr>
          <w:rFonts w:ascii="Times New Roman" w:hAnsi="Times New Roman"/>
          <w:sz w:val="24"/>
          <w:szCs w:val="24"/>
        </w:rPr>
        <w:t xml:space="preserve"> que </w:t>
      </w:r>
      <w:r w:rsidR="00DE5FAD" w:rsidRPr="007C3F41">
        <w:rPr>
          <w:rFonts w:ascii="Times New Roman" w:hAnsi="Times New Roman"/>
          <w:sz w:val="24"/>
          <w:szCs w:val="24"/>
        </w:rPr>
        <w:t xml:space="preserve">la hausse de la productivité </w:t>
      </w:r>
      <w:r w:rsidR="00DE5FAD">
        <w:rPr>
          <w:rFonts w:ascii="Times New Roman" w:hAnsi="Times New Roman"/>
          <w:sz w:val="24"/>
          <w:szCs w:val="24"/>
        </w:rPr>
        <w:t>a</w:t>
      </w:r>
      <w:r w:rsidR="00DE5FAD" w:rsidRPr="00E701C1">
        <w:rPr>
          <w:rFonts w:ascii="Times New Roman" w:hAnsi="Times New Roman"/>
          <w:sz w:val="24"/>
          <w:szCs w:val="24"/>
        </w:rPr>
        <w:t>gricole</w:t>
      </w:r>
      <w:r w:rsidR="006730B0">
        <w:rPr>
          <w:rFonts w:ascii="Times New Roman" w:hAnsi="Times New Roman"/>
          <w:sz w:val="24"/>
          <w:szCs w:val="24"/>
        </w:rPr>
        <w:t xml:space="preserve"> </w:t>
      </w:r>
      <w:r w:rsidR="00DE5FAD">
        <w:rPr>
          <w:rFonts w:ascii="Times New Roman" w:hAnsi="Times New Roman"/>
          <w:sz w:val="24"/>
          <w:szCs w:val="24"/>
        </w:rPr>
        <w:t>mesurée à travers la productivité globale des facteurs</w:t>
      </w:r>
      <w:r w:rsidR="00922551">
        <w:rPr>
          <w:vertAlign w:val="superscript"/>
        </w:rPr>
        <w:footnoteReference w:id="61"/>
      </w:r>
      <w:r w:rsidR="00DE5FAD" w:rsidRPr="007C3F41">
        <w:rPr>
          <w:rFonts w:ascii="Times New Roman" w:hAnsi="Times New Roman"/>
          <w:sz w:val="24"/>
          <w:szCs w:val="24"/>
        </w:rPr>
        <w:t>a un fort retentissement sur le recul de la pauvreté, alors que ce n’est pas le cas de l’accroissement de la productivité dans l’industrie et dans les</w:t>
      </w:r>
      <w:r w:rsidR="00DE5FAD">
        <w:rPr>
          <w:rFonts w:ascii="Times New Roman" w:hAnsi="Times New Roman"/>
          <w:sz w:val="24"/>
          <w:szCs w:val="24"/>
        </w:rPr>
        <w:t xml:space="preserve"> services. Au Bénin, les résultats disponibles montrent une contribution négative de la productivité globale des facteurs à la croissance</w:t>
      </w:r>
      <w:r w:rsidR="00C376F7">
        <w:rPr>
          <w:rStyle w:val="Appelnotedebasdep"/>
          <w:rFonts w:ascii="Times New Roman" w:hAnsi="Times New Roman"/>
          <w:sz w:val="24"/>
          <w:szCs w:val="24"/>
        </w:rPr>
        <w:footnoteReference w:id="62"/>
      </w:r>
      <w:r w:rsidR="00DE5FAD">
        <w:rPr>
          <w:rFonts w:ascii="Times New Roman" w:hAnsi="Times New Roman"/>
          <w:sz w:val="24"/>
          <w:szCs w:val="24"/>
        </w:rPr>
        <w:t xml:space="preserve"> aussi bien au niveau global que sectoriel</w:t>
      </w:r>
      <w:r w:rsidR="00DE5FAD">
        <w:rPr>
          <w:rStyle w:val="Appelnotedebasdep"/>
          <w:rFonts w:ascii="Times New Roman" w:hAnsi="Times New Roman"/>
          <w:sz w:val="24"/>
          <w:szCs w:val="24"/>
        </w:rPr>
        <w:footnoteReference w:id="63"/>
      </w:r>
      <w:r w:rsidR="00DE5FAD">
        <w:rPr>
          <w:rFonts w:ascii="Times New Roman" w:hAnsi="Times New Roman"/>
          <w:sz w:val="24"/>
          <w:szCs w:val="24"/>
        </w:rPr>
        <w:t xml:space="preserve"> sur la période 1983-2008 (Balaro et al, 2010), indiquant ainsi une perte d’efficience de l’économie et en </w:t>
      </w:r>
      <w:r w:rsidR="000670ED">
        <w:rPr>
          <w:rFonts w:ascii="Times New Roman" w:hAnsi="Times New Roman"/>
          <w:sz w:val="24"/>
          <w:szCs w:val="24"/>
        </w:rPr>
        <w:t xml:space="preserve">particulier du secteur agricole, ce qui contribuerait à </w:t>
      </w:r>
      <w:r w:rsidR="001A6624">
        <w:rPr>
          <w:rFonts w:ascii="Times New Roman" w:hAnsi="Times New Roman"/>
          <w:sz w:val="24"/>
          <w:szCs w:val="24"/>
        </w:rPr>
        <w:t>explique</w:t>
      </w:r>
      <w:r w:rsidR="000670ED">
        <w:rPr>
          <w:rFonts w:ascii="Times New Roman" w:hAnsi="Times New Roman"/>
          <w:sz w:val="24"/>
          <w:szCs w:val="24"/>
        </w:rPr>
        <w:t>r</w:t>
      </w:r>
      <w:r w:rsidR="006730B0">
        <w:rPr>
          <w:rFonts w:ascii="Times New Roman" w:hAnsi="Times New Roman"/>
          <w:sz w:val="24"/>
          <w:szCs w:val="24"/>
        </w:rPr>
        <w:t xml:space="preserve"> </w:t>
      </w:r>
      <w:r w:rsidR="006D618E">
        <w:rPr>
          <w:rFonts w:ascii="Times New Roman" w:hAnsi="Times New Roman"/>
          <w:sz w:val="24"/>
          <w:szCs w:val="24"/>
        </w:rPr>
        <w:t>le niveau de la pauvreté au Bénin et en particulier dans le secteur agricole.</w:t>
      </w:r>
    </w:p>
    <w:p w:rsidR="00DE5FAD" w:rsidRDefault="00DE5FAD" w:rsidP="00DE5FAD">
      <w:pPr>
        <w:autoSpaceDE w:val="0"/>
        <w:autoSpaceDN w:val="0"/>
        <w:adjustRightInd w:val="0"/>
        <w:spacing w:line="240" w:lineRule="auto"/>
        <w:rPr>
          <w:rFonts w:ascii="Times New Roman" w:hAnsi="Times New Roman"/>
          <w:sz w:val="24"/>
          <w:szCs w:val="24"/>
        </w:rPr>
      </w:pPr>
    </w:p>
    <w:p w:rsidR="00085EB0" w:rsidRDefault="00085EB0" w:rsidP="00DE5FAD">
      <w:pPr>
        <w:autoSpaceDE w:val="0"/>
        <w:autoSpaceDN w:val="0"/>
        <w:adjustRightInd w:val="0"/>
        <w:spacing w:line="240" w:lineRule="auto"/>
        <w:rPr>
          <w:rFonts w:ascii="Times New Roman" w:hAnsi="Times New Roman"/>
          <w:sz w:val="24"/>
          <w:szCs w:val="24"/>
        </w:rPr>
      </w:pPr>
    </w:p>
    <w:tbl>
      <w:tblPr>
        <w:tblW w:w="9132" w:type="dxa"/>
        <w:tblInd w:w="56" w:type="dxa"/>
        <w:tblCellMar>
          <w:left w:w="70" w:type="dxa"/>
          <w:right w:w="70" w:type="dxa"/>
        </w:tblCellMar>
        <w:tblLook w:val="04A0" w:firstRow="1" w:lastRow="0" w:firstColumn="1" w:lastColumn="0" w:noHBand="0" w:noVBand="1"/>
      </w:tblPr>
      <w:tblGrid>
        <w:gridCol w:w="3526"/>
        <w:gridCol w:w="3707"/>
        <w:gridCol w:w="1899"/>
      </w:tblGrid>
      <w:tr w:rsidR="00842BDE" w:rsidRPr="0017324D" w:rsidTr="009D609C">
        <w:trPr>
          <w:trHeight w:val="314"/>
        </w:trPr>
        <w:tc>
          <w:tcPr>
            <w:tcW w:w="9132" w:type="dxa"/>
            <w:gridSpan w:val="3"/>
            <w:tcBorders>
              <w:left w:val="nil"/>
              <w:bottom w:val="double" w:sz="4" w:space="0" w:color="auto"/>
              <w:right w:val="nil"/>
            </w:tcBorders>
            <w:shd w:val="clear" w:color="auto" w:fill="92CDDC" w:themeFill="accent5" w:themeFillTint="99"/>
            <w:noWrap/>
            <w:vAlign w:val="bottom"/>
            <w:hideMark/>
          </w:tcPr>
          <w:p w:rsidR="00842BDE" w:rsidRPr="0017324D" w:rsidRDefault="0017324D" w:rsidP="00842BDE">
            <w:pPr>
              <w:jc w:val="left"/>
              <w:rPr>
                <w:rFonts w:ascii="Times New Roman" w:hAnsi="Times New Roman"/>
                <w:sz w:val="24"/>
                <w:szCs w:val="24"/>
              </w:rPr>
            </w:pPr>
            <w:bookmarkStart w:id="84" w:name="_Toc373430372"/>
            <w:r w:rsidRPr="0017324D">
              <w:rPr>
                <w:rFonts w:ascii="Times New Roman" w:hAnsi="Times New Roman"/>
                <w:sz w:val="24"/>
                <w:szCs w:val="24"/>
              </w:rPr>
              <w:t xml:space="preserve">Tableau 2. </w:t>
            </w:r>
            <w:r w:rsidR="00182C97" w:rsidRPr="0017324D">
              <w:rPr>
                <w:rFonts w:ascii="Times New Roman" w:hAnsi="Times New Roman"/>
                <w:sz w:val="24"/>
                <w:szCs w:val="24"/>
              </w:rPr>
              <w:fldChar w:fldCharType="begin"/>
            </w:r>
            <w:r w:rsidRPr="0017324D">
              <w:rPr>
                <w:rFonts w:ascii="Times New Roman" w:hAnsi="Times New Roman"/>
                <w:sz w:val="24"/>
                <w:szCs w:val="24"/>
              </w:rPr>
              <w:instrText xml:space="preserve"> SEQ Tableau_2. \* ARABIC </w:instrText>
            </w:r>
            <w:r w:rsidR="00182C97" w:rsidRPr="0017324D">
              <w:rPr>
                <w:rFonts w:ascii="Times New Roman" w:hAnsi="Times New Roman"/>
                <w:sz w:val="24"/>
                <w:szCs w:val="24"/>
              </w:rPr>
              <w:fldChar w:fldCharType="separate"/>
            </w:r>
            <w:r w:rsidR="00AB1967">
              <w:rPr>
                <w:rFonts w:ascii="Times New Roman" w:hAnsi="Times New Roman"/>
                <w:noProof/>
                <w:sz w:val="24"/>
                <w:szCs w:val="24"/>
              </w:rPr>
              <w:t>6</w:t>
            </w:r>
            <w:r w:rsidR="00182C97" w:rsidRPr="0017324D">
              <w:rPr>
                <w:rFonts w:ascii="Times New Roman" w:hAnsi="Times New Roman"/>
                <w:sz w:val="24"/>
                <w:szCs w:val="24"/>
              </w:rPr>
              <w:fldChar w:fldCharType="end"/>
            </w:r>
            <w:r w:rsidR="00842BDE" w:rsidRPr="0017324D">
              <w:rPr>
                <w:rFonts w:ascii="Times New Roman" w:hAnsi="Times New Roman"/>
                <w:sz w:val="24"/>
                <w:szCs w:val="24"/>
              </w:rPr>
              <w:t>: Croissance de la productivité globale des facteurs entre 1983 et 2008</w:t>
            </w:r>
            <w:bookmarkEnd w:id="84"/>
          </w:p>
        </w:tc>
      </w:tr>
      <w:tr w:rsidR="00DE5FAD" w:rsidRPr="0068317A" w:rsidTr="009D609C">
        <w:trPr>
          <w:trHeight w:val="381"/>
        </w:trPr>
        <w:tc>
          <w:tcPr>
            <w:tcW w:w="3526" w:type="dxa"/>
            <w:tcBorders>
              <w:top w:val="double" w:sz="4" w:space="0" w:color="auto"/>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Secteur formel</w:t>
            </w:r>
          </w:p>
        </w:tc>
        <w:tc>
          <w:tcPr>
            <w:tcW w:w="3707" w:type="dxa"/>
            <w:tcBorders>
              <w:top w:val="double" w:sz="4" w:space="0" w:color="auto"/>
              <w:left w:val="nil"/>
              <w:bottom w:val="nil"/>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Agriculture</w:t>
            </w:r>
          </w:p>
        </w:tc>
        <w:tc>
          <w:tcPr>
            <w:tcW w:w="1899" w:type="dxa"/>
            <w:tcBorders>
              <w:top w:val="double" w:sz="4" w:space="0" w:color="auto"/>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-0,1</w:t>
            </w:r>
          </w:p>
        </w:tc>
      </w:tr>
      <w:tr w:rsidR="00DE5FAD" w:rsidRPr="0068317A" w:rsidTr="009D609C">
        <w:trPr>
          <w:trHeight w:val="381"/>
        </w:trPr>
        <w:tc>
          <w:tcPr>
            <w:tcW w:w="3526" w:type="dxa"/>
            <w:tcBorders>
              <w:top w:val="nil"/>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p>
        </w:tc>
        <w:tc>
          <w:tcPr>
            <w:tcW w:w="3707" w:type="dxa"/>
            <w:tcBorders>
              <w:top w:val="nil"/>
              <w:left w:val="nil"/>
              <w:bottom w:val="nil"/>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Industrie manufacturière</w:t>
            </w:r>
          </w:p>
        </w:tc>
        <w:tc>
          <w:tcPr>
            <w:tcW w:w="1899" w:type="dxa"/>
            <w:tcBorders>
              <w:top w:val="nil"/>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-0,02</w:t>
            </w:r>
          </w:p>
        </w:tc>
      </w:tr>
      <w:tr w:rsidR="00DE5FAD" w:rsidRPr="0068317A" w:rsidTr="009D609C">
        <w:trPr>
          <w:trHeight w:val="381"/>
        </w:trPr>
        <w:tc>
          <w:tcPr>
            <w:tcW w:w="3526" w:type="dxa"/>
            <w:tcBorders>
              <w:top w:val="nil"/>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p>
        </w:tc>
        <w:tc>
          <w:tcPr>
            <w:tcW w:w="3707" w:type="dxa"/>
            <w:tcBorders>
              <w:top w:val="nil"/>
              <w:left w:val="nil"/>
              <w:bottom w:val="nil"/>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Industrie hors manufacture</w:t>
            </w:r>
          </w:p>
        </w:tc>
        <w:tc>
          <w:tcPr>
            <w:tcW w:w="1899" w:type="dxa"/>
            <w:tcBorders>
              <w:top w:val="nil"/>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-0,03</w:t>
            </w:r>
          </w:p>
        </w:tc>
      </w:tr>
      <w:tr w:rsidR="00DE5FAD" w:rsidRPr="0068317A" w:rsidTr="009D609C">
        <w:trPr>
          <w:trHeight w:val="381"/>
        </w:trPr>
        <w:tc>
          <w:tcPr>
            <w:tcW w:w="3526" w:type="dxa"/>
            <w:tcBorders>
              <w:top w:val="nil"/>
              <w:left w:val="nil"/>
              <w:bottom w:val="nil"/>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p>
        </w:tc>
        <w:tc>
          <w:tcPr>
            <w:tcW w:w="3707" w:type="dxa"/>
            <w:tcBorders>
              <w:top w:val="nil"/>
              <w:left w:val="nil"/>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Tertiaire marchand</w:t>
            </w:r>
          </w:p>
        </w:tc>
        <w:tc>
          <w:tcPr>
            <w:tcW w:w="1899" w:type="dxa"/>
            <w:tcBorders>
              <w:top w:val="nil"/>
              <w:left w:val="nil"/>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-0,12</w:t>
            </w:r>
          </w:p>
        </w:tc>
      </w:tr>
      <w:tr w:rsidR="00DE5FAD" w:rsidRPr="0068317A" w:rsidTr="009D609C">
        <w:trPr>
          <w:trHeight w:val="381"/>
        </w:trPr>
        <w:tc>
          <w:tcPr>
            <w:tcW w:w="3526" w:type="dxa"/>
            <w:tcBorders>
              <w:top w:val="nil"/>
              <w:left w:val="nil"/>
              <w:bottom w:val="single" w:sz="4" w:space="0" w:color="000000" w:themeColor="text1"/>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p>
        </w:tc>
        <w:tc>
          <w:tcPr>
            <w:tcW w:w="3707" w:type="dxa"/>
            <w:tcBorders>
              <w:top w:val="nil"/>
              <w:left w:val="nil"/>
              <w:bottom w:val="single" w:sz="4" w:space="0" w:color="000000" w:themeColor="text1"/>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Tertiaire non marchand</w:t>
            </w:r>
          </w:p>
        </w:tc>
        <w:tc>
          <w:tcPr>
            <w:tcW w:w="1899" w:type="dxa"/>
            <w:tcBorders>
              <w:top w:val="nil"/>
              <w:left w:val="nil"/>
              <w:bottom w:val="single" w:sz="4" w:space="0" w:color="000000" w:themeColor="text1"/>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-0,08</w:t>
            </w:r>
          </w:p>
        </w:tc>
      </w:tr>
      <w:tr w:rsidR="00DE5FAD" w:rsidRPr="0068317A" w:rsidTr="009D609C">
        <w:trPr>
          <w:trHeight w:val="381"/>
        </w:trPr>
        <w:tc>
          <w:tcPr>
            <w:tcW w:w="3526" w:type="dxa"/>
            <w:tcBorders>
              <w:top w:val="single" w:sz="4" w:space="0" w:color="000000" w:themeColor="text1"/>
              <w:left w:val="nil"/>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Secteur informel</w:t>
            </w:r>
          </w:p>
        </w:tc>
        <w:tc>
          <w:tcPr>
            <w:tcW w:w="3707" w:type="dxa"/>
            <w:tcBorders>
              <w:top w:val="single" w:sz="4" w:space="0" w:color="000000" w:themeColor="text1"/>
              <w:left w:val="nil"/>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Agriculture</w:t>
            </w:r>
          </w:p>
        </w:tc>
        <w:tc>
          <w:tcPr>
            <w:tcW w:w="1899" w:type="dxa"/>
            <w:tcBorders>
              <w:top w:val="single" w:sz="4" w:space="0" w:color="000000" w:themeColor="text1"/>
              <w:left w:val="nil"/>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-0,09</w:t>
            </w:r>
          </w:p>
        </w:tc>
      </w:tr>
      <w:tr w:rsidR="00DE5FAD" w:rsidRPr="0068317A" w:rsidTr="009D609C">
        <w:trPr>
          <w:trHeight w:val="381"/>
        </w:trPr>
        <w:tc>
          <w:tcPr>
            <w:tcW w:w="3526" w:type="dxa"/>
            <w:tcBorders>
              <w:top w:val="nil"/>
              <w:left w:val="nil"/>
              <w:bottom w:val="single" w:sz="4" w:space="0" w:color="auto"/>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p>
        </w:tc>
        <w:tc>
          <w:tcPr>
            <w:tcW w:w="3707" w:type="dxa"/>
            <w:tcBorders>
              <w:top w:val="nil"/>
              <w:left w:val="nil"/>
              <w:bottom w:val="single" w:sz="4" w:space="0" w:color="auto"/>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 xml:space="preserve">Non agricole </w:t>
            </w:r>
          </w:p>
        </w:tc>
        <w:tc>
          <w:tcPr>
            <w:tcW w:w="1899" w:type="dxa"/>
            <w:tcBorders>
              <w:top w:val="nil"/>
              <w:left w:val="nil"/>
              <w:bottom w:val="single" w:sz="4" w:space="0" w:color="auto"/>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-0,11</w:t>
            </w:r>
          </w:p>
        </w:tc>
      </w:tr>
      <w:tr w:rsidR="00DE5FAD" w:rsidRPr="0068317A" w:rsidTr="009D609C">
        <w:trPr>
          <w:trHeight w:val="381"/>
        </w:trPr>
        <w:tc>
          <w:tcPr>
            <w:tcW w:w="3526" w:type="dxa"/>
            <w:tcBorders>
              <w:top w:val="single" w:sz="4" w:space="0" w:color="auto"/>
              <w:left w:val="nil"/>
              <w:bottom w:val="double" w:sz="4" w:space="0" w:color="auto"/>
              <w:right w:val="nil"/>
            </w:tcBorders>
            <w:shd w:val="clear" w:color="auto" w:fill="DAEEF3" w:themeFill="accent5" w:themeFillTint="33"/>
            <w:noWrap/>
            <w:vAlign w:val="center"/>
            <w:hideMark/>
          </w:tcPr>
          <w:p w:rsidR="00DE5FAD" w:rsidRPr="0068317A" w:rsidRDefault="00DE5FAD" w:rsidP="00842BDE">
            <w:pPr>
              <w:spacing w:line="240" w:lineRule="auto"/>
              <w:jc w:val="left"/>
              <w:rPr>
                <w:rFonts w:ascii="Times New Roman" w:hAnsi="Times New Roman"/>
                <w:sz w:val="24"/>
                <w:szCs w:val="24"/>
              </w:rPr>
            </w:pPr>
            <w:r w:rsidRPr="0068317A">
              <w:rPr>
                <w:rFonts w:ascii="Times New Roman" w:hAnsi="Times New Roman"/>
                <w:sz w:val="24"/>
                <w:szCs w:val="24"/>
              </w:rPr>
              <w:t>Ensemble</w:t>
            </w:r>
          </w:p>
        </w:tc>
        <w:tc>
          <w:tcPr>
            <w:tcW w:w="3707" w:type="dxa"/>
            <w:tcBorders>
              <w:top w:val="single" w:sz="4" w:space="0" w:color="auto"/>
              <w:left w:val="nil"/>
              <w:bottom w:val="double" w:sz="4" w:space="0" w:color="auto"/>
              <w:right w:val="nil"/>
            </w:tcBorders>
            <w:shd w:val="clear" w:color="auto" w:fill="DAEEF3" w:themeFill="accent5" w:themeFillTint="33"/>
            <w:vAlign w:val="center"/>
            <w:hideMark/>
          </w:tcPr>
          <w:p w:rsidR="00DE5FAD" w:rsidRPr="0068317A" w:rsidRDefault="00DE5FAD" w:rsidP="00842BDE">
            <w:pPr>
              <w:spacing w:line="240" w:lineRule="auto"/>
              <w:jc w:val="left"/>
              <w:rPr>
                <w:rFonts w:ascii="Times New Roman" w:hAnsi="Times New Roman"/>
                <w:sz w:val="24"/>
                <w:szCs w:val="24"/>
              </w:rPr>
            </w:pPr>
          </w:p>
        </w:tc>
        <w:tc>
          <w:tcPr>
            <w:tcW w:w="1899" w:type="dxa"/>
            <w:tcBorders>
              <w:top w:val="single" w:sz="4" w:space="0" w:color="auto"/>
              <w:left w:val="nil"/>
              <w:bottom w:val="double" w:sz="4" w:space="0" w:color="auto"/>
              <w:right w:val="nil"/>
            </w:tcBorders>
            <w:shd w:val="clear" w:color="auto" w:fill="DAEEF3" w:themeFill="accent5" w:themeFillTint="33"/>
            <w:noWrap/>
            <w:vAlign w:val="center"/>
            <w:hideMark/>
          </w:tcPr>
          <w:p w:rsidR="00DE5FAD" w:rsidRPr="0068317A" w:rsidRDefault="00DE5FAD" w:rsidP="00842BDE">
            <w:pPr>
              <w:spacing w:line="240" w:lineRule="auto"/>
              <w:jc w:val="right"/>
              <w:rPr>
                <w:rFonts w:ascii="Times New Roman" w:hAnsi="Times New Roman"/>
                <w:sz w:val="24"/>
                <w:szCs w:val="24"/>
              </w:rPr>
            </w:pPr>
            <w:r w:rsidRPr="0068317A">
              <w:rPr>
                <w:rFonts w:ascii="Times New Roman" w:hAnsi="Times New Roman"/>
                <w:sz w:val="24"/>
                <w:szCs w:val="24"/>
              </w:rPr>
              <w:t>-0,36</w:t>
            </w:r>
          </w:p>
        </w:tc>
      </w:tr>
      <w:tr w:rsidR="00842BDE" w:rsidRPr="00842BDE" w:rsidTr="009D609C">
        <w:trPr>
          <w:trHeight w:val="314"/>
        </w:trPr>
        <w:tc>
          <w:tcPr>
            <w:tcW w:w="9132" w:type="dxa"/>
            <w:gridSpan w:val="3"/>
            <w:tcBorders>
              <w:top w:val="double" w:sz="4" w:space="0" w:color="auto"/>
              <w:left w:val="nil"/>
              <w:right w:val="nil"/>
            </w:tcBorders>
            <w:shd w:val="clear" w:color="auto" w:fill="DAEEF3" w:themeFill="accent5" w:themeFillTint="33"/>
            <w:noWrap/>
            <w:vAlign w:val="bottom"/>
            <w:hideMark/>
          </w:tcPr>
          <w:p w:rsidR="00842BDE" w:rsidRPr="00842BDE" w:rsidRDefault="00842BDE" w:rsidP="00842BDE">
            <w:pPr>
              <w:autoSpaceDE w:val="0"/>
              <w:autoSpaceDN w:val="0"/>
              <w:adjustRightInd w:val="0"/>
              <w:spacing w:line="240" w:lineRule="auto"/>
              <w:rPr>
                <w:rFonts w:ascii="Times New Roman" w:hAnsi="Times New Roman"/>
                <w:sz w:val="20"/>
                <w:szCs w:val="20"/>
              </w:rPr>
            </w:pPr>
            <w:r w:rsidRPr="00842BDE">
              <w:rPr>
                <w:rFonts w:ascii="Times New Roman" w:hAnsi="Times New Roman"/>
                <w:sz w:val="20"/>
                <w:szCs w:val="20"/>
              </w:rPr>
              <w:t>Source : Balaro et al (2010)</w:t>
            </w:r>
          </w:p>
        </w:tc>
      </w:tr>
    </w:tbl>
    <w:p w:rsidR="00DE5FAD" w:rsidRDefault="00DE5FAD" w:rsidP="00DE5FAD">
      <w:pPr>
        <w:autoSpaceDE w:val="0"/>
        <w:autoSpaceDN w:val="0"/>
        <w:adjustRightInd w:val="0"/>
        <w:spacing w:line="240" w:lineRule="auto"/>
        <w:rPr>
          <w:rFonts w:ascii="Times New Roman" w:hAnsi="Times New Roman"/>
          <w:sz w:val="24"/>
          <w:szCs w:val="24"/>
        </w:rPr>
      </w:pPr>
    </w:p>
    <w:p w:rsidR="00907A09" w:rsidRDefault="00907A09" w:rsidP="00DE5FAD">
      <w:pPr>
        <w:spacing w:line="276" w:lineRule="auto"/>
        <w:rPr>
          <w:rFonts w:ascii="Times New Roman" w:hAnsi="Times New Roman"/>
          <w:sz w:val="24"/>
          <w:szCs w:val="24"/>
        </w:rPr>
      </w:pPr>
    </w:p>
    <w:p w:rsidR="00F55E1C" w:rsidRDefault="00907A09" w:rsidP="00F55E1C">
      <w:pPr>
        <w:spacing w:line="276" w:lineRule="auto"/>
        <w:rPr>
          <w:rFonts w:ascii="Times New Roman" w:hAnsi="Times New Roman"/>
          <w:sz w:val="24"/>
          <w:szCs w:val="24"/>
        </w:rPr>
      </w:pPr>
      <w:r w:rsidRPr="00CA6CB2">
        <w:rPr>
          <w:rFonts w:ascii="Times New Roman" w:hAnsi="Times New Roman"/>
          <w:sz w:val="24"/>
          <w:szCs w:val="24"/>
        </w:rPr>
        <w:t xml:space="preserve">Cette perte ou faible productivité est illustrée par le graphique ci-dessous. Elle montre une corrélation positive entre la production et la superficie emblavée. </w:t>
      </w:r>
      <w:r w:rsidR="00F55E1C" w:rsidRPr="00CA6CB2">
        <w:rPr>
          <w:rFonts w:ascii="Times New Roman" w:hAnsi="Times New Roman"/>
          <w:sz w:val="24"/>
          <w:szCs w:val="24"/>
        </w:rPr>
        <w:t>Le cas du coton est plus perceptible et met en relief la nécessité de redéfinir les priorités dans la politique agricole au Bénin.</w:t>
      </w:r>
      <w:r w:rsidR="00F55E1C">
        <w:rPr>
          <w:rFonts w:ascii="Times New Roman" w:hAnsi="Times New Roman"/>
          <w:sz w:val="24"/>
          <w:szCs w:val="24"/>
        </w:rPr>
        <w:t xml:space="preserve"> </w:t>
      </w:r>
      <w:r w:rsidR="00F55E1C" w:rsidRPr="004263BD">
        <w:rPr>
          <w:rFonts w:ascii="Times New Roman" w:hAnsi="Times New Roman"/>
          <w:sz w:val="24"/>
          <w:szCs w:val="24"/>
        </w:rPr>
        <w:t>En effet, la situation observée à travers le graphique laisse penser à une moindre importance</w:t>
      </w:r>
      <w:r w:rsidR="00F55E1C">
        <w:rPr>
          <w:rFonts w:ascii="Times New Roman" w:hAnsi="Times New Roman"/>
          <w:sz w:val="24"/>
          <w:szCs w:val="24"/>
        </w:rPr>
        <w:t xml:space="preserve"> accordée à l’accroissement de la productivité, qui a priori est </w:t>
      </w:r>
      <w:r w:rsidR="00F55E1C" w:rsidRPr="00C7018E">
        <w:rPr>
          <w:rFonts w:ascii="Times New Roman" w:hAnsi="Times New Roman"/>
          <w:sz w:val="24"/>
          <w:szCs w:val="24"/>
        </w:rPr>
        <w:t xml:space="preserve">nécessaire pour </w:t>
      </w:r>
      <w:r w:rsidR="00F55E1C">
        <w:rPr>
          <w:rFonts w:ascii="Times New Roman" w:hAnsi="Times New Roman"/>
          <w:sz w:val="24"/>
          <w:szCs w:val="24"/>
        </w:rPr>
        <w:t xml:space="preserve">favoriser </w:t>
      </w:r>
      <w:r w:rsidR="00F55E1C" w:rsidRPr="00C7018E">
        <w:rPr>
          <w:rFonts w:ascii="Times New Roman" w:hAnsi="Times New Roman"/>
          <w:sz w:val="24"/>
          <w:szCs w:val="24"/>
        </w:rPr>
        <w:t xml:space="preserve"> une augmentation du revenu par tête et</w:t>
      </w:r>
      <w:r w:rsidR="00F55E1C">
        <w:rPr>
          <w:rFonts w:ascii="Times New Roman" w:hAnsi="Times New Roman"/>
          <w:sz w:val="24"/>
          <w:szCs w:val="24"/>
        </w:rPr>
        <w:t xml:space="preserve"> par conséquent, la</w:t>
      </w:r>
      <w:r w:rsidR="00F55E1C" w:rsidRPr="00C7018E">
        <w:rPr>
          <w:rFonts w:ascii="Times New Roman" w:hAnsi="Times New Roman"/>
          <w:sz w:val="24"/>
          <w:szCs w:val="24"/>
        </w:rPr>
        <w:t xml:space="preserve"> réduction de la pauvreté. Avec plus de terre</w:t>
      </w:r>
      <w:r w:rsidR="00F55E1C">
        <w:rPr>
          <w:rFonts w:ascii="Times New Roman" w:hAnsi="Times New Roman"/>
          <w:sz w:val="24"/>
          <w:szCs w:val="24"/>
        </w:rPr>
        <w:t>s</w:t>
      </w:r>
      <w:r w:rsidR="00F55E1C" w:rsidRPr="00C7018E">
        <w:rPr>
          <w:rFonts w:ascii="Times New Roman" w:hAnsi="Times New Roman"/>
          <w:sz w:val="24"/>
          <w:szCs w:val="24"/>
        </w:rPr>
        <w:t xml:space="preserve"> emblavée</w:t>
      </w:r>
      <w:r w:rsidR="00F55E1C">
        <w:rPr>
          <w:rFonts w:ascii="Times New Roman" w:hAnsi="Times New Roman"/>
          <w:sz w:val="24"/>
          <w:szCs w:val="24"/>
        </w:rPr>
        <w:t xml:space="preserve">s, les personnes les plus pauvres trouvent des  opportunités de travail qui contribuent à l’accroissement de leur revenu. Mais, ils restent cependant pauvres en raison de la portée limitée de cet accroissement de revenu qui s’explique largement par la faible productivité.  Pour la même raison, cette augmentation des terres emblavées ne permet pas aux personnes dont le revenu est proche du seuil de pauvreté, de devenir non pauvres. </w:t>
      </w:r>
    </w:p>
    <w:p w:rsidR="00F55E1C" w:rsidRDefault="00F55E1C" w:rsidP="00F55E1C">
      <w:pPr>
        <w:spacing w:line="276" w:lineRule="auto"/>
        <w:rPr>
          <w:rFonts w:ascii="Times New Roman" w:hAnsi="Times New Roman"/>
          <w:sz w:val="24"/>
          <w:szCs w:val="24"/>
        </w:rPr>
      </w:pPr>
    </w:p>
    <w:p w:rsidR="00F55E1C" w:rsidRDefault="00F55E1C" w:rsidP="00F55E1C">
      <w:pPr>
        <w:spacing w:line="276" w:lineRule="auto"/>
        <w:rPr>
          <w:rFonts w:ascii="Times New Roman" w:hAnsi="Times New Roman"/>
          <w:sz w:val="24"/>
          <w:szCs w:val="24"/>
        </w:rPr>
      </w:pPr>
      <w:r>
        <w:rPr>
          <w:rFonts w:ascii="Times New Roman" w:hAnsi="Times New Roman"/>
          <w:sz w:val="24"/>
          <w:szCs w:val="24"/>
        </w:rPr>
        <w:t xml:space="preserve">Ainsi, ces résultats suggèrent que </w:t>
      </w:r>
      <w:r w:rsidRPr="003655EA">
        <w:rPr>
          <w:rFonts w:ascii="Times New Roman" w:hAnsi="Times New Roman"/>
          <w:sz w:val="24"/>
          <w:szCs w:val="24"/>
        </w:rPr>
        <w:t>pour réduire la pauvreté, il faut mettre plus d’emphase sur la productivité et non pas seulement sur le niveau de production agricole de sorte que la croissance agricole vienne d’une augmentation de la productivité et non seulement d’une augmentation de la superficie emblavée</w:t>
      </w:r>
      <w:r>
        <w:rPr>
          <w:rFonts w:ascii="Times New Roman" w:hAnsi="Times New Roman"/>
          <w:sz w:val="24"/>
          <w:szCs w:val="24"/>
        </w:rPr>
        <w:t>.</w:t>
      </w:r>
    </w:p>
    <w:p w:rsidR="00907A09" w:rsidRDefault="00907A09" w:rsidP="00F55E1C">
      <w:pPr>
        <w:spacing w:line="276" w:lineRule="auto"/>
        <w:rPr>
          <w:sz w:val="24"/>
          <w:szCs w:val="24"/>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Look w:val="04A0" w:firstRow="1" w:lastRow="0" w:firstColumn="1" w:lastColumn="0" w:noHBand="0" w:noVBand="1"/>
      </w:tblPr>
      <w:tblGrid>
        <w:gridCol w:w="9126"/>
      </w:tblGrid>
      <w:tr w:rsidR="00DE73B0" w:rsidTr="00DE73B0">
        <w:trPr>
          <w:trHeight w:val="427"/>
        </w:trPr>
        <w:tc>
          <w:tcPr>
            <w:tcW w:w="4556" w:type="dxa"/>
            <w:tcBorders>
              <w:top w:val="nil"/>
              <w:bottom w:val="nil"/>
            </w:tcBorders>
            <w:shd w:val="clear" w:color="auto" w:fill="92CDDC" w:themeFill="accent5" w:themeFillTint="99"/>
          </w:tcPr>
          <w:p w:rsidR="00DE73B0" w:rsidRPr="00DE73B0" w:rsidRDefault="00DE73B0" w:rsidP="00961895">
            <w:pPr>
              <w:spacing w:line="276" w:lineRule="auto"/>
              <w:rPr>
                <w:rFonts w:ascii="Times New Roman" w:hAnsi="Times New Roman"/>
                <w:sz w:val="24"/>
                <w:szCs w:val="24"/>
              </w:rPr>
            </w:pPr>
            <w:r w:rsidRPr="00DE73B0">
              <w:rPr>
                <w:rFonts w:ascii="Times New Roman" w:hAnsi="Times New Roman"/>
                <w:sz w:val="24"/>
                <w:szCs w:val="24"/>
              </w:rPr>
              <w:t>Figure 2.9: Evolution de la production agricole et des superficies emblavées de 2001 à 2012</w:t>
            </w:r>
          </w:p>
        </w:tc>
      </w:tr>
      <w:tr w:rsidR="00907A09" w:rsidTr="00DE73B0">
        <w:trPr>
          <w:trHeight w:val="427"/>
        </w:trPr>
        <w:tc>
          <w:tcPr>
            <w:tcW w:w="4556" w:type="dxa"/>
            <w:tcBorders>
              <w:top w:val="nil"/>
              <w:bottom w:val="nil"/>
            </w:tcBorders>
            <w:shd w:val="clear" w:color="auto" w:fill="DAEEF3" w:themeFill="accent5" w:themeFillTint="33"/>
          </w:tcPr>
          <w:p w:rsidR="00907A09" w:rsidRPr="00C91E80" w:rsidRDefault="00907A09" w:rsidP="00961895">
            <w:pPr>
              <w:spacing w:line="276" w:lineRule="auto"/>
              <w:rPr>
                <w:rFonts w:ascii="Times New Roman" w:hAnsi="Times New Roman"/>
                <w:sz w:val="12"/>
                <w:szCs w:val="12"/>
              </w:rPr>
            </w:pPr>
          </w:p>
          <w:p w:rsidR="00907A09" w:rsidRPr="00E35C7A" w:rsidRDefault="00907A09" w:rsidP="00961895">
            <w:pPr>
              <w:spacing w:line="240" w:lineRule="auto"/>
              <w:jc w:val="left"/>
              <w:rPr>
                <w:rFonts w:ascii="Times New Roman" w:eastAsia="Times New Roman" w:hAnsi="Times New Roman"/>
                <w:bCs/>
                <w:color w:val="000000"/>
                <w:sz w:val="20"/>
                <w:szCs w:val="20"/>
                <w:lang w:eastAsia="fr-FR"/>
              </w:rPr>
            </w:pPr>
            <w:r>
              <w:rPr>
                <w:rFonts w:ascii="Times New Roman" w:eastAsia="Times New Roman" w:hAnsi="Times New Roman"/>
                <w:bCs/>
                <w:noProof/>
                <w:color w:val="000000"/>
                <w:sz w:val="20"/>
                <w:szCs w:val="20"/>
                <w:lang w:eastAsia="fr-FR"/>
              </w:rPr>
              <w:drawing>
                <wp:inline distT="0" distB="0" distL="0" distR="0" wp14:anchorId="65AF2DB5" wp14:editId="0C79766A">
                  <wp:extent cx="5630184" cy="2242159"/>
                  <wp:effectExtent l="19050" t="0" r="8616" b="0"/>
                  <wp:docPr id="1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629748" cy="2241985"/>
                          </a:xfrm>
                          <a:prstGeom prst="rect">
                            <a:avLst/>
                          </a:prstGeom>
                          <a:noFill/>
                          <a:ln w="9525">
                            <a:noFill/>
                            <a:miter lim="800000"/>
                            <a:headEnd/>
                            <a:tailEnd/>
                          </a:ln>
                        </pic:spPr>
                      </pic:pic>
                    </a:graphicData>
                  </a:graphic>
                </wp:inline>
              </w:drawing>
            </w:r>
          </w:p>
        </w:tc>
      </w:tr>
      <w:tr w:rsidR="00907A09" w:rsidTr="00DE73B0">
        <w:trPr>
          <w:trHeight w:val="272"/>
        </w:trPr>
        <w:tc>
          <w:tcPr>
            <w:tcW w:w="4556" w:type="dxa"/>
            <w:tcBorders>
              <w:top w:val="nil"/>
              <w:bottom w:val="single" w:sz="4" w:space="0" w:color="FFFFFF" w:themeColor="background1"/>
            </w:tcBorders>
            <w:shd w:val="clear" w:color="auto" w:fill="DAEEF3" w:themeFill="accent5" w:themeFillTint="33"/>
          </w:tcPr>
          <w:p w:rsidR="00907A09" w:rsidRPr="00C91E80" w:rsidRDefault="00907A09" w:rsidP="00961895">
            <w:pPr>
              <w:spacing w:line="276" w:lineRule="auto"/>
              <w:rPr>
                <w:rFonts w:ascii="Times New Roman" w:hAnsi="Times New Roman"/>
                <w:sz w:val="12"/>
                <w:szCs w:val="12"/>
              </w:rPr>
            </w:pPr>
            <w:r w:rsidRPr="00E35C7A">
              <w:rPr>
                <w:rFonts w:ascii="Times New Roman" w:eastAsia="Times New Roman" w:hAnsi="Times New Roman"/>
                <w:bCs/>
                <w:color w:val="000000"/>
                <w:sz w:val="20"/>
                <w:szCs w:val="20"/>
                <w:lang w:eastAsia="fr-FR"/>
              </w:rPr>
              <w:t>Source : INSAE, EMICOV 2006 et 2009</w:t>
            </w:r>
          </w:p>
        </w:tc>
      </w:tr>
    </w:tbl>
    <w:p w:rsidR="00907A09" w:rsidRDefault="00907A09" w:rsidP="00907A09">
      <w:pPr>
        <w:spacing w:line="276" w:lineRule="auto"/>
        <w:rPr>
          <w:rFonts w:ascii="Times New Roman" w:hAnsi="Times New Roman"/>
          <w:sz w:val="24"/>
          <w:szCs w:val="24"/>
        </w:rPr>
      </w:pPr>
    </w:p>
    <w:p w:rsidR="00907A09" w:rsidRDefault="00907A09" w:rsidP="00DE5FAD">
      <w:pPr>
        <w:spacing w:line="276" w:lineRule="auto"/>
        <w:rPr>
          <w:rFonts w:ascii="Times New Roman" w:hAnsi="Times New Roman"/>
          <w:sz w:val="24"/>
          <w:szCs w:val="24"/>
        </w:rPr>
      </w:pPr>
    </w:p>
    <w:p w:rsidR="00DE5FAD" w:rsidRDefault="00DE5FAD" w:rsidP="00DE5FAD">
      <w:pPr>
        <w:spacing w:line="276" w:lineRule="auto"/>
        <w:rPr>
          <w:rFonts w:ascii="Times New Roman" w:hAnsi="Times New Roman"/>
          <w:sz w:val="24"/>
          <w:szCs w:val="24"/>
        </w:rPr>
      </w:pPr>
      <w:r>
        <w:rPr>
          <w:rFonts w:ascii="Times New Roman" w:hAnsi="Times New Roman"/>
          <w:sz w:val="24"/>
          <w:szCs w:val="24"/>
        </w:rPr>
        <w:t>Dè</w:t>
      </w:r>
      <w:r w:rsidRPr="00A76611">
        <w:rPr>
          <w:rFonts w:ascii="Times New Roman" w:hAnsi="Times New Roman"/>
          <w:sz w:val="24"/>
          <w:szCs w:val="24"/>
        </w:rPr>
        <w:t>s</w:t>
      </w:r>
      <w:r>
        <w:rPr>
          <w:rFonts w:ascii="Times New Roman" w:hAnsi="Times New Roman"/>
          <w:sz w:val="24"/>
          <w:szCs w:val="24"/>
        </w:rPr>
        <w:t xml:space="preserve"> lors, des</w:t>
      </w:r>
      <w:r w:rsidRPr="00A76611">
        <w:rPr>
          <w:rFonts w:ascii="Times New Roman" w:hAnsi="Times New Roman"/>
          <w:sz w:val="24"/>
          <w:szCs w:val="24"/>
        </w:rPr>
        <w:t xml:space="preserve"> taux élevés et soutenus de la croissance agricole </w:t>
      </w:r>
      <w:r w:rsidRPr="00DE5FAD">
        <w:rPr>
          <w:rFonts w:ascii="Times New Roman" w:hAnsi="Times New Roman"/>
          <w:sz w:val="24"/>
          <w:szCs w:val="24"/>
        </w:rPr>
        <w:t>largement dictés</w:t>
      </w:r>
      <w:r w:rsidR="008444A3">
        <w:rPr>
          <w:rFonts w:ascii="Times New Roman" w:hAnsi="Times New Roman"/>
          <w:sz w:val="24"/>
          <w:szCs w:val="24"/>
        </w:rPr>
        <w:t xml:space="preserve"> </w:t>
      </w:r>
      <w:r w:rsidRPr="00A76611">
        <w:rPr>
          <w:rFonts w:ascii="Times New Roman" w:hAnsi="Times New Roman"/>
          <w:sz w:val="24"/>
          <w:szCs w:val="24"/>
        </w:rPr>
        <w:t xml:space="preserve">par la croissance de la productivité seront nécessaires à permettre </w:t>
      </w:r>
      <w:r>
        <w:rPr>
          <w:rFonts w:ascii="Times New Roman" w:hAnsi="Times New Roman"/>
          <w:sz w:val="24"/>
          <w:szCs w:val="24"/>
        </w:rPr>
        <w:t xml:space="preserve">à un pays comme le Bénin </w:t>
      </w:r>
      <w:r w:rsidRPr="00A76611">
        <w:rPr>
          <w:rFonts w:ascii="Times New Roman" w:hAnsi="Times New Roman"/>
          <w:sz w:val="24"/>
          <w:szCs w:val="24"/>
        </w:rPr>
        <w:t>d’accélérer le taux de réduction de la pauvreté</w:t>
      </w:r>
      <w:r>
        <w:rPr>
          <w:rFonts w:ascii="Times New Roman" w:hAnsi="Times New Roman"/>
          <w:sz w:val="24"/>
          <w:szCs w:val="24"/>
        </w:rPr>
        <w:t>. En effet, l</w:t>
      </w:r>
      <w:r w:rsidRPr="00A76611">
        <w:rPr>
          <w:rFonts w:ascii="Times New Roman" w:hAnsi="Times New Roman"/>
          <w:sz w:val="24"/>
          <w:szCs w:val="24"/>
        </w:rPr>
        <w:t>a croissance du secteur agricole</w:t>
      </w:r>
      <w:r>
        <w:rPr>
          <w:rFonts w:ascii="Times New Roman" w:hAnsi="Times New Roman"/>
          <w:sz w:val="24"/>
          <w:szCs w:val="24"/>
        </w:rPr>
        <w:t xml:space="preserve"> est supposée</w:t>
      </w:r>
      <w:r w:rsidRPr="00A76611">
        <w:rPr>
          <w:rFonts w:ascii="Times New Roman" w:hAnsi="Times New Roman"/>
          <w:sz w:val="24"/>
          <w:szCs w:val="24"/>
        </w:rPr>
        <w:t xml:space="preserve"> crée</w:t>
      </w:r>
      <w:r>
        <w:rPr>
          <w:rFonts w:ascii="Times New Roman" w:hAnsi="Times New Roman"/>
          <w:sz w:val="24"/>
          <w:szCs w:val="24"/>
        </w:rPr>
        <w:t>r</w:t>
      </w:r>
      <w:r w:rsidRPr="00A76611">
        <w:rPr>
          <w:rFonts w:ascii="Times New Roman" w:hAnsi="Times New Roman"/>
          <w:sz w:val="24"/>
          <w:szCs w:val="24"/>
        </w:rPr>
        <w:t xml:space="preserve"> des tendances de</w:t>
      </w:r>
      <w:r w:rsidR="008444A3">
        <w:rPr>
          <w:rFonts w:ascii="Times New Roman" w:hAnsi="Times New Roman"/>
          <w:sz w:val="24"/>
          <w:szCs w:val="24"/>
        </w:rPr>
        <w:t xml:space="preserve"> </w:t>
      </w:r>
      <w:r w:rsidRPr="00A76611">
        <w:rPr>
          <w:rFonts w:ascii="Times New Roman" w:hAnsi="Times New Roman"/>
          <w:sz w:val="24"/>
          <w:szCs w:val="24"/>
        </w:rPr>
        <w:t>développement générales qui favorisent la création des emplois et sont donc</w:t>
      </w:r>
      <w:r w:rsidR="008444A3">
        <w:rPr>
          <w:rFonts w:ascii="Times New Roman" w:hAnsi="Times New Roman"/>
          <w:sz w:val="24"/>
          <w:szCs w:val="24"/>
        </w:rPr>
        <w:t xml:space="preserve"> </w:t>
      </w:r>
      <w:r w:rsidRPr="00A76611">
        <w:rPr>
          <w:rFonts w:ascii="Times New Roman" w:hAnsi="Times New Roman"/>
          <w:sz w:val="24"/>
          <w:szCs w:val="24"/>
        </w:rPr>
        <w:t>susceptibles d’améliorer les conditions de vie des pauvres. Les pauvres</w:t>
      </w:r>
      <w:r w:rsidR="008444A3">
        <w:rPr>
          <w:rFonts w:ascii="Times New Roman" w:hAnsi="Times New Roman"/>
          <w:sz w:val="24"/>
          <w:szCs w:val="24"/>
        </w:rPr>
        <w:t xml:space="preserve"> </w:t>
      </w:r>
      <w:r w:rsidRPr="00A76611">
        <w:rPr>
          <w:rFonts w:ascii="Times New Roman" w:hAnsi="Times New Roman"/>
          <w:sz w:val="24"/>
          <w:szCs w:val="24"/>
        </w:rPr>
        <w:t>ruraux et urbains bénéficient de l’agriculture parce qu’elle fournit davantage</w:t>
      </w:r>
      <w:r w:rsidR="008444A3">
        <w:rPr>
          <w:rFonts w:ascii="Times New Roman" w:hAnsi="Times New Roman"/>
          <w:sz w:val="24"/>
          <w:szCs w:val="24"/>
        </w:rPr>
        <w:t xml:space="preserve"> </w:t>
      </w:r>
      <w:r w:rsidRPr="00A76611">
        <w:rPr>
          <w:rFonts w:ascii="Times New Roman" w:hAnsi="Times New Roman"/>
          <w:sz w:val="24"/>
          <w:szCs w:val="24"/>
        </w:rPr>
        <w:t>de vivres et de matières premières à des prix plus bas ; débloque les devises</w:t>
      </w:r>
      <w:r w:rsidR="008444A3">
        <w:rPr>
          <w:rFonts w:ascii="Times New Roman" w:hAnsi="Times New Roman"/>
          <w:sz w:val="24"/>
          <w:szCs w:val="24"/>
        </w:rPr>
        <w:t xml:space="preserve"> </w:t>
      </w:r>
      <w:r w:rsidRPr="00A76611">
        <w:rPr>
          <w:rFonts w:ascii="Times New Roman" w:hAnsi="Times New Roman"/>
          <w:sz w:val="24"/>
          <w:szCs w:val="24"/>
        </w:rPr>
        <w:t>pour l’importation des biens d’équipement et industriels ; fournit plus de</w:t>
      </w:r>
      <w:r w:rsidR="008444A3">
        <w:rPr>
          <w:rFonts w:ascii="Times New Roman" w:hAnsi="Times New Roman"/>
          <w:sz w:val="24"/>
          <w:szCs w:val="24"/>
        </w:rPr>
        <w:t xml:space="preserve"> </w:t>
      </w:r>
      <w:r w:rsidRPr="00A76611">
        <w:rPr>
          <w:rFonts w:ascii="Times New Roman" w:hAnsi="Times New Roman"/>
          <w:sz w:val="24"/>
          <w:szCs w:val="24"/>
        </w:rPr>
        <w:t>capitaux et de main d’œuvre pour le développement industriel ; fournit un</w:t>
      </w:r>
      <w:r w:rsidR="008444A3">
        <w:rPr>
          <w:rFonts w:ascii="Times New Roman" w:hAnsi="Times New Roman"/>
          <w:sz w:val="24"/>
          <w:szCs w:val="24"/>
        </w:rPr>
        <w:t xml:space="preserve"> </w:t>
      </w:r>
      <w:r w:rsidRPr="00A76611">
        <w:rPr>
          <w:rFonts w:ascii="Times New Roman" w:hAnsi="Times New Roman"/>
          <w:sz w:val="24"/>
          <w:szCs w:val="24"/>
        </w:rPr>
        <w:t>marché croissant local pour les industries nationales naissantes ; et réduit</w:t>
      </w:r>
      <w:r w:rsidR="008444A3">
        <w:rPr>
          <w:rFonts w:ascii="Times New Roman" w:hAnsi="Times New Roman"/>
          <w:sz w:val="24"/>
          <w:szCs w:val="24"/>
        </w:rPr>
        <w:t xml:space="preserve"> </w:t>
      </w:r>
      <w:r w:rsidRPr="00A76611">
        <w:rPr>
          <w:rFonts w:ascii="Times New Roman" w:hAnsi="Times New Roman"/>
          <w:sz w:val="24"/>
          <w:szCs w:val="24"/>
        </w:rPr>
        <w:t>la pauvreté grâce à l’augmentation de la productivité de la main d’</w:t>
      </w:r>
      <w:r w:rsidR="005A2A31" w:rsidRPr="00A76611">
        <w:rPr>
          <w:rFonts w:ascii="Times New Roman" w:hAnsi="Times New Roman"/>
          <w:sz w:val="24"/>
          <w:szCs w:val="24"/>
        </w:rPr>
        <w:t>œuvre</w:t>
      </w:r>
      <w:r w:rsidRPr="00A76611">
        <w:rPr>
          <w:rFonts w:ascii="Times New Roman" w:hAnsi="Times New Roman"/>
          <w:sz w:val="24"/>
          <w:szCs w:val="24"/>
        </w:rPr>
        <w:t xml:space="preserve"> et</w:t>
      </w:r>
      <w:r w:rsidR="004C74B7">
        <w:rPr>
          <w:rFonts w:ascii="Times New Roman" w:hAnsi="Times New Roman"/>
          <w:sz w:val="24"/>
          <w:szCs w:val="24"/>
        </w:rPr>
        <w:t xml:space="preserve"> </w:t>
      </w:r>
      <w:r w:rsidRPr="00A76611">
        <w:rPr>
          <w:rFonts w:ascii="Times New Roman" w:hAnsi="Times New Roman"/>
          <w:sz w:val="24"/>
          <w:szCs w:val="24"/>
        </w:rPr>
        <w:t>à la création des emplois dans les zones rurales</w:t>
      </w:r>
      <w:r>
        <w:rPr>
          <w:rFonts w:ascii="Times New Roman" w:hAnsi="Times New Roman"/>
          <w:sz w:val="24"/>
          <w:szCs w:val="24"/>
        </w:rPr>
        <w:t xml:space="preserve"> (FARA, 2006)</w:t>
      </w:r>
      <w:r w:rsidRPr="00A76611">
        <w:rPr>
          <w:rFonts w:ascii="Times New Roman" w:hAnsi="Times New Roman"/>
          <w:sz w:val="24"/>
          <w:szCs w:val="24"/>
        </w:rPr>
        <w:t>.</w:t>
      </w:r>
    </w:p>
    <w:p w:rsidR="00DE5FAD" w:rsidRDefault="00DE5FAD" w:rsidP="00DE5FAD">
      <w:pPr>
        <w:spacing w:line="276" w:lineRule="auto"/>
        <w:rPr>
          <w:rFonts w:ascii="Times New Roman" w:hAnsi="Times New Roman"/>
          <w:sz w:val="24"/>
          <w:szCs w:val="24"/>
        </w:rPr>
      </w:pPr>
    </w:p>
    <w:p w:rsidR="00DE5FAD" w:rsidRDefault="00DE5FAD" w:rsidP="00DE5FAD">
      <w:pPr>
        <w:spacing w:line="276" w:lineRule="auto"/>
        <w:rPr>
          <w:rFonts w:ascii="Times New Roman" w:hAnsi="Times New Roman"/>
          <w:sz w:val="24"/>
          <w:szCs w:val="24"/>
        </w:rPr>
      </w:pPr>
      <w:r w:rsidRPr="00DE5FAD">
        <w:rPr>
          <w:rFonts w:ascii="Times New Roman" w:hAnsi="Times New Roman"/>
          <w:sz w:val="24"/>
          <w:szCs w:val="24"/>
        </w:rPr>
        <w:t xml:space="preserve">Dans ces conditions, l’agriculture </w:t>
      </w:r>
      <w:r w:rsidR="00694394" w:rsidRPr="00DE5FAD">
        <w:rPr>
          <w:rFonts w:ascii="Times New Roman" w:hAnsi="Times New Roman"/>
          <w:sz w:val="24"/>
          <w:szCs w:val="24"/>
        </w:rPr>
        <w:t>para</w:t>
      </w:r>
      <w:r w:rsidR="00694394">
        <w:rPr>
          <w:rFonts w:ascii="Times New Roman" w:hAnsi="Times New Roman"/>
          <w:sz w:val="24"/>
          <w:szCs w:val="24"/>
        </w:rPr>
        <w:t>î</w:t>
      </w:r>
      <w:r w:rsidR="00694394" w:rsidRPr="00DE5FAD">
        <w:rPr>
          <w:rFonts w:ascii="Times New Roman" w:hAnsi="Times New Roman"/>
          <w:sz w:val="24"/>
          <w:szCs w:val="24"/>
        </w:rPr>
        <w:t xml:space="preserve">t </w:t>
      </w:r>
      <w:r w:rsidRPr="00DE5FAD">
        <w:rPr>
          <w:rFonts w:ascii="Times New Roman" w:hAnsi="Times New Roman"/>
          <w:sz w:val="24"/>
          <w:szCs w:val="24"/>
        </w:rPr>
        <w:t>essentielle à la réalisation des objectifs mondiaux de réduction de la pauvreté</w:t>
      </w:r>
      <w:r w:rsidRPr="007C3F41">
        <w:rPr>
          <w:rFonts w:ascii="Times New Roman" w:hAnsi="Times New Roman"/>
          <w:sz w:val="24"/>
          <w:szCs w:val="24"/>
        </w:rPr>
        <w:t>. Elle demeure le secteur productif le plus important dans la plupart</w:t>
      </w:r>
      <w:r w:rsidR="004A1128">
        <w:rPr>
          <w:rFonts w:ascii="Times New Roman" w:hAnsi="Times New Roman"/>
          <w:sz w:val="24"/>
          <w:szCs w:val="24"/>
        </w:rPr>
        <w:t xml:space="preserve"> </w:t>
      </w:r>
      <w:r w:rsidRPr="007C3F41">
        <w:rPr>
          <w:rFonts w:ascii="Times New Roman" w:hAnsi="Times New Roman"/>
          <w:sz w:val="24"/>
          <w:szCs w:val="24"/>
        </w:rPr>
        <w:t>des pays à faible revenu</w:t>
      </w:r>
      <w:r>
        <w:rPr>
          <w:rFonts w:ascii="Times New Roman" w:hAnsi="Times New Roman"/>
          <w:sz w:val="24"/>
          <w:szCs w:val="24"/>
        </w:rPr>
        <w:t xml:space="preserve"> comme le Bénin </w:t>
      </w:r>
      <w:r w:rsidRPr="00DE5FAD">
        <w:rPr>
          <w:rFonts w:ascii="Times New Roman" w:hAnsi="Times New Roman"/>
          <w:sz w:val="24"/>
          <w:szCs w:val="24"/>
        </w:rPr>
        <w:t>(Annexe chapitre 3),</w:t>
      </w:r>
      <w:r w:rsidRPr="007C3F41">
        <w:rPr>
          <w:rFonts w:ascii="Times New Roman" w:hAnsi="Times New Roman"/>
          <w:sz w:val="24"/>
          <w:szCs w:val="24"/>
        </w:rPr>
        <w:t xml:space="preserve"> souvent en termes de</w:t>
      </w:r>
      <w:r>
        <w:rPr>
          <w:rFonts w:ascii="Times New Roman" w:hAnsi="Times New Roman"/>
          <w:sz w:val="24"/>
          <w:szCs w:val="24"/>
        </w:rPr>
        <w:t xml:space="preserve"> structure </w:t>
      </w:r>
      <w:r w:rsidRPr="007C3F41">
        <w:rPr>
          <w:rFonts w:ascii="Times New Roman" w:hAnsi="Times New Roman"/>
          <w:sz w:val="24"/>
          <w:szCs w:val="24"/>
        </w:rPr>
        <w:t xml:space="preserve"> partage du PIB et presque toujours</w:t>
      </w:r>
      <w:r w:rsidR="004A1128">
        <w:rPr>
          <w:rFonts w:ascii="Times New Roman" w:hAnsi="Times New Roman"/>
          <w:sz w:val="24"/>
          <w:szCs w:val="24"/>
        </w:rPr>
        <w:t xml:space="preserve"> </w:t>
      </w:r>
      <w:r w:rsidRPr="007C3F41">
        <w:rPr>
          <w:rFonts w:ascii="Times New Roman" w:hAnsi="Times New Roman"/>
          <w:sz w:val="24"/>
          <w:szCs w:val="24"/>
        </w:rPr>
        <w:t>en termes du nombre d’individus qu’elle emploie</w:t>
      </w:r>
      <w:r w:rsidR="00922551">
        <w:rPr>
          <w:vertAlign w:val="superscript"/>
        </w:rPr>
        <w:footnoteReference w:id="64"/>
      </w:r>
      <w:r>
        <w:rPr>
          <w:rFonts w:ascii="Times New Roman" w:hAnsi="Times New Roman"/>
          <w:sz w:val="24"/>
          <w:szCs w:val="24"/>
        </w:rPr>
        <w:t xml:space="preserve"> (Banque Mondiale, 2008)</w:t>
      </w:r>
      <w:r w:rsidRPr="007C3F41">
        <w:rPr>
          <w:rFonts w:ascii="Times New Roman" w:hAnsi="Times New Roman"/>
          <w:sz w:val="24"/>
          <w:szCs w:val="24"/>
        </w:rPr>
        <w:t>.</w:t>
      </w:r>
      <w:r>
        <w:rPr>
          <w:rFonts w:ascii="Times New Roman" w:hAnsi="Times New Roman"/>
          <w:sz w:val="24"/>
          <w:szCs w:val="24"/>
        </w:rPr>
        <w:t xml:space="preserve"> Selon ce rapport,</w:t>
      </w:r>
      <w:r w:rsidR="008444A3">
        <w:rPr>
          <w:rFonts w:ascii="Times New Roman" w:hAnsi="Times New Roman"/>
          <w:sz w:val="24"/>
          <w:szCs w:val="24"/>
        </w:rPr>
        <w:t xml:space="preserve"> </w:t>
      </w:r>
      <w:r>
        <w:rPr>
          <w:rFonts w:ascii="Times New Roman" w:hAnsi="Times New Roman"/>
          <w:sz w:val="24"/>
          <w:szCs w:val="24"/>
        </w:rPr>
        <w:t>d</w:t>
      </w:r>
      <w:r w:rsidRPr="007C3F41">
        <w:rPr>
          <w:rFonts w:ascii="Times New Roman" w:hAnsi="Times New Roman"/>
          <w:sz w:val="24"/>
          <w:szCs w:val="24"/>
        </w:rPr>
        <w:t>ans les pays où elle assure une</w:t>
      </w:r>
      <w:r w:rsidR="008444A3">
        <w:rPr>
          <w:rFonts w:ascii="Times New Roman" w:hAnsi="Times New Roman"/>
          <w:sz w:val="24"/>
          <w:szCs w:val="24"/>
        </w:rPr>
        <w:t xml:space="preserve"> </w:t>
      </w:r>
      <w:r w:rsidRPr="007C3F41">
        <w:rPr>
          <w:rFonts w:ascii="Times New Roman" w:hAnsi="Times New Roman"/>
          <w:sz w:val="24"/>
          <w:szCs w:val="24"/>
        </w:rPr>
        <w:t>grosse part du niveau d’emploi global, une augmentation généralisée des revenus</w:t>
      </w:r>
      <w:r w:rsidR="008444A3">
        <w:rPr>
          <w:rFonts w:ascii="Times New Roman" w:hAnsi="Times New Roman"/>
          <w:sz w:val="24"/>
          <w:szCs w:val="24"/>
        </w:rPr>
        <w:t xml:space="preserve"> </w:t>
      </w:r>
      <w:r w:rsidRPr="007C3F41">
        <w:rPr>
          <w:rFonts w:ascii="Times New Roman" w:hAnsi="Times New Roman"/>
          <w:sz w:val="24"/>
          <w:szCs w:val="24"/>
        </w:rPr>
        <w:t>agricoles est indispensable pour stimuler la croissance de l’ensemble de l’économie,</w:t>
      </w:r>
      <w:r w:rsidR="008444A3">
        <w:rPr>
          <w:rFonts w:ascii="Times New Roman" w:hAnsi="Times New Roman"/>
          <w:sz w:val="24"/>
          <w:szCs w:val="24"/>
        </w:rPr>
        <w:t xml:space="preserve"> </w:t>
      </w:r>
      <w:r w:rsidRPr="007C3F41">
        <w:rPr>
          <w:rFonts w:ascii="Times New Roman" w:hAnsi="Times New Roman"/>
          <w:sz w:val="24"/>
          <w:szCs w:val="24"/>
        </w:rPr>
        <w:t>y compris des secteurs non agricoles qui vendent leurs produits aux populations</w:t>
      </w:r>
      <w:r w:rsidR="008444A3">
        <w:rPr>
          <w:rFonts w:ascii="Times New Roman" w:hAnsi="Times New Roman"/>
          <w:sz w:val="24"/>
          <w:szCs w:val="24"/>
        </w:rPr>
        <w:t xml:space="preserve"> </w:t>
      </w:r>
      <w:r w:rsidRPr="007C3F41">
        <w:rPr>
          <w:rFonts w:ascii="Times New Roman" w:hAnsi="Times New Roman"/>
          <w:sz w:val="24"/>
          <w:szCs w:val="24"/>
        </w:rPr>
        <w:t>rurales</w:t>
      </w:r>
      <w:r w:rsidR="00BF3825">
        <w:rPr>
          <w:rStyle w:val="Appelnotedebasdep"/>
          <w:rFonts w:ascii="Times New Roman" w:hAnsi="Times New Roman"/>
          <w:sz w:val="24"/>
          <w:szCs w:val="24"/>
        </w:rPr>
        <w:footnoteReference w:id="65"/>
      </w:r>
      <w:r w:rsidRPr="007C3F41">
        <w:rPr>
          <w:rFonts w:ascii="Times New Roman" w:hAnsi="Times New Roman"/>
          <w:sz w:val="24"/>
          <w:szCs w:val="24"/>
        </w:rPr>
        <w:t xml:space="preserve">. </w:t>
      </w:r>
      <w:r w:rsidR="00AF704D">
        <w:rPr>
          <w:rFonts w:ascii="Times New Roman" w:hAnsi="Times New Roman"/>
          <w:sz w:val="24"/>
          <w:szCs w:val="24"/>
        </w:rPr>
        <w:t xml:space="preserve">  Ainsi, pour renforcer la croissance dans le secteur agricole, le Bénin a retenu l’</w:t>
      </w:r>
      <w:r w:rsidR="00AF704D" w:rsidRPr="00B1520C">
        <w:rPr>
          <w:rFonts w:ascii="Times New Roman" w:hAnsi="Times New Roman"/>
          <w:sz w:val="24"/>
          <w:szCs w:val="24"/>
        </w:rPr>
        <w:t xml:space="preserve">amélioration de la productivité et de la compétitivité du secteur agricole et rural </w:t>
      </w:r>
      <w:r w:rsidR="00AF704D">
        <w:rPr>
          <w:rFonts w:ascii="Times New Roman" w:hAnsi="Times New Roman"/>
          <w:sz w:val="24"/>
          <w:szCs w:val="24"/>
        </w:rPr>
        <w:t>comme un des deux défis majeurs</w:t>
      </w:r>
      <w:r w:rsidR="00AF704D">
        <w:rPr>
          <w:rFonts w:ascii="Times New Roman" w:hAnsi="Times New Roman"/>
          <w:sz w:val="24"/>
          <w:szCs w:val="24"/>
          <w:vertAlign w:val="superscript"/>
        </w:rPr>
        <w:footnoteReference w:id="66"/>
      </w:r>
      <w:r w:rsidR="00AF704D" w:rsidRPr="00B1520C">
        <w:rPr>
          <w:rFonts w:ascii="Times New Roman" w:hAnsi="Times New Roman"/>
          <w:sz w:val="24"/>
          <w:szCs w:val="24"/>
        </w:rPr>
        <w:t>à l’horizon 2015</w:t>
      </w:r>
      <w:r w:rsidR="00AF704D">
        <w:rPr>
          <w:rFonts w:ascii="Times New Roman" w:hAnsi="Times New Roman"/>
          <w:sz w:val="24"/>
          <w:szCs w:val="24"/>
        </w:rPr>
        <w:t xml:space="preserve">.  </w:t>
      </w:r>
      <w:r w:rsidR="00F87A24">
        <w:rPr>
          <w:rFonts w:ascii="Times New Roman" w:hAnsi="Times New Roman"/>
          <w:sz w:val="24"/>
          <w:szCs w:val="24"/>
        </w:rPr>
        <w:t>Cette mesure</w:t>
      </w:r>
      <w:r w:rsidR="00694394">
        <w:rPr>
          <w:rFonts w:ascii="Times New Roman" w:hAnsi="Times New Roman"/>
          <w:sz w:val="24"/>
          <w:szCs w:val="24"/>
        </w:rPr>
        <w:t>,</w:t>
      </w:r>
      <w:r w:rsidR="00F87A24">
        <w:rPr>
          <w:rFonts w:ascii="Times New Roman" w:hAnsi="Times New Roman"/>
          <w:sz w:val="24"/>
          <w:szCs w:val="24"/>
        </w:rPr>
        <w:t xml:space="preserve"> si elle </w:t>
      </w:r>
      <w:r w:rsidR="004C74B7">
        <w:rPr>
          <w:rFonts w:ascii="Times New Roman" w:hAnsi="Times New Roman"/>
          <w:sz w:val="24"/>
          <w:szCs w:val="24"/>
        </w:rPr>
        <w:t xml:space="preserve">est </w:t>
      </w:r>
      <w:r w:rsidR="00F87A24">
        <w:rPr>
          <w:rFonts w:ascii="Times New Roman" w:hAnsi="Times New Roman"/>
          <w:sz w:val="24"/>
          <w:szCs w:val="24"/>
        </w:rPr>
        <w:t>efficacement mise en œuvre</w:t>
      </w:r>
      <w:r w:rsidR="00694394">
        <w:rPr>
          <w:rFonts w:ascii="Times New Roman" w:hAnsi="Times New Roman"/>
          <w:sz w:val="24"/>
          <w:szCs w:val="24"/>
        </w:rPr>
        <w:t>,</w:t>
      </w:r>
      <w:r w:rsidR="00F87A24">
        <w:rPr>
          <w:rFonts w:ascii="Times New Roman" w:hAnsi="Times New Roman"/>
          <w:sz w:val="24"/>
          <w:szCs w:val="24"/>
        </w:rPr>
        <w:t xml:space="preserve"> devrait donc contribuer </w:t>
      </w:r>
      <w:r w:rsidR="00694394">
        <w:rPr>
          <w:rFonts w:ascii="Times New Roman" w:hAnsi="Times New Roman"/>
          <w:sz w:val="24"/>
          <w:szCs w:val="24"/>
        </w:rPr>
        <w:t xml:space="preserve">à </w:t>
      </w:r>
      <w:r w:rsidR="00F87A24">
        <w:rPr>
          <w:rFonts w:ascii="Times New Roman" w:hAnsi="Times New Roman"/>
          <w:sz w:val="24"/>
          <w:szCs w:val="24"/>
        </w:rPr>
        <w:t>réduire la pauvreté au Bénin.</w:t>
      </w:r>
    </w:p>
    <w:p w:rsidR="00DE5FAD" w:rsidRDefault="00DE5FAD" w:rsidP="00324B2E">
      <w:pPr>
        <w:spacing w:line="276" w:lineRule="auto"/>
        <w:rPr>
          <w:rFonts w:ascii="Times New Roman" w:eastAsia="Times New Roman" w:hAnsi="Times New Roman"/>
          <w:bCs/>
          <w:color w:val="000000"/>
          <w:sz w:val="24"/>
          <w:szCs w:val="24"/>
          <w:lang w:eastAsia="fr-FR"/>
        </w:rPr>
      </w:pPr>
    </w:p>
    <w:p w:rsidR="00324B2E" w:rsidRPr="00BE67B7" w:rsidRDefault="00117A96" w:rsidP="00324B2E">
      <w:pPr>
        <w:pStyle w:val="Titre2"/>
        <w:rPr>
          <w:rFonts w:ascii="Times New Roman" w:hAnsi="Times New Roman" w:cs="Times New Roman"/>
          <w:i w:val="0"/>
          <w:color w:val="31849B" w:themeColor="accent5" w:themeShade="BF"/>
          <w:lang w:eastAsia="fr-FR"/>
        </w:rPr>
      </w:pPr>
      <w:bookmarkStart w:id="85" w:name="_Toc382322926"/>
      <w:r w:rsidRPr="00BE67B7">
        <w:rPr>
          <w:rFonts w:ascii="Times New Roman" w:hAnsi="Times New Roman" w:cs="Times New Roman"/>
          <w:i w:val="0"/>
          <w:color w:val="31849B" w:themeColor="accent5" w:themeShade="BF"/>
          <w:lang w:eastAsia="fr-FR"/>
        </w:rPr>
        <w:t>2</w:t>
      </w:r>
      <w:r w:rsidR="00324B2E" w:rsidRPr="00BE67B7">
        <w:rPr>
          <w:rFonts w:ascii="Times New Roman" w:hAnsi="Times New Roman" w:cs="Times New Roman"/>
          <w:i w:val="0"/>
          <w:color w:val="31849B" w:themeColor="accent5" w:themeShade="BF"/>
          <w:lang w:eastAsia="fr-FR"/>
        </w:rPr>
        <w:t>.</w:t>
      </w:r>
      <w:r w:rsidR="00BE67B7">
        <w:rPr>
          <w:rFonts w:ascii="Times New Roman" w:hAnsi="Times New Roman" w:cs="Times New Roman"/>
          <w:i w:val="0"/>
          <w:color w:val="31849B" w:themeColor="accent5" w:themeShade="BF"/>
          <w:lang w:eastAsia="fr-FR"/>
        </w:rPr>
        <w:t xml:space="preserve">4  </w:t>
      </w:r>
      <w:r w:rsidR="00324B2E" w:rsidRPr="00BE67B7">
        <w:rPr>
          <w:rFonts w:ascii="Times New Roman" w:hAnsi="Times New Roman" w:cs="Times New Roman"/>
          <w:i w:val="0"/>
          <w:color w:val="31849B" w:themeColor="accent5" w:themeShade="BF"/>
          <w:lang w:eastAsia="fr-FR"/>
        </w:rPr>
        <w:t>Conclusion</w:t>
      </w:r>
      <w:bookmarkEnd w:id="85"/>
    </w:p>
    <w:p w:rsidR="00324B2E" w:rsidRDefault="00324B2E" w:rsidP="00324B2E">
      <w:pPr>
        <w:spacing w:line="276" w:lineRule="auto"/>
        <w:rPr>
          <w:rFonts w:ascii="Times New Roman" w:eastAsia="Times New Roman" w:hAnsi="Times New Roman"/>
          <w:bCs/>
          <w:color w:val="000000"/>
          <w:sz w:val="24"/>
          <w:szCs w:val="24"/>
          <w:lang w:eastAsia="fr-FR"/>
        </w:rPr>
      </w:pPr>
      <w:r>
        <w:rPr>
          <w:rFonts w:ascii="Times New Roman" w:eastAsia="Times New Roman" w:hAnsi="Times New Roman"/>
          <w:bCs/>
          <w:color w:val="000000"/>
          <w:sz w:val="24"/>
          <w:szCs w:val="24"/>
          <w:lang w:eastAsia="fr-FR"/>
        </w:rPr>
        <w:t xml:space="preserve">Ce chapitre traite de la connexion entre la croissance économique et la pauvreté. Il vise d’une part, à analyser la nature pro-pauvre de la croissance qui permettra de mettre en exergue les franges de la population pauvre qui en profite et dans quelle proportion comparée aux non pauvres. D’autre part, il vise à mettre en exergue le rôle de l’inégalité </w:t>
      </w:r>
      <w:r w:rsidRPr="00CE2434">
        <w:rPr>
          <w:rFonts w:ascii="Times New Roman" w:eastAsia="Times New Roman" w:hAnsi="Times New Roman"/>
          <w:bCs/>
          <w:color w:val="000000"/>
          <w:sz w:val="24"/>
          <w:szCs w:val="24"/>
          <w:lang w:eastAsia="fr-FR"/>
        </w:rPr>
        <w:t xml:space="preserve">dans </w:t>
      </w:r>
      <w:r>
        <w:rPr>
          <w:rFonts w:ascii="Times New Roman" w:eastAsia="Times New Roman" w:hAnsi="Times New Roman"/>
          <w:bCs/>
          <w:color w:val="000000"/>
          <w:sz w:val="24"/>
          <w:szCs w:val="24"/>
          <w:lang w:eastAsia="fr-FR"/>
        </w:rPr>
        <w:t>la</w:t>
      </w:r>
      <w:r w:rsidR="004A1128">
        <w:rPr>
          <w:rFonts w:ascii="Times New Roman" w:eastAsia="Times New Roman" w:hAnsi="Times New Roman"/>
          <w:bCs/>
          <w:color w:val="000000"/>
          <w:sz w:val="24"/>
          <w:szCs w:val="24"/>
          <w:lang w:eastAsia="fr-FR"/>
        </w:rPr>
        <w:t xml:space="preserve"> </w:t>
      </w:r>
      <w:r w:rsidRPr="008F2B1E">
        <w:rPr>
          <w:rFonts w:ascii="Times New Roman" w:eastAsia="Times New Roman" w:hAnsi="Times New Roman"/>
          <w:bCs/>
          <w:color w:val="000000"/>
          <w:sz w:val="24"/>
          <w:szCs w:val="24"/>
          <w:lang w:eastAsia="fr-FR"/>
        </w:rPr>
        <w:t>perspective d’une stratégie de réduction de la pauvreté basée sur une croissance pro-pauvre</w:t>
      </w:r>
      <w:r>
        <w:rPr>
          <w:rFonts w:ascii="Times New Roman" w:eastAsia="Times New Roman" w:hAnsi="Times New Roman"/>
          <w:bCs/>
          <w:color w:val="000000"/>
          <w:sz w:val="24"/>
          <w:szCs w:val="24"/>
          <w:lang w:eastAsia="fr-FR"/>
        </w:rPr>
        <w:t xml:space="preserve">. </w:t>
      </w:r>
    </w:p>
    <w:p w:rsidR="00324B2E" w:rsidRDefault="00324B2E" w:rsidP="00324B2E">
      <w:pPr>
        <w:spacing w:line="276" w:lineRule="auto"/>
        <w:rPr>
          <w:rFonts w:ascii="Times New Roman" w:eastAsia="Times New Roman" w:hAnsi="Times New Roman"/>
          <w:bCs/>
          <w:color w:val="000000"/>
          <w:sz w:val="24"/>
          <w:szCs w:val="24"/>
          <w:lang w:eastAsia="fr-FR"/>
        </w:rPr>
      </w:pPr>
    </w:p>
    <w:p w:rsidR="00324B2E" w:rsidRPr="00CE2434" w:rsidRDefault="00324B2E" w:rsidP="00324B2E">
      <w:pPr>
        <w:spacing w:line="276" w:lineRule="auto"/>
        <w:rPr>
          <w:rFonts w:ascii="Times New Roman" w:eastAsia="Times New Roman" w:hAnsi="Times New Roman"/>
          <w:bCs/>
          <w:color w:val="000000"/>
          <w:sz w:val="24"/>
          <w:szCs w:val="24"/>
          <w:lang w:eastAsia="fr-FR"/>
        </w:rPr>
      </w:pPr>
      <w:r>
        <w:rPr>
          <w:rFonts w:ascii="Times New Roman" w:eastAsia="Times New Roman" w:hAnsi="Times New Roman"/>
          <w:bCs/>
          <w:color w:val="000000"/>
          <w:sz w:val="24"/>
          <w:szCs w:val="24"/>
          <w:lang w:eastAsia="fr-FR"/>
        </w:rPr>
        <w:t>Des résultats obtenus</w:t>
      </w:r>
      <w:r w:rsidRPr="00CE2434">
        <w:rPr>
          <w:rFonts w:ascii="Times New Roman" w:eastAsia="Times New Roman" w:hAnsi="Times New Roman"/>
          <w:bCs/>
          <w:color w:val="000000"/>
          <w:sz w:val="24"/>
          <w:szCs w:val="24"/>
          <w:lang w:eastAsia="fr-FR"/>
        </w:rPr>
        <w:t xml:space="preserve">, il ressort </w:t>
      </w:r>
      <w:r>
        <w:rPr>
          <w:rFonts w:ascii="Times New Roman" w:eastAsia="Times New Roman" w:hAnsi="Times New Roman"/>
          <w:bCs/>
          <w:color w:val="000000"/>
          <w:sz w:val="24"/>
          <w:szCs w:val="24"/>
          <w:lang w:eastAsia="fr-FR"/>
        </w:rPr>
        <w:t xml:space="preserve">une connexion apparente entre la croissance économique et la pauvreté, en ce sens que les épisodes de croissance soutenue observés ont été majoritairement profitables aux plus pauvres. </w:t>
      </w:r>
      <w:r w:rsidRPr="00CE2434">
        <w:rPr>
          <w:rFonts w:ascii="Times New Roman" w:eastAsia="Times New Roman" w:hAnsi="Times New Roman"/>
          <w:bCs/>
          <w:color w:val="000000"/>
          <w:sz w:val="24"/>
          <w:szCs w:val="24"/>
          <w:lang w:eastAsia="fr-FR"/>
        </w:rPr>
        <w:t xml:space="preserve">En l’état, elle pourrait contribuer à l’atteinte des objectifs liés </w:t>
      </w:r>
      <w:r w:rsidR="009070E1">
        <w:rPr>
          <w:rFonts w:ascii="Times New Roman" w:eastAsia="Times New Roman" w:hAnsi="Times New Roman"/>
          <w:bCs/>
          <w:color w:val="000000"/>
          <w:sz w:val="24"/>
          <w:szCs w:val="24"/>
          <w:lang w:eastAsia="fr-FR"/>
        </w:rPr>
        <w:t xml:space="preserve">à </w:t>
      </w:r>
      <w:r w:rsidRPr="00CE2434">
        <w:rPr>
          <w:rFonts w:ascii="Times New Roman" w:eastAsia="Times New Roman" w:hAnsi="Times New Roman"/>
          <w:bCs/>
          <w:color w:val="000000"/>
          <w:sz w:val="24"/>
          <w:szCs w:val="24"/>
          <w:lang w:eastAsia="fr-FR"/>
        </w:rPr>
        <w:t>la réduction de l</w:t>
      </w:r>
      <w:r w:rsidR="00EC2FEF">
        <w:rPr>
          <w:rFonts w:ascii="Times New Roman" w:eastAsia="Times New Roman" w:hAnsi="Times New Roman"/>
          <w:bCs/>
          <w:color w:val="000000"/>
          <w:sz w:val="24"/>
          <w:szCs w:val="24"/>
          <w:lang w:eastAsia="fr-FR"/>
        </w:rPr>
        <w:t>’</w:t>
      </w:r>
      <w:r w:rsidRPr="00CE2434">
        <w:rPr>
          <w:rFonts w:ascii="Times New Roman" w:eastAsia="Times New Roman" w:hAnsi="Times New Roman"/>
          <w:bCs/>
          <w:color w:val="000000"/>
          <w:sz w:val="24"/>
          <w:szCs w:val="24"/>
          <w:lang w:eastAsia="fr-FR"/>
        </w:rPr>
        <w:t xml:space="preserve"> </w:t>
      </w:r>
      <w:r w:rsidR="00544EB5">
        <w:rPr>
          <w:rFonts w:ascii="Times New Roman" w:eastAsia="Times New Roman" w:hAnsi="Times New Roman"/>
          <w:bCs/>
          <w:color w:val="000000"/>
          <w:sz w:val="24"/>
          <w:szCs w:val="24"/>
          <w:lang w:eastAsia="fr-FR"/>
        </w:rPr>
        <w:t>extrême pauvreté</w:t>
      </w:r>
      <w:r w:rsidRPr="00CE2434">
        <w:rPr>
          <w:rFonts w:ascii="Times New Roman" w:eastAsia="Times New Roman" w:hAnsi="Times New Roman"/>
          <w:bCs/>
          <w:color w:val="000000"/>
          <w:sz w:val="24"/>
          <w:szCs w:val="24"/>
          <w:lang w:eastAsia="fr-FR"/>
        </w:rPr>
        <w:t xml:space="preserve"> et non à une réduction conséquente du taux de pauvreté monétaire. A ce niveau, son effet </w:t>
      </w:r>
      <w:r w:rsidR="009070E1" w:rsidRPr="00CE2434">
        <w:rPr>
          <w:rFonts w:ascii="Times New Roman" w:eastAsia="Times New Roman" w:hAnsi="Times New Roman"/>
          <w:bCs/>
          <w:color w:val="000000"/>
          <w:sz w:val="24"/>
          <w:szCs w:val="24"/>
          <w:lang w:eastAsia="fr-FR"/>
        </w:rPr>
        <w:t>para</w:t>
      </w:r>
      <w:r w:rsidR="009070E1">
        <w:rPr>
          <w:rFonts w:ascii="Times New Roman" w:eastAsia="Times New Roman" w:hAnsi="Times New Roman"/>
          <w:bCs/>
          <w:color w:val="000000"/>
          <w:sz w:val="24"/>
          <w:szCs w:val="24"/>
          <w:lang w:eastAsia="fr-FR"/>
        </w:rPr>
        <w:t>î</w:t>
      </w:r>
      <w:r w:rsidR="009070E1" w:rsidRPr="00CE2434">
        <w:rPr>
          <w:rFonts w:ascii="Times New Roman" w:eastAsia="Times New Roman" w:hAnsi="Times New Roman"/>
          <w:bCs/>
          <w:color w:val="000000"/>
          <w:sz w:val="24"/>
          <w:szCs w:val="24"/>
          <w:lang w:eastAsia="fr-FR"/>
        </w:rPr>
        <w:t xml:space="preserve">t </w:t>
      </w:r>
      <w:r w:rsidRPr="00CE2434">
        <w:rPr>
          <w:rFonts w:ascii="Times New Roman" w:eastAsia="Times New Roman" w:hAnsi="Times New Roman"/>
          <w:bCs/>
          <w:color w:val="000000"/>
          <w:sz w:val="24"/>
          <w:szCs w:val="24"/>
          <w:lang w:eastAsia="fr-FR"/>
        </w:rPr>
        <w:t xml:space="preserve">plutôt </w:t>
      </w:r>
      <w:r>
        <w:rPr>
          <w:rFonts w:ascii="Times New Roman" w:eastAsia="Times New Roman" w:hAnsi="Times New Roman"/>
          <w:bCs/>
          <w:color w:val="000000"/>
          <w:sz w:val="24"/>
          <w:szCs w:val="24"/>
          <w:lang w:eastAsia="fr-FR"/>
        </w:rPr>
        <w:t>limité voire négatif. Pour atteindre ce dernier résultat, i</w:t>
      </w:r>
      <w:r w:rsidRPr="00CE2434">
        <w:rPr>
          <w:rFonts w:ascii="Times New Roman" w:eastAsia="Times New Roman" w:hAnsi="Times New Roman"/>
          <w:bCs/>
          <w:color w:val="000000"/>
          <w:sz w:val="24"/>
          <w:szCs w:val="24"/>
          <w:lang w:eastAsia="fr-FR"/>
        </w:rPr>
        <w:t xml:space="preserve">l est donc nécessaire que la croissance profite </w:t>
      </w:r>
      <w:r>
        <w:rPr>
          <w:rFonts w:ascii="Times New Roman" w:eastAsia="Times New Roman" w:hAnsi="Times New Roman"/>
          <w:bCs/>
          <w:color w:val="000000"/>
          <w:sz w:val="24"/>
          <w:szCs w:val="24"/>
          <w:lang w:eastAsia="fr-FR"/>
        </w:rPr>
        <w:t>à l’ensemble des populations pauvres mais également à une frange des populations vulnérables</w:t>
      </w:r>
      <w:r w:rsidR="009070E1">
        <w:rPr>
          <w:rFonts w:ascii="Times New Roman" w:eastAsia="Times New Roman" w:hAnsi="Times New Roman"/>
          <w:bCs/>
          <w:color w:val="000000"/>
          <w:sz w:val="24"/>
          <w:szCs w:val="24"/>
          <w:lang w:eastAsia="fr-FR"/>
        </w:rPr>
        <w:t>,</w:t>
      </w:r>
      <w:r>
        <w:rPr>
          <w:rFonts w:ascii="Times New Roman" w:eastAsia="Times New Roman" w:hAnsi="Times New Roman"/>
          <w:bCs/>
          <w:color w:val="000000"/>
          <w:sz w:val="24"/>
          <w:szCs w:val="24"/>
          <w:lang w:eastAsia="fr-FR"/>
        </w:rPr>
        <w:t xml:space="preserve"> notamment </w:t>
      </w:r>
      <w:r w:rsidR="009070E1">
        <w:rPr>
          <w:rFonts w:ascii="Times New Roman" w:eastAsia="Times New Roman" w:hAnsi="Times New Roman"/>
          <w:bCs/>
          <w:color w:val="000000"/>
          <w:sz w:val="24"/>
          <w:szCs w:val="24"/>
          <w:lang w:eastAsia="fr-FR"/>
        </w:rPr>
        <w:t xml:space="preserve">celles </w:t>
      </w:r>
      <w:r>
        <w:rPr>
          <w:rFonts w:ascii="Times New Roman" w:eastAsia="Times New Roman" w:hAnsi="Times New Roman"/>
          <w:bCs/>
          <w:color w:val="000000"/>
          <w:sz w:val="24"/>
          <w:szCs w:val="24"/>
          <w:lang w:eastAsia="fr-FR"/>
        </w:rPr>
        <w:t>dont les dépenses de consommation par tête sont proches du seuil de pauvreté et qui sont susceptibles de tomber dans la pauvreté.</w:t>
      </w:r>
    </w:p>
    <w:p w:rsidR="00324B2E" w:rsidRPr="0086465C" w:rsidRDefault="00324B2E" w:rsidP="00324B2E">
      <w:pPr>
        <w:spacing w:line="276" w:lineRule="auto"/>
        <w:rPr>
          <w:rFonts w:ascii="Times New Roman" w:eastAsia="Times New Roman" w:hAnsi="Times New Roman"/>
          <w:bCs/>
          <w:color w:val="000000"/>
          <w:sz w:val="24"/>
          <w:szCs w:val="24"/>
          <w:lang w:eastAsia="fr-FR"/>
        </w:rPr>
      </w:pPr>
    </w:p>
    <w:p w:rsidR="00324B2E" w:rsidRPr="007A6813" w:rsidRDefault="00324B2E" w:rsidP="00324B2E">
      <w:pPr>
        <w:spacing w:line="276" w:lineRule="auto"/>
        <w:rPr>
          <w:rFonts w:ascii="Times New Roman" w:eastAsia="Times New Roman" w:hAnsi="Times New Roman"/>
          <w:bCs/>
          <w:color w:val="000000"/>
          <w:sz w:val="24"/>
          <w:szCs w:val="24"/>
          <w:lang w:eastAsia="fr-FR"/>
        </w:rPr>
      </w:pPr>
      <w:r>
        <w:rPr>
          <w:rFonts w:ascii="Times New Roman" w:eastAsia="Times New Roman" w:hAnsi="Times New Roman"/>
          <w:bCs/>
          <w:color w:val="000000"/>
          <w:sz w:val="24"/>
          <w:szCs w:val="24"/>
          <w:lang w:eastAsia="fr-FR"/>
        </w:rPr>
        <w:t xml:space="preserve">En outre, les résultats soulignent l’importance de l’inégalité </w:t>
      </w:r>
      <w:r w:rsidRPr="00CE2434">
        <w:rPr>
          <w:rFonts w:ascii="Times New Roman" w:eastAsia="Times New Roman" w:hAnsi="Times New Roman"/>
          <w:bCs/>
          <w:color w:val="000000"/>
          <w:sz w:val="24"/>
          <w:szCs w:val="24"/>
          <w:lang w:eastAsia="fr-FR"/>
        </w:rPr>
        <w:t xml:space="preserve">dans </w:t>
      </w:r>
      <w:r>
        <w:rPr>
          <w:rFonts w:ascii="Times New Roman" w:eastAsia="Times New Roman" w:hAnsi="Times New Roman"/>
          <w:bCs/>
          <w:color w:val="000000"/>
          <w:sz w:val="24"/>
          <w:szCs w:val="24"/>
          <w:lang w:eastAsia="fr-FR"/>
        </w:rPr>
        <w:t>la</w:t>
      </w:r>
      <w:r w:rsidR="004A1128">
        <w:rPr>
          <w:rFonts w:ascii="Times New Roman" w:eastAsia="Times New Roman" w:hAnsi="Times New Roman"/>
          <w:bCs/>
          <w:color w:val="000000"/>
          <w:sz w:val="24"/>
          <w:szCs w:val="24"/>
          <w:lang w:eastAsia="fr-FR"/>
        </w:rPr>
        <w:t xml:space="preserve"> </w:t>
      </w:r>
      <w:r w:rsidRPr="008F2B1E">
        <w:rPr>
          <w:rFonts w:ascii="Times New Roman" w:eastAsia="Times New Roman" w:hAnsi="Times New Roman"/>
          <w:bCs/>
          <w:color w:val="000000"/>
          <w:sz w:val="24"/>
          <w:szCs w:val="24"/>
          <w:lang w:eastAsia="fr-FR"/>
        </w:rPr>
        <w:t>perspective d’une stratégie de réduction de la pauvreté basée sur une croissance pro-pauvre</w:t>
      </w:r>
      <w:r>
        <w:rPr>
          <w:rFonts w:ascii="Times New Roman" w:eastAsia="Times New Roman" w:hAnsi="Times New Roman"/>
          <w:bCs/>
          <w:color w:val="000000"/>
          <w:sz w:val="24"/>
          <w:szCs w:val="24"/>
          <w:lang w:eastAsia="fr-FR"/>
        </w:rPr>
        <w:t xml:space="preserve">. </w:t>
      </w:r>
      <w:r w:rsidRPr="00CE2434">
        <w:rPr>
          <w:rFonts w:ascii="Times New Roman" w:eastAsia="Times New Roman" w:hAnsi="Times New Roman"/>
          <w:bCs/>
          <w:color w:val="000000"/>
          <w:sz w:val="24"/>
          <w:szCs w:val="24"/>
          <w:lang w:eastAsia="fr-FR"/>
        </w:rPr>
        <w:t>En effet, l</w:t>
      </w:r>
      <w:r w:rsidRPr="007A6813">
        <w:rPr>
          <w:rFonts w:ascii="Times New Roman" w:eastAsia="Times New Roman" w:hAnsi="Times New Roman"/>
          <w:bCs/>
          <w:color w:val="000000"/>
          <w:sz w:val="24"/>
          <w:szCs w:val="24"/>
          <w:lang w:eastAsia="fr-FR"/>
        </w:rPr>
        <w:t>a baisse de l’incidence de la pauvreté notée entre 2006 et 2009</w:t>
      </w:r>
      <w:r w:rsidRPr="00CE2434">
        <w:rPr>
          <w:rFonts w:ascii="Times New Roman" w:eastAsia="Times New Roman" w:hAnsi="Times New Roman"/>
          <w:bCs/>
          <w:color w:val="000000"/>
          <w:sz w:val="24"/>
          <w:szCs w:val="24"/>
          <w:lang w:eastAsia="fr-FR"/>
        </w:rPr>
        <w:t xml:space="preserve"> s’explique essentiellement par les mesures de redistribution. </w:t>
      </w:r>
      <w:r>
        <w:rPr>
          <w:rFonts w:ascii="Times New Roman" w:eastAsia="Times New Roman" w:hAnsi="Times New Roman"/>
          <w:bCs/>
          <w:color w:val="000000"/>
          <w:sz w:val="24"/>
          <w:szCs w:val="24"/>
          <w:lang w:eastAsia="fr-FR"/>
        </w:rPr>
        <w:t xml:space="preserve">Ceci montre l’importance de ces mesures dans les stratégies de réduction de la pauvreté. </w:t>
      </w:r>
    </w:p>
    <w:p w:rsidR="00324B2E" w:rsidRDefault="00324B2E" w:rsidP="00324B2E">
      <w:pPr>
        <w:spacing w:line="276" w:lineRule="auto"/>
        <w:rPr>
          <w:rFonts w:ascii="Times New Roman" w:eastAsia="Times New Roman" w:hAnsi="Times New Roman"/>
          <w:bCs/>
          <w:color w:val="000000"/>
          <w:sz w:val="24"/>
          <w:szCs w:val="24"/>
          <w:lang w:eastAsia="fr-FR"/>
        </w:rPr>
      </w:pPr>
    </w:p>
    <w:p w:rsidR="00014534" w:rsidRDefault="00324B2E">
      <w:pPr>
        <w:spacing w:line="276" w:lineRule="auto"/>
        <w:rPr>
          <w:rFonts w:ascii="Times New Roman" w:eastAsia="Times New Roman" w:hAnsi="Times New Roman"/>
          <w:bCs/>
          <w:color w:val="000000"/>
          <w:sz w:val="24"/>
          <w:szCs w:val="24"/>
          <w:lang w:eastAsia="fr-FR"/>
        </w:rPr>
      </w:pPr>
      <w:r w:rsidRPr="00A92947">
        <w:rPr>
          <w:rFonts w:ascii="Times New Roman" w:eastAsia="Times New Roman" w:hAnsi="Times New Roman"/>
          <w:bCs/>
          <w:color w:val="000000"/>
          <w:sz w:val="24"/>
          <w:szCs w:val="24"/>
          <w:lang w:eastAsia="fr-FR"/>
        </w:rPr>
        <w:t>En somme, la réduction de la pauvreté doit passer impérativement par le développement des opportunités de relèvement des revenus pour une large frange de la population</w:t>
      </w:r>
      <w:r w:rsidR="009070E1">
        <w:rPr>
          <w:rFonts w:ascii="Times New Roman" w:eastAsia="Times New Roman" w:hAnsi="Times New Roman"/>
          <w:bCs/>
          <w:color w:val="000000"/>
          <w:sz w:val="24"/>
          <w:szCs w:val="24"/>
          <w:lang w:eastAsia="fr-FR"/>
        </w:rPr>
        <w:t>,</w:t>
      </w:r>
      <w:r w:rsidRPr="00A92947">
        <w:rPr>
          <w:rFonts w:ascii="Times New Roman" w:eastAsia="Times New Roman" w:hAnsi="Times New Roman"/>
          <w:bCs/>
          <w:color w:val="000000"/>
          <w:sz w:val="24"/>
          <w:szCs w:val="24"/>
          <w:lang w:eastAsia="fr-FR"/>
        </w:rPr>
        <w:t xml:space="preserve"> notamment les ménages pauvres et </w:t>
      </w:r>
      <w:r w:rsidR="00D42FDE">
        <w:rPr>
          <w:rFonts w:ascii="Times New Roman" w:eastAsia="Times New Roman" w:hAnsi="Times New Roman"/>
          <w:bCs/>
          <w:color w:val="000000"/>
          <w:sz w:val="24"/>
          <w:szCs w:val="24"/>
          <w:lang w:eastAsia="fr-FR"/>
        </w:rPr>
        <w:t>c</w:t>
      </w:r>
      <w:r w:rsidR="00703F84">
        <w:rPr>
          <w:rFonts w:ascii="Times New Roman" w:eastAsia="Times New Roman" w:hAnsi="Times New Roman"/>
          <w:bCs/>
          <w:color w:val="000000"/>
          <w:sz w:val="24"/>
          <w:szCs w:val="24"/>
          <w:lang w:eastAsia="fr-FR"/>
        </w:rPr>
        <w:t xml:space="preserve">eux </w:t>
      </w:r>
      <w:r w:rsidR="00D42FDE">
        <w:rPr>
          <w:rFonts w:ascii="Times New Roman" w:eastAsia="Times New Roman" w:hAnsi="Times New Roman"/>
          <w:bCs/>
          <w:color w:val="000000"/>
          <w:sz w:val="24"/>
          <w:szCs w:val="24"/>
          <w:lang w:eastAsia="fr-FR"/>
        </w:rPr>
        <w:t>dont les</w:t>
      </w:r>
      <w:r w:rsidR="004A1128">
        <w:rPr>
          <w:rFonts w:ascii="Times New Roman" w:eastAsia="Times New Roman" w:hAnsi="Times New Roman"/>
          <w:bCs/>
          <w:color w:val="000000"/>
          <w:sz w:val="24"/>
          <w:szCs w:val="24"/>
          <w:lang w:eastAsia="fr-FR"/>
        </w:rPr>
        <w:t xml:space="preserve"> </w:t>
      </w:r>
      <w:r w:rsidRPr="00A92947">
        <w:rPr>
          <w:rFonts w:ascii="Times New Roman" w:eastAsia="Times New Roman" w:hAnsi="Times New Roman"/>
          <w:bCs/>
          <w:color w:val="000000"/>
          <w:sz w:val="24"/>
          <w:szCs w:val="24"/>
          <w:lang w:eastAsia="fr-FR"/>
        </w:rPr>
        <w:t>revenus</w:t>
      </w:r>
      <w:r w:rsidR="00D42FDE">
        <w:rPr>
          <w:rFonts w:ascii="Times New Roman" w:eastAsia="Times New Roman" w:hAnsi="Times New Roman"/>
          <w:bCs/>
          <w:color w:val="000000"/>
          <w:sz w:val="24"/>
          <w:szCs w:val="24"/>
          <w:lang w:eastAsia="fr-FR"/>
        </w:rPr>
        <w:t xml:space="preserve"> sont</w:t>
      </w:r>
      <w:r w:rsidRPr="00A92947">
        <w:rPr>
          <w:rFonts w:ascii="Times New Roman" w:eastAsia="Times New Roman" w:hAnsi="Times New Roman"/>
          <w:bCs/>
          <w:color w:val="000000"/>
          <w:sz w:val="24"/>
          <w:szCs w:val="24"/>
          <w:lang w:eastAsia="fr-FR"/>
        </w:rPr>
        <w:t xml:space="preserve"> proches du seuil de pauvreté. Ainsi, le choix de l’option d’une croissance économique pro-pauvre devrait plutôt privilégier </w:t>
      </w:r>
      <w:r w:rsidR="00D42FDE">
        <w:rPr>
          <w:rFonts w:ascii="Times New Roman" w:eastAsia="Times New Roman" w:hAnsi="Times New Roman"/>
          <w:bCs/>
          <w:color w:val="000000"/>
          <w:sz w:val="24"/>
          <w:szCs w:val="24"/>
          <w:lang w:eastAsia="fr-FR"/>
        </w:rPr>
        <w:t xml:space="preserve">de façon impérative l’amélioration de la productivité dans </w:t>
      </w:r>
      <w:r w:rsidRPr="00A92947">
        <w:rPr>
          <w:rFonts w:ascii="Times New Roman" w:eastAsia="Times New Roman" w:hAnsi="Times New Roman"/>
          <w:bCs/>
          <w:color w:val="000000"/>
          <w:sz w:val="24"/>
          <w:szCs w:val="24"/>
          <w:lang w:eastAsia="fr-FR"/>
        </w:rPr>
        <w:t xml:space="preserve">les secteurs les plus pourvoyeurs d’emplois </w:t>
      </w:r>
      <w:r w:rsidR="008B69FE">
        <w:rPr>
          <w:rFonts w:ascii="Times New Roman" w:eastAsia="Times New Roman" w:hAnsi="Times New Roman"/>
          <w:bCs/>
          <w:color w:val="000000"/>
          <w:sz w:val="24"/>
          <w:szCs w:val="24"/>
          <w:lang w:eastAsia="fr-FR"/>
        </w:rPr>
        <w:t xml:space="preserve">ou de concentration  des </w:t>
      </w:r>
      <w:r w:rsidRPr="00A92947">
        <w:rPr>
          <w:rFonts w:ascii="Times New Roman" w:eastAsia="Times New Roman" w:hAnsi="Times New Roman"/>
          <w:bCs/>
          <w:color w:val="000000"/>
          <w:sz w:val="24"/>
          <w:szCs w:val="24"/>
          <w:lang w:eastAsia="fr-FR"/>
        </w:rPr>
        <w:t xml:space="preserve"> pauvres.</w:t>
      </w:r>
      <w:r w:rsidR="004A1128">
        <w:rPr>
          <w:rFonts w:ascii="Times New Roman" w:eastAsia="Times New Roman" w:hAnsi="Times New Roman"/>
          <w:bCs/>
          <w:color w:val="000000"/>
          <w:sz w:val="24"/>
          <w:szCs w:val="24"/>
          <w:lang w:eastAsia="fr-FR"/>
        </w:rPr>
        <w:t xml:space="preserve"> </w:t>
      </w:r>
      <w:r w:rsidR="00BB6576" w:rsidRPr="00A92947">
        <w:rPr>
          <w:rFonts w:ascii="Times New Roman" w:eastAsia="Times New Roman" w:hAnsi="Times New Roman"/>
          <w:bCs/>
          <w:color w:val="000000"/>
          <w:sz w:val="24"/>
          <w:szCs w:val="24"/>
          <w:lang w:eastAsia="fr-FR"/>
        </w:rPr>
        <w:t xml:space="preserve">A l’examen des résultats, les pôles de croissance identifiés par le </w:t>
      </w:r>
      <w:r w:rsidR="009070E1">
        <w:rPr>
          <w:rFonts w:ascii="Times New Roman" w:eastAsia="Times New Roman" w:hAnsi="Times New Roman"/>
          <w:bCs/>
          <w:color w:val="000000"/>
          <w:sz w:val="24"/>
          <w:szCs w:val="24"/>
          <w:lang w:eastAsia="fr-FR"/>
        </w:rPr>
        <w:t>G</w:t>
      </w:r>
      <w:r w:rsidR="009070E1" w:rsidRPr="00A92947">
        <w:rPr>
          <w:rFonts w:ascii="Times New Roman" w:eastAsia="Times New Roman" w:hAnsi="Times New Roman"/>
          <w:bCs/>
          <w:color w:val="000000"/>
          <w:sz w:val="24"/>
          <w:szCs w:val="24"/>
          <w:lang w:eastAsia="fr-FR"/>
        </w:rPr>
        <w:t>ouvernement</w:t>
      </w:r>
      <w:r w:rsidR="00BB6576">
        <w:rPr>
          <w:rFonts w:ascii="Times New Roman" w:eastAsia="Times New Roman" w:hAnsi="Times New Roman"/>
          <w:bCs/>
          <w:color w:val="000000"/>
          <w:sz w:val="24"/>
          <w:szCs w:val="24"/>
          <w:lang w:eastAsia="fr-FR"/>
        </w:rPr>
        <w:t xml:space="preserve">, en particulier l’agriculture sont susceptibles de </w:t>
      </w:r>
      <w:r w:rsidR="00BB6576" w:rsidRPr="00A92947">
        <w:rPr>
          <w:rFonts w:ascii="Times New Roman" w:eastAsia="Times New Roman" w:hAnsi="Times New Roman"/>
          <w:bCs/>
          <w:color w:val="000000"/>
          <w:sz w:val="24"/>
          <w:szCs w:val="24"/>
          <w:lang w:eastAsia="fr-FR"/>
        </w:rPr>
        <w:t xml:space="preserve"> contribuer</w:t>
      </w:r>
      <w:r w:rsidR="004A1128">
        <w:rPr>
          <w:rFonts w:ascii="Times New Roman" w:eastAsia="Times New Roman" w:hAnsi="Times New Roman"/>
          <w:bCs/>
          <w:color w:val="000000"/>
          <w:sz w:val="24"/>
          <w:szCs w:val="24"/>
          <w:lang w:eastAsia="fr-FR"/>
        </w:rPr>
        <w:t xml:space="preserve"> </w:t>
      </w:r>
      <w:r w:rsidR="00BB6576" w:rsidRPr="00A92947">
        <w:rPr>
          <w:rFonts w:ascii="Times New Roman" w:eastAsia="Times New Roman" w:hAnsi="Times New Roman"/>
          <w:bCs/>
          <w:color w:val="000000"/>
          <w:sz w:val="24"/>
          <w:szCs w:val="24"/>
          <w:lang w:eastAsia="fr-FR"/>
        </w:rPr>
        <w:t>efficacement à l’atteinte de ce résultat</w:t>
      </w:r>
      <w:r w:rsidR="00BB6576">
        <w:rPr>
          <w:rFonts w:ascii="Times New Roman" w:eastAsia="Times New Roman" w:hAnsi="Times New Roman"/>
          <w:bCs/>
          <w:color w:val="000000"/>
          <w:sz w:val="24"/>
          <w:szCs w:val="24"/>
          <w:lang w:eastAsia="fr-FR"/>
        </w:rPr>
        <w:t xml:space="preserve">. Bien entendu, cette mesure doit être </w:t>
      </w:r>
      <w:r w:rsidR="00626C29">
        <w:rPr>
          <w:rFonts w:ascii="Times New Roman" w:eastAsia="Times New Roman" w:hAnsi="Times New Roman"/>
          <w:bCs/>
          <w:color w:val="000000"/>
          <w:sz w:val="24"/>
          <w:szCs w:val="24"/>
          <w:lang w:eastAsia="fr-FR"/>
        </w:rPr>
        <w:t>accompagnée</w:t>
      </w:r>
      <w:r w:rsidR="00BB6576">
        <w:rPr>
          <w:rFonts w:ascii="Times New Roman" w:eastAsia="Times New Roman" w:hAnsi="Times New Roman"/>
          <w:bCs/>
          <w:color w:val="000000"/>
          <w:sz w:val="24"/>
          <w:szCs w:val="24"/>
          <w:lang w:eastAsia="fr-FR"/>
        </w:rPr>
        <w:t xml:space="preserve"> par la levée des autres obstacles principaux au </w:t>
      </w:r>
      <w:r w:rsidR="00BB6576" w:rsidRPr="007C3F41">
        <w:rPr>
          <w:rFonts w:ascii="Times New Roman" w:hAnsi="Times New Roman"/>
          <w:sz w:val="24"/>
          <w:szCs w:val="24"/>
        </w:rPr>
        <w:t>développement de l'agriculture</w:t>
      </w:r>
      <w:r w:rsidR="004A1128">
        <w:rPr>
          <w:rFonts w:ascii="Times New Roman" w:hAnsi="Times New Roman"/>
          <w:sz w:val="24"/>
          <w:szCs w:val="24"/>
        </w:rPr>
        <w:t xml:space="preserve"> </w:t>
      </w:r>
      <w:r w:rsidR="00BB6576" w:rsidRPr="007C3F41">
        <w:rPr>
          <w:rFonts w:ascii="Times New Roman" w:hAnsi="Times New Roman"/>
          <w:sz w:val="24"/>
          <w:szCs w:val="24"/>
        </w:rPr>
        <w:t>et à la réduction de la pauvreté rurale</w:t>
      </w:r>
      <w:r w:rsidR="00BB6576">
        <w:rPr>
          <w:rFonts w:ascii="Times New Roman" w:hAnsi="Times New Roman"/>
          <w:sz w:val="24"/>
          <w:szCs w:val="24"/>
        </w:rPr>
        <w:t>.</w:t>
      </w:r>
    </w:p>
    <w:p w:rsidR="00C10167" w:rsidRDefault="00C10167" w:rsidP="00324B2E">
      <w:pPr>
        <w:spacing w:line="276" w:lineRule="auto"/>
        <w:rPr>
          <w:rFonts w:ascii="Times New Roman" w:eastAsia="Times New Roman" w:hAnsi="Times New Roman"/>
          <w:bCs/>
          <w:color w:val="000000"/>
          <w:sz w:val="24"/>
          <w:szCs w:val="24"/>
          <w:lang w:eastAsia="fr-FR"/>
        </w:rPr>
      </w:pPr>
    </w:p>
    <w:p w:rsidR="00873C70" w:rsidRPr="00E44F39" w:rsidRDefault="00C10167" w:rsidP="000D4DCD">
      <w:pPr>
        <w:spacing w:line="276" w:lineRule="auto"/>
        <w:rPr>
          <w:rFonts w:ascii="Times New Roman" w:eastAsia="Times New Roman" w:hAnsi="Times New Roman"/>
          <w:bCs/>
          <w:color w:val="000000"/>
          <w:sz w:val="24"/>
          <w:szCs w:val="24"/>
          <w:highlight w:val="yellow"/>
          <w:lang w:eastAsia="fr-FR"/>
        </w:rPr>
      </w:pPr>
      <w:r>
        <w:rPr>
          <w:rFonts w:ascii="Times New Roman" w:eastAsia="Times New Roman" w:hAnsi="Times New Roman"/>
          <w:bCs/>
          <w:color w:val="000000"/>
          <w:sz w:val="24"/>
          <w:szCs w:val="24"/>
          <w:lang w:eastAsia="fr-FR"/>
        </w:rPr>
        <w:t xml:space="preserve">Par ailleurs, les </w:t>
      </w:r>
      <w:r w:rsidR="00324B2E" w:rsidRPr="002F7AD2">
        <w:rPr>
          <w:rFonts w:ascii="Times New Roman" w:eastAsia="Times New Roman" w:hAnsi="Times New Roman"/>
          <w:bCs/>
          <w:color w:val="000000"/>
          <w:sz w:val="24"/>
          <w:szCs w:val="24"/>
          <w:lang w:eastAsia="fr-FR"/>
        </w:rPr>
        <w:t xml:space="preserve"> stratégies de réduction de la pauvreté à opérationnaliser au Bénin doivent </w:t>
      </w:r>
      <w:r w:rsidR="00BB6576">
        <w:rPr>
          <w:rFonts w:ascii="Times New Roman" w:eastAsia="Times New Roman" w:hAnsi="Times New Roman"/>
          <w:bCs/>
          <w:color w:val="000000"/>
          <w:sz w:val="24"/>
          <w:szCs w:val="24"/>
          <w:lang w:eastAsia="fr-FR"/>
        </w:rPr>
        <w:t xml:space="preserve">au regard de l’influence positive de la redistribution sur la réduction de la pauvreté, </w:t>
      </w:r>
      <w:r w:rsidR="00324B2E" w:rsidRPr="002F7AD2">
        <w:rPr>
          <w:rFonts w:ascii="Times New Roman" w:eastAsia="Times New Roman" w:hAnsi="Times New Roman"/>
          <w:bCs/>
          <w:color w:val="000000"/>
          <w:sz w:val="24"/>
          <w:szCs w:val="24"/>
          <w:lang w:eastAsia="fr-FR"/>
        </w:rPr>
        <w:t>privilégier autant la relance de la croissance que les politiques de redistribution en direction des plus pauvres.</w:t>
      </w:r>
    </w:p>
    <w:p w:rsidR="00BE67B7" w:rsidRDefault="00BE67B7" w:rsidP="000D4DCD">
      <w:pPr>
        <w:spacing w:line="276" w:lineRule="auto"/>
        <w:rPr>
          <w:rFonts w:ascii="Times New Roman" w:eastAsia="Times New Roman" w:hAnsi="Times New Roman"/>
          <w:bCs/>
          <w:color w:val="000000"/>
          <w:sz w:val="24"/>
          <w:szCs w:val="24"/>
          <w:highlight w:val="yellow"/>
          <w:lang w:eastAsia="fr-FR"/>
        </w:rPr>
        <w:sectPr w:rsidR="00BE67B7" w:rsidSect="001B4547">
          <w:headerReference w:type="default" r:id="rId61"/>
          <w:footerReference w:type="default" r:id="rId62"/>
          <w:pgSz w:w="11906" w:h="16838"/>
          <w:pgMar w:top="1417" w:right="1417" w:bottom="1417" w:left="1417" w:header="284" w:footer="708" w:gutter="0"/>
          <w:cols w:space="708"/>
          <w:docGrid w:linePitch="360"/>
        </w:sectPr>
      </w:pPr>
    </w:p>
    <w:p w:rsidR="00324B2E" w:rsidRPr="00BE67B7" w:rsidRDefault="00324B2E" w:rsidP="000D4DCD">
      <w:pPr>
        <w:spacing w:line="276" w:lineRule="auto"/>
        <w:rPr>
          <w:rFonts w:ascii="Times New Roman" w:eastAsia="Times New Roman" w:hAnsi="Times New Roman"/>
          <w:bCs/>
          <w:color w:val="000000"/>
          <w:sz w:val="6"/>
          <w:szCs w:val="6"/>
          <w:highlight w:val="yellow"/>
          <w:lang w:eastAsia="fr-FR"/>
        </w:r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B96248" w:rsidTr="00272B35">
        <w:trPr>
          <w:trHeight w:val="1919"/>
        </w:trPr>
        <w:tc>
          <w:tcPr>
            <w:tcW w:w="1418" w:type="dxa"/>
            <w:tcBorders>
              <w:right w:val="thinThickSmallGap" w:sz="24" w:space="0" w:color="FFFFFF" w:themeColor="background1"/>
            </w:tcBorders>
            <w:shd w:val="clear" w:color="auto" w:fill="92CDDC" w:themeFill="accent5" w:themeFillTint="99"/>
          </w:tcPr>
          <w:p w:rsidR="00B96248" w:rsidRPr="00494CC8" w:rsidRDefault="00B96248" w:rsidP="00272B35">
            <w:pPr>
              <w:pStyle w:val="Titre1"/>
              <w:jc w:val="center"/>
              <w:outlineLvl w:val="0"/>
              <w:rPr>
                <w:rFonts w:ascii="Times New Roman" w:hAnsi="Times New Roman" w:cs="Times New Roman"/>
                <w:sz w:val="28"/>
                <w:szCs w:val="28"/>
              </w:rPr>
            </w:pP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B96248" w:rsidRPr="00E04E53" w:rsidRDefault="00B96248" w:rsidP="00272B35">
            <w:pPr>
              <w:pStyle w:val="Titre1"/>
              <w:spacing w:before="120" w:after="0" w:line="240" w:lineRule="auto"/>
              <w:jc w:val="center"/>
              <w:outlineLvl w:val="0"/>
              <w:rPr>
                <w:rFonts w:ascii="Times New Roman" w:hAnsi="Times New Roman" w:cs="Times New Roman"/>
                <w:sz w:val="52"/>
                <w:szCs w:val="52"/>
              </w:rPr>
            </w:pPr>
            <w:bookmarkStart w:id="86" w:name="_Toc382322927"/>
            <w:r w:rsidRPr="00E04E53">
              <w:rPr>
                <w:rFonts w:ascii="Times New Roman" w:hAnsi="Times New Roman" w:cs="Times New Roman"/>
                <w:sz w:val="52"/>
                <w:szCs w:val="52"/>
              </w:rPr>
              <w:t>CHAPITRE</w:t>
            </w:r>
            <w:bookmarkEnd w:id="86"/>
          </w:p>
          <w:p w:rsidR="00B96248" w:rsidRPr="00E04E53" w:rsidRDefault="000A79B7" w:rsidP="00272B35">
            <w:pPr>
              <w:pStyle w:val="Titre1"/>
              <w:spacing w:before="0" w:after="0" w:line="240" w:lineRule="auto"/>
              <w:jc w:val="center"/>
              <w:outlineLvl w:val="0"/>
              <w:rPr>
                <w:rFonts w:ascii="Times New Roman" w:hAnsi="Times New Roman" w:cs="Times New Roman"/>
                <w:sz w:val="96"/>
                <w:szCs w:val="96"/>
              </w:rPr>
            </w:pPr>
            <w:bookmarkStart w:id="87" w:name="_Toc382322928"/>
            <w:r>
              <w:rPr>
                <w:rFonts w:ascii="Times New Roman" w:hAnsi="Times New Roman" w:cs="Times New Roman"/>
                <w:sz w:val="96"/>
                <w:szCs w:val="96"/>
              </w:rPr>
              <w:t>3</w:t>
            </w:r>
            <w:bookmarkEnd w:id="87"/>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B96248" w:rsidRPr="00B96248" w:rsidRDefault="00B96248" w:rsidP="00AA7FDE">
            <w:pPr>
              <w:pStyle w:val="Titre1"/>
              <w:spacing w:before="120" w:line="240" w:lineRule="auto"/>
              <w:jc w:val="left"/>
              <w:outlineLvl w:val="0"/>
              <w:rPr>
                <w:rFonts w:ascii="Times New Roman" w:hAnsi="Times New Roman"/>
                <w:sz w:val="52"/>
                <w:szCs w:val="52"/>
              </w:rPr>
            </w:pPr>
            <w:bookmarkStart w:id="88" w:name="_Toc382322929"/>
            <w:r w:rsidRPr="00B96248">
              <w:rPr>
                <w:rFonts w:ascii="Times New Roman" w:hAnsi="Times New Roman"/>
                <w:sz w:val="52"/>
                <w:szCs w:val="52"/>
              </w:rPr>
              <w:t>Chocs, vulnérabilités et stratégies d’adaptation des ménages</w:t>
            </w:r>
            <w:bookmarkEnd w:id="88"/>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B96248" w:rsidRPr="00E04E53" w:rsidRDefault="00B96248" w:rsidP="00272B35">
            <w:pPr>
              <w:pStyle w:val="Titre1"/>
              <w:spacing w:line="240" w:lineRule="auto"/>
              <w:jc w:val="center"/>
              <w:outlineLvl w:val="0"/>
              <w:rPr>
                <w:rFonts w:ascii="Times New Roman" w:hAnsi="Times New Roman" w:cs="Times New Roman"/>
                <w:sz w:val="52"/>
                <w:szCs w:val="52"/>
              </w:rPr>
            </w:pPr>
          </w:p>
        </w:tc>
      </w:tr>
    </w:tbl>
    <w:p w:rsidR="00A84455" w:rsidRPr="00BE67B7" w:rsidRDefault="00A84455" w:rsidP="007656FC">
      <w:pPr>
        <w:spacing w:line="276" w:lineRule="auto"/>
        <w:jc w:val="left"/>
        <w:rPr>
          <w:rFonts w:ascii="Times New Roman" w:hAnsi="Times New Roman"/>
          <w:b/>
          <w:sz w:val="24"/>
          <w:szCs w:val="24"/>
        </w:rPr>
      </w:pPr>
    </w:p>
    <w:p w:rsidR="00B96248" w:rsidRPr="00BE67B7" w:rsidRDefault="00B96248" w:rsidP="007656FC">
      <w:pPr>
        <w:spacing w:line="276" w:lineRule="auto"/>
        <w:jc w:val="left"/>
        <w:rPr>
          <w:rFonts w:ascii="Times New Roman" w:hAnsi="Times New Roman"/>
          <w:b/>
          <w:sz w:val="24"/>
          <w:szCs w:val="24"/>
        </w:rPr>
      </w:pPr>
    </w:p>
    <w:p w:rsidR="00ED3BCD" w:rsidRPr="00BE67B7" w:rsidRDefault="000A79B7" w:rsidP="00ED3BCD">
      <w:pPr>
        <w:pStyle w:val="Titre2"/>
        <w:spacing w:before="0" w:after="0" w:line="276" w:lineRule="auto"/>
        <w:rPr>
          <w:rFonts w:ascii="Times New Roman" w:hAnsi="Times New Roman"/>
          <w:i w:val="0"/>
          <w:color w:val="31849B" w:themeColor="accent5" w:themeShade="BF"/>
        </w:rPr>
      </w:pPr>
      <w:bookmarkStart w:id="89" w:name="_Toc382322930"/>
      <w:r w:rsidRPr="00BE67B7">
        <w:rPr>
          <w:rFonts w:ascii="Times New Roman" w:hAnsi="Times New Roman"/>
          <w:i w:val="0"/>
          <w:color w:val="31849B" w:themeColor="accent5" w:themeShade="BF"/>
        </w:rPr>
        <w:t>3</w:t>
      </w:r>
      <w:r w:rsidR="00ED3BCD" w:rsidRPr="00BE67B7">
        <w:rPr>
          <w:rFonts w:ascii="Times New Roman" w:hAnsi="Times New Roman"/>
          <w:i w:val="0"/>
          <w:color w:val="31849B" w:themeColor="accent5" w:themeShade="BF"/>
        </w:rPr>
        <w:t>.1</w:t>
      </w:r>
      <w:r w:rsidR="00AC6695">
        <w:rPr>
          <w:rFonts w:ascii="Times New Roman" w:hAnsi="Times New Roman"/>
          <w:i w:val="0"/>
          <w:color w:val="31849B" w:themeColor="accent5" w:themeShade="BF"/>
        </w:rPr>
        <w:t xml:space="preserve">  </w:t>
      </w:r>
      <w:r w:rsidR="00ED3BCD" w:rsidRPr="00BE67B7">
        <w:rPr>
          <w:rFonts w:ascii="Times New Roman" w:hAnsi="Times New Roman"/>
          <w:i w:val="0"/>
          <w:color w:val="31849B" w:themeColor="accent5" w:themeShade="BF"/>
        </w:rPr>
        <w:t>Introduction</w:t>
      </w:r>
      <w:bookmarkEnd w:id="89"/>
    </w:p>
    <w:p w:rsidR="00ED3BCD" w:rsidRDefault="00ED3BCD" w:rsidP="00ED3BCD">
      <w:pPr>
        <w:autoSpaceDE w:val="0"/>
        <w:autoSpaceDN w:val="0"/>
        <w:adjustRightInd w:val="0"/>
        <w:spacing w:line="276" w:lineRule="auto"/>
        <w:rPr>
          <w:rFonts w:ascii="Times New Roman" w:hAnsi="Times New Roman"/>
          <w:sz w:val="24"/>
          <w:szCs w:val="24"/>
        </w:rPr>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L’un des déterminants importants de la pauvreté, temporaire ou persistante, porte sur le degré de vulnérabilité des individus face aux chocs auxquels ils sont exposés. Ce degré de vulnérabilité varie en fonction de l’importance du </w:t>
      </w:r>
      <w:r w:rsidRPr="00A27CB9">
        <w:rPr>
          <w:rFonts w:ascii="Times New Roman" w:hAnsi="Times New Roman"/>
          <w:sz w:val="24"/>
          <w:szCs w:val="24"/>
        </w:rPr>
        <w:t>choc</w:t>
      </w:r>
      <w:r>
        <w:rPr>
          <w:rFonts w:ascii="Times New Roman" w:hAnsi="Times New Roman"/>
          <w:sz w:val="24"/>
          <w:szCs w:val="24"/>
        </w:rPr>
        <w:t xml:space="preserve"> subi</w:t>
      </w:r>
      <w:r w:rsidR="004C74B7">
        <w:rPr>
          <w:rFonts w:ascii="Times New Roman" w:hAnsi="Times New Roman"/>
          <w:sz w:val="24"/>
          <w:szCs w:val="24"/>
        </w:rPr>
        <w:t xml:space="preserve"> </w:t>
      </w:r>
      <w:r>
        <w:rPr>
          <w:rFonts w:ascii="Times New Roman" w:hAnsi="Times New Roman"/>
          <w:sz w:val="24"/>
          <w:szCs w:val="24"/>
        </w:rPr>
        <w:t xml:space="preserve">et des </w:t>
      </w:r>
      <w:r w:rsidRPr="00A27CB9">
        <w:rPr>
          <w:rFonts w:ascii="Times New Roman" w:hAnsi="Times New Roman"/>
          <w:sz w:val="24"/>
          <w:szCs w:val="24"/>
        </w:rPr>
        <w:t>moyens de subsistance dont dépendent les ménages</w:t>
      </w:r>
      <w:r>
        <w:rPr>
          <w:rFonts w:ascii="Times New Roman" w:hAnsi="Times New Roman"/>
          <w:sz w:val="24"/>
          <w:szCs w:val="24"/>
        </w:rPr>
        <w:t>. Ainsi, la prévalence de ces différents types de pauvreté est étroitement liée aux risques encourus par les individus</w:t>
      </w:r>
      <w:r w:rsidR="00AB2605">
        <w:rPr>
          <w:rFonts w:ascii="Times New Roman" w:hAnsi="Times New Roman"/>
          <w:sz w:val="24"/>
          <w:szCs w:val="24"/>
        </w:rPr>
        <w:t>,</w:t>
      </w:r>
      <w:r>
        <w:rPr>
          <w:rFonts w:ascii="Times New Roman" w:hAnsi="Times New Roman"/>
          <w:sz w:val="24"/>
          <w:szCs w:val="24"/>
        </w:rPr>
        <w:t xml:space="preserve"> qu’ils soient idiosyncratiques ou covariants</w:t>
      </w:r>
      <w:r w:rsidRPr="006A1822">
        <w:rPr>
          <w:rStyle w:val="Appelnotedebasdep"/>
          <w:rFonts w:ascii="Times New Roman" w:hAnsi="Times New Roman"/>
          <w:sz w:val="20"/>
          <w:szCs w:val="20"/>
        </w:rPr>
        <w:footnoteReference w:id="67"/>
      </w:r>
      <w:r>
        <w:rPr>
          <w:rFonts w:ascii="Times New Roman" w:hAnsi="Times New Roman"/>
          <w:sz w:val="24"/>
          <w:szCs w:val="24"/>
        </w:rPr>
        <w:t xml:space="preserve"> et au stock de capacités dont ils disposent. </w:t>
      </w:r>
      <w:r w:rsidRPr="00990269">
        <w:rPr>
          <w:rFonts w:ascii="Times New Roman" w:hAnsi="Times New Roman"/>
          <w:sz w:val="24"/>
          <w:szCs w:val="24"/>
        </w:rPr>
        <w:t xml:space="preserve">Dans ce chapitre, nous procédons à une caractérisation des ménages par </w:t>
      </w:r>
      <w:r>
        <w:rPr>
          <w:rFonts w:ascii="Times New Roman" w:hAnsi="Times New Roman"/>
          <w:sz w:val="24"/>
          <w:szCs w:val="24"/>
        </w:rPr>
        <w:t>grand</w:t>
      </w:r>
      <w:r w:rsidR="00AB2605">
        <w:rPr>
          <w:rFonts w:ascii="Times New Roman" w:hAnsi="Times New Roman"/>
          <w:sz w:val="24"/>
          <w:szCs w:val="24"/>
        </w:rPr>
        <w:t>s</w:t>
      </w:r>
      <w:r>
        <w:rPr>
          <w:rFonts w:ascii="Times New Roman" w:hAnsi="Times New Roman"/>
          <w:sz w:val="24"/>
          <w:szCs w:val="24"/>
        </w:rPr>
        <w:t xml:space="preserve"> groupe</w:t>
      </w:r>
      <w:r w:rsidR="00AB2605">
        <w:rPr>
          <w:rFonts w:ascii="Times New Roman" w:hAnsi="Times New Roman"/>
          <w:sz w:val="24"/>
          <w:szCs w:val="24"/>
        </w:rPr>
        <w:t>s</w:t>
      </w:r>
      <w:r>
        <w:rPr>
          <w:rFonts w:ascii="Times New Roman" w:hAnsi="Times New Roman"/>
          <w:sz w:val="24"/>
          <w:szCs w:val="24"/>
        </w:rPr>
        <w:t xml:space="preserve"> de choc </w:t>
      </w:r>
      <w:r w:rsidRPr="00C15C42">
        <w:rPr>
          <w:rFonts w:ascii="Times New Roman" w:hAnsi="Times New Roman"/>
          <w:sz w:val="24"/>
          <w:szCs w:val="24"/>
        </w:rPr>
        <w:t xml:space="preserve">et stratégie d’adaptation </w:t>
      </w:r>
      <w:r>
        <w:rPr>
          <w:rFonts w:ascii="Times New Roman" w:hAnsi="Times New Roman"/>
          <w:sz w:val="24"/>
          <w:szCs w:val="24"/>
        </w:rPr>
        <w:t>qui sont fortement associés</w:t>
      </w:r>
      <w:r w:rsidRPr="00A27CB9">
        <w:rPr>
          <w:rFonts w:ascii="Times New Roman" w:hAnsi="Times New Roman"/>
          <w:sz w:val="24"/>
          <w:szCs w:val="24"/>
        </w:rPr>
        <w:t xml:space="preserve"> au niveau de</w:t>
      </w:r>
      <w:r>
        <w:rPr>
          <w:rFonts w:ascii="Times New Roman" w:hAnsi="Times New Roman"/>
          <w:sz w:val="24"/>
          <w:szCs w:val="24"/>
        </w:rPr>
        <w:t xml:space="preserve"> vie, </w:t>
      </w:r>
      <w:r w:rsidRPr="00A27CB9">
        <w:rPr>
          <w:rFonts w:ascii="Times New Roman" w:hAnsi="Times New Roman"/>
          <w:sz w:val="24"/>
          <w:szCs w:val="24"/>
        </w:rPr>
        <w:t>aux possessions du ménage</w:t>
      </w:r>
      <w:r>
        <w:rPr>
          <w:rFonts w:ascii="Times New Roman" w:hAnsi="Times New Roman"/>
          <w:sz w:val="24"/>
          <w:szCs w:val="24"/>
        </w:rPr>
        <w:t xml:space="preserve"> et à </w:t>
      </w:r>
      <w:r w:rsidRPr="00AD75DF">
        <w:rPr>
          <w:rFonts w:ascii="Times New Roman" w:hAnsi="Times New Roman"/>
          <w:sz w:val="24"/>
          <w:szCs w:val="24"/>
        </w:rPr>
        <w:t xml:space="preserve">d’autres facteurs tels que les réseaux sociaux </w:t>
      </w:r>
      <w:r>
        <w:rPr>
          <w:rFonts w:ascii="Times New Roman" w:hAnsi="Times New Roman"/>
          <w:sz w:val="24"/>
          <w:szCs w:val="24"/>
        </w:rPr>
        <w:t xml:space="preserve">qui, </w:t>
      </w:r>
      <w:r w:rsidRPr="00AD75DF">
        <w:rPr>
          <w:rFonts w:ascii="Times New Roman" w:hAnsi="Times New Roman"/>
          <w:sz w:val="24"/>
          <w:szCs w:val="24"/>
        </w:rPr>
        <w:t>par exemple</w:t>
      </w:r>
      <w:r>
        <w:rPr>
          <w:rFonts w:ascii="Times New Roman" w:hAnsi="Times New Roman"/>
          <w:sz w:val="24"/>
          <w:szCs w:val="24"/>
        </w:rPr>
        <w:t>,</w:t>
      </w:r>
      <w:r w:rsidRPr="00AD75DF">
        <w:rPr>
          <w:rFonts w:ascii="Times New Roman" w:hAnsi="Times New Roman"/>
          <w:sz w:val="24"/>
          <w:szCs w:val="24"/>
        </w:rPr>
        <w:t xml:space="preserve"> sont</w:t>
      </w:r>
      <w:r w:rsidR="004A1128">
        <w:rPr>
          <w:rFonts w:ascii="Times New Roman" w:hAnsi="Times New Roman"/>
          <w:sz w:val="24"/>
          <w:szCs w:val="24"/>
        </w:rPr>
        <w:t xml:space="preserve"> </w:t>
      </w:r>
      <w:r w:rsidRPr="00AD75DF">
        <w:rPr>
          <w:rFonts w:ascii="Times New Roman" w:hAnsi="Times New Roman"/>
          <w:sz w:val="24"/>
          <w:szCs w:val="24"/>
        </w:rPr>
        <w:t>également importants</w:t>
      </w:r>
      <w:r>
        <w:rPr>
          <w:rFonts w:ascii="Times New Roman" w:hAnsi="Times New Roman"/>
          <w:sz w:val="24"/>
          <w:szCs w:val="24"/>
        </w:rPr>
        <w:t xml:space="preserve"> (AGVSAN, 2008)</w:t>
      </w:r>
      <w:r w:rsidRPr="00A27CB9">
        <w:rPr>
          <w:rFonts w:ascii="Times New Roman" w:hAnsi="Times New Roman"/>
          <w:sz w:val="24"/>
          <w:szCs w:val="24"/>
        </w:rPr>
        <w:t xml:space="preserve">. </w:t>
      </w:r>
    </w:p>
    <w:p w:rsidR="00ED3BCD" w:rsidRDefault="00ED3BCD" w:rsidP="00ED3BCD">
      <w:pPr>
        <w:autoSpaceDE w:val="0"/>
        <w:autoSpaceDN w:val="0"/>
        <w:adjustRightInd w:val="0"/>
        <w:spacing w:line="276" w:lineRule="auto"/>
        <w:rPr>
          <w:rFonts w:ascii="Times New Roman" w:hAnsi="Times New Roman"/>
          <w:sz w:val="24"/>
          <w:szCs w:val="24"/>
        </w:rPr>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Le chapitre est structuré comme suit : l</w:t>
      </w:r>
      <w:r w:rsidRPr="00E364EC">
        <w:rPr>
          <w:rFonts w:ascii="Times New Roman" w:hAnsi="Times New Roman"/>
          <w:sz w:val="24"/>
          <w:szCs w:val="24"/>
        </w:rPr>
        <w:t xml:space="preserve">e premier point présente </w:t>
      </w:r>
      <w:r>
        <w:rPr>
          <w:rFonts w:ascii="Times New Roman" w:hAnsi="Times New Roman"/>
          <w:sz w:val="24"/>
          <w:szCs w:val="24"/>
        </w:rPr>
        <w:t>la prévalence des principaux chocs</w:t>
      </w:r>
      <w:r w:rsidRPr="00E364EC">
        <w:rPr>
          <w:rFonts w:ascii="Times New Roman" w:hAnsi="Times New Roman"/>
          <w:sz w:val="24"/>
          <w:szCs w:val="24"/>
        </w:rPr>
        <w:t xml:space="preserve"> subis</w:t>
      </w:r>
      <w:r>
        <w:rPr>
          <w:rFonts w:ascii="Times New Roman" w:hAnsi="Times New Roman"/>
          <w:sz w:val="24"/>
          <w:szCs w:val="24"/>
        </w:rPr>
        <w:t xml:space="preserve"> par différentes catégories de ménages</w:t>
      </w:r>
      <w:r w:rsidRPr="00E364EC">
        <w:rPr>
          <w:rFonts w:ascii="Times New Roman" w:hAnsi="Times New Roman"/>
          <w:sz w:val="24"/>
          <w:szCs w:val="24"/>
        </w:rPr>
        <w:t>.</w:t>
      </w:r>
      <w:r w:rsidR="004A1128">
        <w:rPr>
          <w:rFonts w:ascii="Times New Roman" w:hAnsi="Times New Roman"/>
          <w:sz w:val="24"/>
          <w:szCs w:val="24"/>
        </w:rPr>
        <w:t xml:space="preserve"> </w:t>
      </w:r>
      <w:r w:rsidRPr="00806A2D">
        <w:rPr>
          <w:rFonts w:ascii="Times New Roman" w:hAnsi="Times New Roman"/>
          <w:sz w:val="24"/>
          <w:szCs w:val="24"/>
        </w:rPr>
        <w:t xml:space="preserve">Trois types de choc ont été considérés. Il s’agit </w:t>
      </w:r>
      <w:r>
        <w:rPr>
          <w:rFonts w:ascii="Times New Roman" w:hAnsi="Times New Roman"/>
          <w:sz w:val="24"/>
          <w:szCs w:val="24"/>
        </w:rPr>
        <w:t xml:space="preserve">des </w:t>
      </w:r>
      <w:r w:rsidRPr="007B43D0">
        <w:rPr>
          <w:rFonts w:ascii="Times New Roman" w:hAnsi="Times New Roman"/>
          <w:sz w:val="24"/>
          <w:szCs w:val="24"/>
        </w:rPr>
        <w:t xml:space="preserve">chocs biophysiques (inondations, sécheresse), </w:t>
      </w:r>
      <w:r>
        <w:rPr>
          <w:rFonts w:ascii="Times New Roman" w:hAnsi="Times New Roman"/>
          <w:sz w:val="24"/>
          <w:szCs w:val="24"/>
        </w:rPr>
        <w:t xml:space="preserve">les chocs </w:t>
      </w:r>
      <w:r w:rsidRPr="007B43D0">
        <w:rPr>
          <w:rFonts w:ascii="Times New Roman" w:hAnsi="Times New Roman"/>
          <w:sz w:val="24"/>
          <w:szCs w:val="24"/>
        </w:rPr>
        <w:t xml:space="preserve">sociaux (maladie, accident ou décès d’un membre du ménage) et </w:t>
      </w:r>
      <w:r>
        <w:rPr>
          <w:rFonts w:ascii="Times New Roman" w:hAnsi="Times New Roman"/>
          <w:sz w:val="24"/>
          <w:szCs w:val="24"/>
        </w:rPr>
        <w:t xml:space="preserve">les chocs </w:t>
      </w:r>
      <w:r w:rsidRPr="007B43D0">
        <w:rPr>
          <w:rFonts w:ascii="Times New Roman" w:hAnsi="Times New Roman"/>
          <w:sz w:val="24"/>
          <w:szCs w:val="24"/>
        </w:rPr>
        <w:t>économiques (augmentation des prix</w:t>
      </w:r>
      <w:r>
        <w:rPr>
          <w:rFonts w:ascii="Times New Roman" w:hAnsi="Times New Roman"/>
          <w:sz w:val="24"/>
          <w:szCs w:val="24"/>
        </w:rPr>
        <w:t>)</w:t>
      </w:r>
      <w:r w:rsidRPr="007B43D0">
        <w:rPr>
          <w:rFonts w:ascii="Times New Roman" w:hAnsi="Times New Roman"/>
          <w:sz w:val="24"/>
          <w:szCs w:val="24"/>
        </w:rPr>
        <w:t>, chômage, baisse de revenu</w:t>
      </w:r>
      <w:r w:rsidRPr="00DB513C">
        <w:rPr>
          <w:rFonts w:ascii="Times New Roman" w:hAnsi="Times New Roman"/>
          <w:sz w:val="24"/>
          <w:szCs w:val="24"/>
        </w:rPr>
        <w:t>.</w:t>
      </w:r>
      <w:r w:rsidR="004A1128">
        <w:rPr>
          <w:rFonts w:ascii="Times New Roman" w:hAnsi="Times New Roman"/>
          <w:sz w:val="24"/>
          <w:szCs w:val="24"/>
        </w:rPr>
        <w:t xml:space="preserve"> </w:t>
      </w:r>
      <w:r>
        <w:rPr>
          <w:rFonts w:ascii="Times New Roman" w:hAnsi="Times New Roman"/>
          <w:sz w:val="24"/>
          <w:szCs w:val="24"/>
        </w:rPr>
        <w:t xml:space="preserve">Le second point traite des stratégies d’adaptation des ménages face aux chocs. </w:t>
      </w:r>
    </w:p>
    <w:p w:rsidR="00ED3BCD" w:rsidRDefault="00ED3BCD" w:rsidP="00ED3BCD">
      <w:pPr>
        <w:pStyle w:val="Paragraphedeliste"/>
        <w:autoSpaceDE w:val="0"/>
        <w:autoSpaceDN w:val="0"/>
        <w:adjustRightInd w:val="0"/>
        <w:spacing w:line="276" w:lineRule="auto"/>
        <w:ind w:left="450" w:firstLine="240"/>
        <w:rPr>
          <w:rFonts w:ascii="Times New Roman" w:hAnsi="Times New Roman"/>
          <w:sz w:val="24"/>
          <w:szCs w:val="24"/>
        </w:rPr>
      </w:pPr>
    </w:p>
    <w:p w:rsidR="00ED3BCD" w:rsidRPr="00BE67B7" w:rsidRDefault="000A79B7" w:rsidP="00ED3BCD">
      <w:pPr>
        <w:pStyle w:val="Titre2"/>
        <w:spacing w:before="0" w:after="0" w:line="276" w:lineRule="auto"/>
        <w:rPr>
          <w:rFonts w:ascii="Times New Roman" w:hAnsi="Times New Roman"/>
          <w:i w:val="0"/>
          <w:color w:val="31849B" w:themeColor="accent5" w:themeShade="BF"/>
        </w:rPr>
      </w:pPr>
      <w:bookmarkStart w:id="90" w:name="_Toc382322931"/>
      <w:r w:rsidRPr="00BE67B7">
        <w:rPr>
          <w:rFonts w:ascii="Times New Roman" w:hAnsi="Times New Roman"/>
          <w:i w:val="0"/>
          <w:color w:val="31849B" w:themeColor="accent5" w:themeShade="BF"/>
        </w:rPr>
        <w:t>3</w:t>
      </w:r>
      <w:r w:rsidR="00ED3BCD" w:rsidRPr="00BE67B7">
        <w:rPr>
          <w:rFonts w:ascii="Times New Roman" w:hAnsi="Times New Roman"/>
          <w:i w:val="0"/>
          <w:color w:val="31849B" w:themeColor="accent5" w:themeShade="BF"/>
        </w:rPr>
        <w:t>.2</w:t>
      </w:r>
      <w:r w:rsidR="00AC6695">
        <w:rPr>
          <w:rFonts w:ascii="Times New Roman" w:hAnsi="Times New Roman"/>
          <w:i w:val="0"/>
          <w:color w:val="31849B" w:themeColor="accent5" w:themeShade="BF"/>
        </w:rPr>
        <w:t xml:space="preserve">  </w:t>
      </w:r>
      <w:r w:rsidR="00ED3BCD" w:rsidRPr="00BE67B7">
        <w:rPr>
          <w:rFonts w:ascii="Times New Roman" w:hAnsi="Times New Roman"/>
          <w:i w:val="0"/>
          <w:color w:val="31849B" w:themeColor="accent5" w:themeShade="BF"/>
        </w:rPr>
        <w:t>Analyse de la prévalence des chocs</w:t>
      </w:r>
      <w:bookmarkEnd w:id="90"/>
    </w:p>
    <w:p w:rsidR="001A0349" w:rsidRDefault="001A0349" w:rsidP="00ED3BCD">
      <w:pPr>
        <w:pStyle w:val="Paragraphedeliste"/>
        <w:autoSpaceDE w:val="0"/>
        <w:autoSpaceDN w:val="0"/>
        <w:adjustRightInd w:val="0"/>
        <w:spacing w:before="240" w:after="240" w:line="276" w:lineRule="auto"/>
        <w:ind w:left="90"/>
        <w:rPr>
          <w:rFonts w:ascii="Times New Roman" w:hAnsi="Times New Roman"/>
          <w:b/>
          <w:sz w:val="24"/>
          <w:szCs w:val="24"/>
        </w:rPr>
      </w:pPr>
      <w:r>
        <w:rPr>
          <w:rFonts w:ascii="Times New Roman" w:hAnsi="Times New Roman"/>
          <w:sz w:val="24"/>
          <w:szCs w:val="24"/>
        </w:rPr>
        <w:t>Les informations sur les chocs proviennent des déclarations des ménages. Elles portent sur les chocs subis et leurs effets sur les moyens d’existence des ménages au cours des douze mois précédents, ainsi que</w:t>
      </w:r>
      <w:r w:rsidR="00AB2605">
        <w:rPr>
          <w:rFonts w:ascii="Times New Roman" w:hAnsi="Times New Roman"/>
          <w:sz w:val="24"/>
          <w:szCs w:val="24"/>
        </w:rPr>
        <w:t xml:space="preserve"> des</w:t>
      </w:r>
      <w:r>
        <w:rPr>
          <w:rFonts w:ascii="Times New Roman" w:hAnsi="Times New Roman"/>
          <w:sz w:val="24"/>
          <w:szCs w:val="24"/>
        </w:rPr>
        <w:t xml:space="preserve"> stratégies qu’elles ont adoptées pour se relever de cette situation</w:t>
      </w:r>
      <w:r w:rsidR="00012D34">
        <w:rPr>
          <w:rFonts w:ascii="Times New Roman" w:hAnsi="Times New Roman"/>
          <w:sz w:val="24"/>
          <w:szCs w:val="24"/>
        </w:rPr>
        <w:t>.</w:t>
      </w:r>
      <w:r w:rsidR="00012D34">
        <w:rPr>
          <w:rStyle w:val="Appelnotedebasdep"/>
          <w:rFonts w:ascii="Times New Roman" w:hAnsi="Times New Roman"/>
          <w:sz w:val="24"/>
          <w:szCs w:val="24"/>
        </w:rPr>
        <w:footnoteReference w:id="68"/>
      </w:r>
    </w:p>
    <w:p w:rsidR="00DE3AA6" w:rsidRDefault="00DE3AA6" w:rsidP="00ED3BCD">
      <w:pPr>
        <w:pStyle w:val="Paragraphedeliste"/>
        <w:autoSpaceDE w:val="0"/>
        <w:autoSpaceDN w:val="0"/>
        <w:adjustRightInd w:val="0"/>
        <w:spacing w:before="240" w:after="240" w:line="276" w:lineRule="auto"/>
        <w:ind w:left="90"/>
        <w:rPr>
          <w:rFonts w:ascii="Times New Roman" w:hAnsi="Times New Roman"/>
          <w:b/>
          <w:sz w:val="24"/>
          <w:szCs w:val="24"/>
        </w:rPr>
      </w:pPr>
    </w:p>
    <w:p w:rsidR="00ED3BCD" w:rsidRDefault="00ED3BCD" w:rsidP="00ED3BCD">
      <w:pPr>
        <w:pStyle w:val="Paragraphedeliste"/>
        <w:autoSpaceDE w:val="0"/>
        <w:autoSpaceDN w:val="0"/>
        <w:adjustRightInd w:val="0"/>
        <w:spacing w:before="240" w:after="240" w:line="276" w:lineRule="auto"/>
        <w:ind w:left="90"/>
        <w:rPr>
          <w:rFonts w:ascii="Times New Roman" w:hAnsi="Times New Roman"/>
          <w:sz w:val="24"/>
          <w:szCs w:val="24"/>
        </w:rPr>
      </w:pPr>
      <w:r>
        <w:rPr>
          <w:rFonts w:ascii="Times New Roman" w:hAnsi="Times New Roman"/>
          <w:b/>
          <w:sz w:val="24"/>
          <w:szCs w:val="24"/>
        </w:rPr>
        <w:t>Au</w:t>
      </w:r>
      <w:r w:rsidRPr="00A356A6">
        <w:rPr>
          <w:rFonts w:ascii="Times New Roman" w:hAnsi="Times New Roman"/>
          <w:b/>
          <w:sz w:val="24"/>
          <w:szCs w:val="24"/>
        </w:rPr>
        <w:t xml:space="preserve"> plan national</w:t>
      </w:r>
      <w:r>
        <w:rPr>
          <w:rFonts w:ascii="Times New Roman" w:hAnsi="Times New Roman"/>
          <w:b/>
          <w:sz w:val="24"/>
          <w:szCs w:val="24"/>
        </w:rPr>
        <w:t xml:space="preserve"> en </w:t>
      </w:r>
      <w:r w:rsidR="001064B7" w:rsidRPr="001064B7">
        <w:rPr>
          <w:rFonts w:ascii="Times New Roman" w:hAnsi="Times New Roman"/>
          <w:b/>
          <w:sz w:val="24"/>
          <w:szCs w:val="24"/>
        </w:rPr>
        <w:t>20</w:t>
      </w:r>
      <w:r w:rsidRPr="001376F5">
        <w:rPr>
          <w:rFonts w:ascii="Times New Roman" w:hAnsi="Times New Roman"/>
          <w:b/>
          <w:sz w:val="24"/>
          <w:szCs w:val="24"/>
        </w:rPr>
        <w:t>09</w:t>
      </w:r>
      <w:r w:rsidR="001064B7" w:rsidRPr="001064B7">
        <w:rPr>
          <w:rFonts w:ascii="Times New Roman" w:hAnsi="Times New Roman"/>
          <w:b/>
          <w:sz w:val="24"/>
          <w:szCs w:val="24"/>
        </w:rPr>
        <w:t>,</w:t>
      </w:r>
      <w:r w:rsidRPr="00A356A6">
        <w:rPr>
          <w:rFonts w:ascii="Times New Roman" w:hAnsi="Times New Roman"/>
          <w:b/>
          <w:sz w:val="24"/>
          <w:szCs w:val="24"/>
        </w:rPr>
        <w:t xml:space="preserve"> 61,8% des ménages ont subi des chocs, tous types confondus. </w:t>
      </w:r>
      <w:r w:rsidRPr="00A356A6">
        <w:rPr>
          <w:rFonts w:ascii="Times New Roman" w:hAnsi="Times New Roman"/>
          <w:b/>
          <w:color w:val="231F20"/>
          <w:sz w:val="24"/>
          <w:szCs w:val="24"/>
        </w:rPr>
        <w:t>Les chocs économiques affectent 41,7% des ménages</w:t>
      </w:r>
      <w:r w:rsidRPr="002D05BB">
        <w:rPr>
          <w:rFonts w:ascii="Times New Roman" w:hAnsi="Times New Roman"/>
          <w:color w:val="231F20"/>
          <w:sz w:val="24"/>
          <w:szCs w:val="24"/>
        </w:rPr>
        <w:t xml:space="preserve">. Ils sont suivis par les chocs biophysiques (induits par les catastrophes naturelles ou climatiques) et </w:t>
      </w:r>
      <w:r>
        <w:rPr>
          <w:rFonts w:ascii="Times New Roman" w:hAnsi="Times New Roman"/>
          <w:color w:val="231F20"/>
          <w:sz w:val="24"/>
          <w:szCs w:val="24"/>
        </w:rPr>
        <w:t xml:space="preserve">qui </w:t>
      </w:r>
      <w:r w:rsidRPr="002D05BB">
        <w:rPr>
          <w:rFonts w:ascii="Times New Roman" w:hAnsi="Times New Roman"/>
          <w:color w:val="231F20"/>
          <w:sz w:val="24"/>
          <w:szCs w:val="24"/>
        </w:rPr>
        <w:t>compte</w:t>
      </w:r>
      <w:r>
        <w:rPr>
          <w:rFonts w:ascii="Times New Roman" w:hAnsi="Times New Roman"/>
          <w:color w:val="231F20"/>
          <w:sz w:val="24"/>
          <w:szCs w:val="24"/>
        </w:rPr>
        <w:t>nt</w:t>
      </w:r>
      <w:r w:rsidRPr="002D05BB">
        <w:rPr>
          <w:rFonts w:ascii="Times New Roman" w:hAnsi="Times New Roman"/>
          <w:color w:val="231F20"/>
          <w:sz w:val="24"/>
          <w:szCs w:val="24"/>
        </w:rPr>
        <w:t xml:space="preserve"> pour 31,9% des ménages. Enfin, 14,3% des ménages sont touché</w:t>
      </w:r>
      <w:r>
        <w:rPr>
          <w:rFonts w:ascii="Times New Roman" w:hAnsi="Times New Roman"/>
          <w:color w:val="231F20"/>
          <w:sz w:val="24"/>
          <w:szCs w:val="24"/>
        </w:rPr>
        <w:t>s par les chocs sociaux (</w:t>
      </w:r>
      <w:r w:rsidRPr="002D05BB">
        <w:rPr>
          <w:rFonts w:ascii="Times New Roman" w:hAnsi="Times New Roman"/>
          <w:color w:val="231F20"/>
          <w:sz w:val="24"/>
          <w:szCs w:val="24"/>
        </w:rPr>
        <w:t>maladie sérieuse ou l’accident d’un membre du ménage ou encore le décès d’un membre important du ménage</w:t>
      </w:r>
      <w:r>
        <w:rPr>
          <w:rFonts w:ascii="Times New Roman" w:hAnsi="Times New Roman"/>
          <w:color w:val="231F20"/>
          <w:sz w:val="24"/>
          <w:szCs w:val="24"/>
        </w:rPr>
        <w:t>)</w:t>
      </w:r>
      <w:r w:rsidRPr="002D05BB">
        <w:rPr>
          <w:rFonts w:ascii="Times New Roman" w:hAnsi="Times New Roman"/>
          <w:color w:val="231F20"/>
          <w:sz w:val="24"/>
          <w:szCs w:val="24"/>
        </w:rPr>
        <w:t>.</w:t>
      </w:r>
    </w:p>
    <w:p w:rsidR="00ED3BCD" w:rsidRPr="00A343EC" w:rsidRDefault="00ED3BCD" w:rsidP="00ED3BCD">
      <w:pPr>
        <w:pStyle w:val="Paragraphedeliste"/>
        <w:autoSpaceDE w:val="0"/>
        <w:autoSpaceDN w:val="0"/>
        <w:adjustRightInd w:val="0"/>
        <w:spacing w:line="276" w:lineRule="auto"/>
        <w:ind w:left="90" w:firstLine="240"/>
        <w:rPr>
          <w:rFonts w:ascii="Times New Roman" w:hAnsi="Times New Roman"/>
          <w:sz w:val="12"/>
          <w:szCs w:val="12"/>
        </w:rPr>
      </w:pPr>
    </w:p>
    <w:p w:rsidR="00ED3BCD" w:rsidRDefault="00ED3BCD" w:rsidP="00ED3BCD">
      <w:pPr>
        <w:pStyle w:val="Paragraphedeliste"/>
        <w:autoSpaceDE w:val="0"/>
        <w:autoSpaceDN w:val="0"/>
        <w:adjustRightInd w:val="0"/>
        <w:spacing w:line="276" w:lineRule="auto"/>
        <w:ind w:left="90"/>
        <w:rPr>
          <w:rFonts w:ascii="Times New Roman" w:hAnsi="Times New Roman"/>
          <w:sz w:val="24"/>
          <w:szCs w:val="24"/>
        </w:rPr>
      </w:pPr>
      <w:r>
        <w:rPr>
          <w:rFonts w:ascii="Times New Roman" w:hAnsi="Times New Roman"/>
          <w:color w:val="231F20"/>
          <w:sz w:val="24"/>
          <w:szCs w:val="24"/>
        </w:rPr>
        <w:t xml:space="preserve">Le tableau suivant présente pour les années 2008 et 2009, les chocs les plus importants pour les trois grands groupes de chocs considérés. Comme on peut le noter, les chocs les plus importants en 2009 sont liés à la pluviosité et aux fluctuations des prix. En outre, il </w:t>
      </w:r>
      <w:r w:rsidR="00A53AD3">
        <w:rPr>
          <w:rFonts w:ascii="Times New Roman" w:hAnsi="Times New Roman"/>
          <w:color w:val="231F20"/>
          <w:sz w:val="24"/>
          <w:szCs w:val="24"/>
        </w:rPr>
        <w:t xml:space="preserve">en </w:t>
      </w:r>
      <w:r>
        <w:rPr>
          <w:rFonts w:ascii="Times New Roman" w:hAnsi="Times New Roman"/>
          <w:color w:val="231F20"/>
          <w:sz w:val="24"/>
          <w:szCs w:val="24"/>
        </w:rPr>
        <w:t>ressort, une ampleur très variable des chocs subis par les ménages entre ces deux années</w:t>
      </w:r>
      <w:r w:rsidR="00A53AD3">
        <w:rPr>
          <w:rFonts w:ascii="Times New Roman" w:hAnsi="Times New Roman"/>
          <w:color w:val="231F20"/>
          <w:sz w:val="24"/>
          <w:szCs w:val="24"/>
        </w:rPr>
        <w:t>, traduisant le caractère discontinu et imprévisible de ces chocs</w:t>
      </w:r>
      <w:r>
        <w:rPr>
          <w:rFonts w:ascii="Times New Roman" w:hAnsi="Times New Roman"/>
          <w:color w:val="231F20"/>
          <w:sz w:val="24"/>
          <w:szCs w:val="24"/>
        </w:rPr>
        <w:t xml:space="preserve">. En effet, </w:t>
      </w:r>
      <w:r>
        <w:rPr>
          <w:rFonts w:ascii="Times New Roman" w:hAnsi="Times New Roman"/>
          <w:sz w:val="24"/>
          <w:szCs w:val="24"/>
        </w:rPr>
        <w:t xml:space="preserve">en comparaison avec 2008, les ménages </w:t>
      </w:r>
      <w:r w:rsidRPr="00532799">
        <w:rPr>
          <w:rFonts w:ascii="Times New Roman" w:hAnsi="Times New Roman"/>
          <w:sz w:val="24"/>
          <w:szCs w:val="24"/>
        </w:rPr>
        <w:t xml:space="preserve">ont </w:t>
      </w:r>
      <w:r>
        <w:rPr>
          <w:rFonts w:ascii="Times New Roman" w:hAnsi="Times New Roman"/>
          <w:sz w:val="24"/>
          <w:szCs w:val="24"/>
        </w:rPr>
        <w:t>subi</w:t>
      </w:r>
      <w:r w:rsidRPr="00532799">
        <w:rPr>
          <w:rFonts w:ascii="Times New Roman" w:hAnsi="Times New Roman"/>
          <w:sz w:val="24"/>
          <w:szCs w:val="24"/>
        </w:rPr>
        <w:t xml:space="preserve"> en 20</w:t>
      </w:r>
      <w:r>
        <w:rPr>
          <w:rFonts w:ascii="Times New Roman" w:hAnsi="Times New Roman"/>
          <w:sz w:val="24"/>
          <w:szCs w:val="24"/>
        </w:rPr>
        <w:t>09</w:t>
      </w:r>
      <w:r w:rsidR="004C74B7">
        <w:rPr>
          <w:rFonts w:ascii="Times New Roman" w:hAnsi="Times New Roman"/>
          <w:sz w:val="24"/>
          <w:szCs w:val="24"/>
        </w:rPr>
        <w:t xml:space="preserve"> </w:t>
      </w:r>
      <w:r>
        <w:rPr>
          <w:rFonts w:ascii="Times New Roman" w:hAnsi="Times New Roman"/>
          <w:sz w:val="24"/>
          <w:szCs w:val="24"/>
        </w:rPr>
        <w:t>plus de</w:t>
      </w:r>
      <w:r w:rsidRPr="00532799">
        <w:rPr>
          <w:rFonts w:ascii="Times New Roman" w:hAnsi="Times New Roman"/>
          <w:sz w:val="24"/>
          <w:szCs w:val="24"/>
        </w:rPr>
        <w:t xml:space="preserve"> chocs économiques et biophysiques qu</w:t>
      </w:r>
      <w:r>
        <w:rPr>
          <w:rFonts w:ascii="Times New Roman" w:hAnsi="Times New Roman"/>
          <w:sz w:val="24"/>
          <w:szCs w:val="24"/>
        </w:rPr>
        <w:t xml:space="preserve">e de </w:t>
      </w:r>
      <w:r w:rsidRPr="00532799">
        <w:rPr>
          <w:rFonts w:ascii="Times New Roman" w:hAnsi="Times New Roman"/>
          <w:sz w:val="24"/>
          <w:szCs w:val="24"/>
        </w:rPr>
        <w:t xml:space="preserve">chocs sociaux. </w:t>
      </w:r>
      <w:r w:rsidR="004A1128">
        <w:rPr>
          <w:rFonts w:ascii="Times New Roman" w:hAnsi="Times New Roman"/>
          <w:sz w:val="24"/>
          <w:szCs w:val="24"/>
        </w:rPr>
        <w:t>E</w:t>
      </w:r>
      <w:r w:rsidR="004A1128" w:rsidRPr="00532799">
        <w:rPr>
          <w:rFonts w:ascii="Times New Roman" w:hAnsi="Times New Roman"/>
          <w:sz w:val="24"/>
          <w:szCs w:val="24"/>
        </w:rPr>
        <w:t>n 2008,</w:t>
      </w:r>
      <w:r w:rsidR="004A1128">
        <w:rPr>
          <w:rFonts w:ascii="Times New Roman" w:hAnsi="Times New Roman"/>
          <w:sz w:val="24"/>
          <w:szCs w:val="24"/>
        </w:rPr>
        <w:t xml:space="preserve"> l</w:t>
      </w:r>
      <w:r w:rsidR="004A1128" w:rsidRPr="002D1811">
        <w:rPr>
          <w:rFonts w:ascii="Times New Roman" w:hAnsi="Times New Roman"/>
          <w:bCs/>
          <w:sz w:val="24"/>
          <w:szCs w:val="24"/>
          <w:lang w:eastAsia="fr-FR"/>
        </w:rPr>
        <w:t>es chocs sociaux (maladie sérieuse ou accident d’un membre du ménage, et décès) représentent plus de la moitié (54%) des chocs affectant les ménages</w:t>
      </w:r>
      <w:r w:rsidR="004A1128">
        <w:rPr>
          <w:rFonts w:ascii="Times New Roman" w:hAnsi="Times New Roman"/>
          <w:bCs/>
          <w:sz w:val="24"/>
          <w:szCs w:val="24"/>
          <w:lang w:eastAsia="fr-FR"/>
        </w:rPr>
        <w:t xml:space="preserve"> </w:t>
      </w:r>
      <w:r w:rsidR="004A1128" w:rsidRPr="00532799">
        <w:rPr>
          <w:rFonts w:ascii="Times New Roman" w:hAnsi="Times New Roman"/>
          <w:sz w:val="24"/>
          <w:szCs w:val="24"/>
        </w:rPr>
        <w:t xml:space="preserve"> seulement le sixième de cette proportion (9,9%) en 20</w:t>
      </w:r>
      <w:r w:rsidR="004A1128">
        <w:rPr>
          <w:rFonts w:ascii="Times New Roman" w:hAnsi="Times New Roman"/>
          <w:sz w:val="24"/>
          <w:szCs w:val="24"/>
        </w:rPr>
        <w:t>09</w:t>
      </w:r>
      <w:r w:rsidR="004A1128" w:rsidRPr="00532799">
        <w:rPr>
          <w:rFonts w:ascii="Times New Roman" w:hAnsi="Times New Roman"/>
          <w:sz w:val="24"/>
          <w:szCs w:val="24"/>
        </w:rPr>
        <w:t>.</w:t>
      </w:r>
      <w:r w:rsidR="004A1128">
        <w:rPr>
          <w:rFonts w:ascii="Times New Roman" w:hAnsi="Times New Roman"/>
          <w:sz w:val="24"/>
          <w:szCs w:val="24"/>
        </w:rPr>
        <w:t xml:space="preserve"> Cette tendance pourrait aussi s’expliquer par le fait que ce sont les principaux chocs qui ont été mis en exergue dans les trois catégories de chocs identifiés.</w:t>
      </w:r>
    </w:p>
    <w:p w:rsidR="004D3255" w:rsidRDefault="004D3255" w:rsidP="00ED3BCD">
      <w:pPr>
        <w:autoSpaceDE w:val="0"/>
        <w:autoSpaceDN w:val="0"/>
        <w:adjustRightInd w:val="0"/>
        <w:spacing w:line="276" w:lineRule="auto"/>
        <w:jc w:val="left"/>
        <w:rPr>
          <w:rFonts w:ascii="Times New Roman" w:hAnsi="Times New Roman"/>
          <w:b/>
          <w:sz w:val="16"/>
          <w:szCs w:val="24"/>
          <w:u w:val="single"/>
        </w:rPr>
      </w:pPr>
    </w:p>
    <w:tbl>
      <w:tblPr>
        <w:tblW w:w="8613" w:type="dxa"/>
        <w:tblInd w:w="250" w:type="dxa"/>
        <w:tblLook w:val="04A0" w:firstRow="1" w:lastRow="0" w:firstColumn="1" w:lastColumn="0" w:noHBand="0" w:noVBand="1"/>
      </w:tblPr>
      <w:tblGrid>
        <w:gridCol w:w="6031"/>
        <w:gridCol w:w="1291"/>
        <w:gridCol w:w="1291"/>
      </w:tblGrid>
      <w:tr w:rsidR="00907057" w:rsidRPr="00907057" w:rsidTr="00907057">
        <w:trPr>
          <w:trHeight w:val="308"/>
        </w:trPr>
        <w:tc>
          <w:tcPr>
            <w:tcW w:w="8613" w:type="dxa"/>
            <w:gridSpan w:val="3"/>
            <w:tcBorders>
              <w:left w:val="nil"/>
              <w:bottom w:val="double" w:sz="6" w:space="0" w:color="000000"/>
              <w:right w:val="nil"/>
            </w:tcBorders>
            <w:shd w:val="clear" w:color="auto" w:fill="92CDDC" w:themeFill="accent5" w:themeFillTint="99"/>
            <w:noWrap/>
            <w:vAlign w:val="center"/>
            <w:hideMark/>
          </w:tcPr>
          <w:p w:rsidR="00907057" w:rsidRPr="00907057" w:rsidRDefault="00907057" w:rsidP="00907057">
            <w:pPr>
              <w:spacing w:line="276" w:lineRule="auto"/>
              <w:jc w:val="left"/>
              <w:rPr>
                <w:rFonts w:ascii="Times New Roman" w:eastAsia="Times New Roman" w:hAnsi="Times New Roman"/>
                <w:bCs/>
                <w:color w:val="000000"/>
                <w:sz w:val="24"/>
                <w:szCs w:val="24"/>
              </w:rPr>
            </w:pPr>
            <w:bookmarkStart w:id="91" w:name="_Toc369714588"/>
            <w:bookmarkStart w:id="92" w:name="_Toc369720451"/>
            <w:r w:rsidRPr="00907057">
              <w:rPr>
                <w:rFonts w:ascii="Times New Roman" w:hAnsi="Times New Roman"/>
                <w:sz w:val="24"/>
                <w:szCs w:val="24"/>
              </w:rPr>
              <w:t>Tableau 3.</w:t>
            </w:r>
            <w:r w:rsidR="00182C97" w:rsidRPr="00907057">
              <w:rPr>
                <w:rFonts w:ascii="Times New Roman" w:hAnsi="Times New Roman"/>
                <w:sz w:val="24"/>
                <w:szCs w:val="24"/>
              </w:rPr>
              <w:fldChar w:fldCharType="begin"/>
            </w:r>
            <w:r w:rsidRPr="00907057">
              <w:rPr>
                <w:rFonts w:ascii="Times New Roman" w:hAnsi="Times New Roman"/>
                <w:sz w:val="24"/>
                <w:szCs w:val="24"/>
              </w:rPr>
              <w:instrText xml:space="preserve"> SEQ Tableau_3. \* ARABIC </w:instrText>
            </w:r>
            <w:r w:rsidR="00182C97" w:rsidRPr="00907057">
              <w:rPr>
                <w:rFonts w:ascii="Times New Roman" w:hAnsi="Times New Roman"/>
                <w:sz w:val="24"/>
                <w:szCs w:val="24"/>
              </w:rPr>
              <w:fldChar w:fldCharType="separate"/>
            </w:r>
            <w:r w:rsidR="00AB1967">
              <w:rPr>
                <w:rFonts w:ascii="Times New Roman" w:hAnsi="Times New Roman"/>
                <w:noProof/>
                <w:sz w:val="24"/>
                <w:szCs w:val="24"/>
              </w:rPr>
              <w:t>1</w:t>
            </w:r>
            <w:r w:rsidR="00182C97" w:rsidRPr="00907057">
              <w:rPr>
                <w:rFonts w:ascii="Times New Roman" w:hAnsi="Times New Roman"/>
                <w:sz w:val="24"/>
                <w:szCs w:val="24"/>
              </w:rPr>
              <w:fldChar w:fldCharType="end"/>
            </w:r>
            <w:r w:rsidRPr="00907057">
              <w:rPr>
                <w:rFonts w:ascii="Times New Roman" w:hAnsi="Times New Roman"/>
                <w:sz w:val="24"/>
                <w:szCs w:val="24"/>
              </w:rPr>
              <w:t>: Les trois chocs prépondérants par grands groupes de chocs</w:t>
            </w:r>
            <w:bookmarkEnd w:id="91"/>
            <w:bookmarkEnd w:id="92"/>
          </w:p>
        </w:tc>
      </w:tr>
      <w:tr w:rsidR="006323D4" w:rsidRPr="00394FEA" w:rsidTr="00907057">
        <w:trPr>
          <w:trHeight w:val="308"/>
        </w:trPr>
        <w:tc>
          <w:tcPr>
            <w:tcW w:w="6031" w:type="dxa"/>
            <w:tcBorders>
              <w:top w:val="double" w:sz="6" w:space="0" w:color="000000"/>
              <w:left w:val="nil"/>
              <w:bottom w:val="single" w:sz="4" w:space="0" w:color="auto"/>
              <w:right w:val="nil"/>
            </w:tcBorders>
            <w:shd w:val="clear" w:color="auto" w:fill="DAEEF3" w:themeFill="accent5" w:themeFillTint="33"/>
            <w:noWrap/>
            <w:vAlign w:val="center"/>
            <w:hideMark/>
          </w:tcPr>
          <w:p w:rsidR="006323D4" w:rsidRPr="00394FEA" w:rsidRDefault="006323D4" w:rsidP="00394FEA">
            <w:pPr>
              <w:spacing w:line="276" w:lineRule="auto"/>
              <w:jc w:val="center"/>
              <w:rPr>
                <w:rFonts w:ascii="Times New Roman" w:eastAsia="Times New Roman" w:hAnsi="Times New Roman"/>
                <w:bCs/>
                <w:color w:val="000000"/>
                <w:lang w:val="en-US"/>
              </w:rPr>
            </w:pPr>
            <w:r w:rsidRPr="00394FEA">
              <w:rPr>
                <w:rFonts w:ascii="Times New Roman" w:hAnsi="Times New Roman"/>
                <w:sz w:val="24"/>
                <w:szCs w:val="24"/>
              </w:rPr>
              <w:tab/>
            </w:r>
            <w:r w:rsidRPr="00394FEA">
              <w:rPr>
                <w:rFonts w:ascii="Times New Roman" w:eastAsia="Times New Roman" w:hAnsi="Times New Roman"/>
                <w:bCs/>
                <w:color w:val="000000"/>
                <w:lang w:val="en-US"/>
              </w:rPr>
              <w:t>Types de choc</w:t>
            </w:r>
          </w:p>
        </w:tc>
        <w:tc>
          <w:tcPr>
            <w:tcW w:w="1291" w:type="dxa"/>
            <w:tcBorders>
              <w:top w:val="double" w:sz="6" w:space="0" w:color="000000"/>
              <w:left w:val="nil"/>
              <w:bottom w:val="single" w:sz="4" w:space="0" w:color="auto"/>
              <w:right w:val="nil"/>
            </w:tcBorders>
            <w:shd w:val="clear" w:color="auto" w:fill="DAEEF3" w:themeFill="accent5" w:themeFillTint="33"/>
            <w:noWrap/>
            <w:vAlign w:val="center"/>
            <w:hideMark/>
          </w:tcPr>
          <w:p w:rsidR="006323D4" w:rsidRPr="00394FEA" w:rsidRDefault="004A1128" w:rsidP="004A1128">
            <w:pPr>
              <w:spacing w:line="276" w:lineRule="auto"/>
              <w:jc w:val="center"/>
              <w:rPr>
                <w:rFonts w:ascii="Times New Roman" w:eastAsia="Times New Roman" w:hAnsi="Times New Roman"/>
                <w:bCs/>
                <w:color w:val="000000"/>
                <w:lang w:val="en-US"/>
              </w:rPr>
            </w:pPr>
            <w:r w:rsidRPr="00394FEA">
              <w:rPr>
                <w:rFonts w:ascii="Times New Roman" w:eastAsia="Times New Roman" w:hAnsi="Times New Roman"/>
                <w:bCs/>
                <w:color w:val="000000"/>
                <w:lang w:val="en-US"/>
              </w:rPr>
              <w:t>20</w:t>
            </w:r>
            <w:r>
              <w:rPr>
                <w:rFonts w:ascii="Times New Roman" w:eastAsia="Times New Roman" w:hAnsi="Times New Roman"/>
                <w:bCs/>
                <w:color w:val="000000"/>
                <w:lang w:val="en-US"/>
              </w:rPr>
              <w:t>09</w:t>
            </w:r>
          </w:p>
        </w:tc>
        <w:tc>
          <w:tcPr>
            <w:tcW w:w="1291" w:type="dxa"/>
            <w:tcBorders>
              <w:top w:val="double" w:sz="6" w:space="0" w:color="000000"/>
              <w:left w:val="nil"/>
              <w:bottom w:val="single" w:sz="4" w:space="0" w:color="auto"/>
              <w:right w:val="nil"/>
            </w:tcBorders>
            <w:shd w:val="clear" w:color="auto" w:fill="DAEEF3" w:themeFill="accent5" w:themeFillTint="33"/>
            <w:noWrap/>
            <w:vAlign w:val="center"/>
            <w:hideMark/>
          </w:tcPr>
          <w:p w:rsidR="006323D4" w:rsidRPr="00394FEA" w:rsidRDefault="006323D4" w:rsidP="00394FEA">
            <w:pPr>
              <w:spacing w:line="276" w:lineRule="auto"/>
              <w:jc w:val="center"/>
              <w:rPr>
                <w:rFonts w:ascii="Times New Roman" w:eastAsia="Times New Roman" w:hAnsi="Times New Roman"/>
                <w:bCs/>
                <w:color w:val="000000"/>
                <w:lang w:val="en-US"/>
              </w:rPr>
            </w:pPr>
            <w:r w:rsidRPr="00394FEA">
              <w:rPr>
                <w:rFonts w:ascii="Times New Roman" w:eastAsia="Times New Roman" w:hAnsi="Times New Roman"/>
                <w:bCs/>
                <w:color w:val="000000"/>
                <w:lang w:val="en-US"/>
              </w:rPr>
              <w:t>2008</w:t>
            </w:r>
          </w:p>
        </w:tc>
      </w:tr>
      <w:tr w:rsidR="006323D4" w:rsidRPr="006E43B4" w:rsidTr="00DA63AC">
        <w:trPr>
          <w:trHeight w:val="323"/>
        </w:trPr>
        <w:tc>
          <w:tcPr>
            <w:tcW w:w="6031" w:type="dxa"/>
            <w:tcBorders>
              <w:top w:val="single" w:sz="4" w:space="0" w:color="auto"/>
              <w:left w:val="nil"/>
              <w:bottom w:val="nil"/>
              <w:right w:val="nil"/>
            </w:tcBorders>
            <w:shd w:val="clear" w:color="auto" w:fill="DAEEF3" w:themeFill="accent5" w:themeFillTint="33"/>
            <w:noWrap/>
            <w:vAlign w:val="bottom"/>
            <w:hideMark/>
          </w:tcPr>
          <w:p w:rsidR="006323D4" w:rsidRPr="006E43B4" w:rsidRDefault="006323D4" w:rsidP="00394FEA">
            <w:pPr>
              <w:spacing w:before="120" w:after="120" w:line="276" w:lineRule="auto"/>
              <w:jc w:val="left"/>
              <w:rPr>
                <w:rFonts w:ascii="Times New Roman" w:eastAsia="Times New Roman" w:hAnsi="Times New Roman"/>
                <w:b/>
                <w:bCs/>
                <w:color w:val="000000"/>
                <w:lang w:val="en-US"/>
              </w:rPr>
            </w:pPr>
            <w:r w:rsidRPr="006E43B4">
              <w:rPr>
                <w:rFonts w:ascii="Times New Roman" w:eastAsia="Times New Roman" w:hAnsi="Times New Roman"/>
                <w:b/>
                <w:bCs/>
                <w:color w:val="000000"/>
                <w:sz w:val="20"/>
                <w:lang w:val="en-US"/>
              </w:rPr>
              <w:t>Economiques</w:t>
            </w:r>
          </w:p>
        </w:tc>
        <w:tc>
          <w:tcPr>
            <w:tcW w:w="1291" w:type="dxa"/>
            <w:tcBorders>
              <w:top w:val="single" w:sz="4" w:space="0" w:color="auto"/>
              <w:left w:val="nil"/>
              <w:bottom w:val="nil"/>
              <w:right w:val="nil"/>
            </w:tcBorders>
            <w:shd w:val="clear" w:color="auto" w:fill="DAEEF3" w:themeFill="accent5" w:themeFillTint="33"/>
            <w:noWrap/>
            <w:vAlign w:val="center"/>
            <w:hideMark/>
          </w:tcPr>
          <w:p w:rsidR="006323D4" w:rsidRPr="006E43B4" w:rsidRDefault="006323D4" w:rsidP="00394FEA">
            <w:pPr>
              <w:spacing w:line="276" w:lineRule="auto"/>
              <w:jc w:val="center"/>
              <w:rPr>
                <w:rFonts w:ascii="Times New Roman" w:eastAsia="Times New Roman" w:hAnsi="Times New Roman"/>
                <w:b/>
                <w:bCs/>
                <w:color w:val="000000"/>
                <w:sz w:val="20"/>
                <w:lang w:val="en-US"/>
              </w:rPr>
            </w:pPr>
            <w:r w:rsidRPr="006E43B4">
              <w:rPr>
                <w:rFonts w:ascii="Times New Roman" w:eastAsia="Times New Roman" w:hAnsi="Times New Roman"/>
                <w:b/>
                <w:bCs/>
                <w:color w:val="000000"/>
                <w:sz w:val="20"/>
                <w:lang w:val="en-US"/>
              </w:rPr>
              <w:t>38,1</w:t>
            </w:r>
          </w:p>
        </w:tc>
        <w:tc>
          <w:tcPr>
            <w:tcW w:w="1291" w:type="dxa"/>
            <w:tcBorders>
              <w:top w:val="single" w:sz="4" w:space="0" w:color="auto"/>
              <w:left w:val="nil"/>
              <w:bottom w:val="nil"/>
              <w:right w:val="nil"/>
            </w:tcBorders>
            <w:shd w:val="clear" w:color="auto" w:fill="DAEEF3" w:themeFill="accent5" w:themeFillTint="33"/>
            <w:noWrap/>
            <w:vAlign w:val="center"/>
            <w:hideMark/>
          </w:tcPr>
          <w:p w:rsidR="006323D4" w:rsidRPr="006E43B4" w:rsidRDefault="006323D4" w:rsidP="00394FEA">
            <w:pPr>
              <w:spacing w:line="276" w:lineRule="auto"/>
              <w:jc w:val="center"/>
              <w:rPr>
                <w:rFonts w:ascii="Times New Roman" w:eastAsia="Times New Roman" w:hAnsi="Times New Roman"/>
                <w:b/>
                <w:bCs/>
                <w:color w:val="000000"/>
                <w:sz w:val="20"/>
                <w:lang w:val="en-US"/>
              </w:rPr>
            </w:pPr>
            <w:r w:rsidRPr="006E43B4">
              <w:rPr>
                <w:rFonts w:ascii="Times New Roman" w:eastAsia="Times New Roman" w:hAnsi="Times New Roman"/>
                <w:b/>
                <w:bCs/>
                <w:color w:val="000000"/>
                <w:sz w:val="20"/>
                <w:lang w:val="en-US"/>
              </w:rPr>
              <w:t>23,0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Augmentation du prix d'achat des produits alimentaires</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20,3</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14,0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Revenu réduit d'un membre du ménage</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10,0</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6,0</w:t>
            </w:r>
          </w:p>
        </w:tc>
      </w:tr>
      <w:tr w:rsidR="006323D4" w:rsidRPr="00347C17" w:rsidTr="00DA63AC">
        <w:trPr>
          <w:trHeight w:val="308"/>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Augmentation du prix d'achat des produits non alimentaires</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7,9</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0,0-</w:t>
            </w:r>
          </w:p>
        </w:tc>
      </w:tr>
      <w:tr w:rsidR="006323D4" w:rsidRPr="00347C17" w:rsidTr="00DA63AC">
        <w:trPr>
          <w:trHeight w:val="308"/>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Perte/Manque d'emploi d'un membre du ménage</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rPr>
            </w:pPr>
            <w:r w:rsidRPr="00347C17">
              <w:rPr>
                <w:rFonts w:ascii="Times New Roman" w:eastAsia="Times New Roman" w:hAnsi="Times New Roman"/>
                <w:color w:val="000000"/>
                <w:sz w:val="20"/>
              </w:rPr>
              <w:t>0,0</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3,0</w:t>
            </w:r>
          </w:p>
        </w:tc>
      </w:tr>
      <w:tr w:rsidR="006323D4" w:rsidRPr="006E43B4"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6E43B4" w:rsidRDefault="006323D4" w:rsidP="00394FEA">
            <w:pPr>
              <w:spacing w:before="120" w:after="120" w:line="276" w:lineRule="auto"/>
              <w:jc w:val="left"/>
              <w:rPr>
                <w:rFonts w:ascii="Times New Roman" w:eastAsia="Times New Roman" w:hAnsi="Times New Roman"/>
                <w:b/>
                <w:bCs/>
                <w:color w:val="000000"/>
                <w:lang w:val="en-US"/>
              </w:rPr>
            </w:pPr>
            <w:r w:rsidRPr="006E43B4">
              <w:rPr>
                <w:rFonts w:ascii="Times New Roman" w:eastAsia="Times New Roman" w:hAnsi="Times New Roman"/>
                <w:b/>
                <w:bCs/>
                <w:color w:val="000000"/>
                <w:sz w:val="20"/>
                <w:lang w:val="en-US"/>
              </w:rPr>
              <w:t>Biophysiques</w:t>
            </w:r>
          </w:p>
        </w:tc>
        <w:tc>
          <w:tcPr>
            <w:tcW w:w="1291" w:type="dxa"/>
            <w:tcBorders>
              <w:top w:val="nil"/>
              <w:left w:val="nil"/>
              <w:bottom w:val="nil"/>
              <w:right w:val="nil"/>
            </w:tcBorders>
            <w:shd w:val="clear" w:color="auto" w:fill="DAEEF3" w:themeFill="accent5" w:themeFillTint="33"/>
            <w:noWrap/>
            <w:vAlign w:val="center"/>
            <w:hideMark/>
          </w:tcPr>
          <w:p w:rsidR="006323D4" w:rsidRPr="006E43B4" w:rsidRDefault="006323D4" w:rsidP="00394FEA">
            <w:pPr>
              <w:spacing w:line="276" w:lineRule="auto"/>
              <w:jc w:val="center"/>
              <w:rPr>
                <w:rFonts w:ascii="Times New Roman" w:eastAsia="Times New Roman" w:hAnsi="Times New Roman"/>
                <w:b/>
                <w:bCs/>
                <w:color w:val="000000"/>
                <w:sz w:val="20"/>
                <w:lang w:val="en-US"/>
              </w:rPr>
            </w:pPr>
            <w:r w:rsidRPr="006E43B4">
              <w:rPr>
                <w:rFonts w:ascii="Times New Roman" w:eastAsia="Times New Roman" w:hAnsi="Times New Roman"/>
                <w:b/>
                <w:bCs/>
                <w:color w:val="000000"/>
                <w:sz w:val="20"/>
                <w:lang w:val="en-US"/>
              </w:rPr>
              <w:t>28,3</w:t>
            </w:r>
          </w:p>
        </w:tc>
        <w:tc>
          <w:tcPr>
            <w:tcW w:w="1291" w:type="dxa"/>
            <w:tcBorders>
              <w:top w:val="nil"/>
              <w:left w:val="nil"/>
              <w:bottom w:val="nil"/>
              <w:right w:val="nil"/>
            </w:tcBorders>
            <w:shd w:val="clear" w:color="auto" w:fill="DAEEF3" w:themeFill="accent5" w:themeFillTint="33"/>
            <w:noWrap/>
            <w:vAlign w:val="center"/>
            <w:hideMark/>
          </w:tcPr>
          <w:p w:rsidR="006323D4" w:rsidRPr="006E43B4" w:rsidRDefault="006323D4" w:rsidP="00394FEA">
            <w:pPr>
              <w:spacing w:line="276" w:lineRule="auto"/>
              <w:jc w:val="center"/>
              <w:rPr>
                <w:rFonts w:ascii="Times New Roman" w:eastAsia="Times New Roman" w:hAnsi="Times New Roman"/>
                <w:b/>
                <w:bCs/>
                <w:color w:val="000000"/>
                <w:sz w:val="20"/>
                <w:lang w:val="en-US"/>
              </w:rPr>
            </w:pPr>
            <w:r w:rsidRPr="006E43B4">
              <w:rPr>
                <w:rFonts w:ascii="Times New Roman" w:eastAsia="Times New Roman" w:hAnsi="Times New Roman"/>
                <w:b/>
                <w:bCs/>
                <w:color w:val="000000"/>
                <w:sz w:val="20"/>
                <w:lang w:val="en-US"/>
              </w:rPr>
              <w:t>19,0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lang w:val="en-US"/>
              </w:rPr>
            </w:pPr>
            <w:r w:rsidRPr="00347C17">
              <w:rPr>
                <w:rFonts w:ascii="Times New Roman" w:eastAsia="Times New Roman" w:hAnsi="Times New Roman"/>
                <w:iCs/>
                <w:color w:val="000000"/>
                <w:sz w:val="20"/>
                <w:szCs w:val="20"/>
                <w:lang w:val="en-US"/>
              </w:rPr>
              <w:t>Pluiestardives/Sécheresse</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17,0</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5,0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lang w:val="en-US"/>
              </w:rPr>
            </w:pPr>
            <w:r w:rsidRPr="00347C17">
              <w:rPr>
                <w:rFonts w:ascii="Times New Roman" w:eastAsia="Times New Roman" w:hAnsi="Times New Roman"/>
                <w:iCs/>
                <w:color w:val="000000"/>
                <w:sz w:val="20"/>
                <w:szCs w:val="20"/>
                <w:lang w:val="en-US"/>
              </w:rPr>
              <w:t>Pluiesdiluviennes/Inondations</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7,4</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9,0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lang w:val="en-US"/>
              </w:rPr>
            </w:pPr>
            <w:r w:rsidRPr="00347C17">
              <w:rPr>
                <w:rFonts w:ascii="Times New Roman" w:eastAsia="Times New Roman" w:hAnsi="Times New Roman"/>
                <w:iCs/>
                <w:color w:val="000000"/>
                <w:sz w:val="20"/>
                <w:szCs w:val="20"/>
                <w:lang w:val="en-US"/>
              </w:rPr>
              <w:t>Maladies des cultures</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3,8</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0,0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lang w:val="en-US"/>
              </w:rPr>
            </w:pPr>
            <w:r w:rsidRPr="00347C17">
              <w:rPr>
                <w:rFonts w:ascii="Times New Roman" w:eastAsia="Times New Roman" w:hAnsi="Times New Roman"/>
                <w:iCs/>
                <w:color w:val="000000"/>
                <w:sz w:val="20"/>
                <w:szCs w:val="20"/>
                <w:lang w:val="en-US"/>
              </w:rPr>
              <w:t>Maladies infectueuses du bétail</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0,0</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5,0</w:t>
            </w:r>
          </w:p>
        </w:tc>
      </w:tr>
      <w:tr w:rsidR="006323D4" w:rsidRPr="00E863ED"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E863ED" w:rsidRDefault="006323D4" w:rsidP="00394FEA">
            <w:pPr>
              <w:spacing w:before="120" w:after="120" w:line="276" w:lineRule="auto"/>
              <w:jc w:val="left"/>
              <w:rPr>
                <w:rFonts w:ascii="Times New Roman" w:eastAsia="Times New Roman" w:hAnsi="Times New Roman"/>
                <w:b/>
                <w:bCs/>
                <w:color w:val="000000"/>
                <w:lang w:val="en-US"/>
              </w:rPr>
            </w:pPr>
            <w:r w:rsidRPr="00E863ED">
              <w:rPr>
                <w:rFonts w:ascii="Times New Roman" w:eastAsia="Times New Roman" w:hAnsi="Times New Roman"/>
                <w:b/>
                <w:bCs/>
                <w:color w:val="000000"/>
                <w:lang w:val="en-US"/>
              </w:rPr>
              <w:t>Sociaux</w:t>
            </w:r>
          </w:p>
        </w:tc>
        <w:tc>
          <w:tcPr>
            <w:tcW w:w="1291" w:type="dxa"/>
            <w:tcBorders>
              <w:top w:val="nil"/>
              <w:left w:val="nil"/>
              <w:bottom w:val="nil"/>
              <w:right w:val="nil"/>
            </w:tcBorders>
            <w:shd w:val="clear" w:color="auto" w:fill="DAEEF3" w:themeFill="accent5" w:themeFillTint="33"/>
            <w:noWrap/>
            <w:vAlign w:val="center"/>
            <w:hideMark/>
          </w:tcPr>
          <w:p w:rsidR="006323D4" w:rsidRPr="00E863ED" w:rsidRDefault="006323D4" w:rsidP="00394FEA">
            <w:pPr>
              <w:spacing w:line="276" w:lineRule="auto"/>
              <w:jc w:val="center"/>
              <w:rPr>
                <w:rFonts w:ascii="Times New Roman" w:eastAsia="Times New Roman" w:hAnsi="Times New Roman"/>
                <w:b/>
                <w:bCs/>
                <w:color w:val="000000"/>
                <w:sz w:val="20"/>
                <w:lang w:val="en-US"/>
              </w:rPr>
            </w:pPr>
            <w:r w:rsidRPr="00E863ED">
              <w:rPr>
                <w:rFonts w:ascii="Times New Roman" w:eastAsia="Times New Roman" w:hAnsi="Times New Roman"/>
                <w:b/>
                <w:bCs/>
                <w:color w:val="000000"/>
                <w:sz w:val="20"/>
                <w:lang w:val="en-US"/>
              </w:rPr>
              <w:t>9,9</w:t>
            </w:r>
          </w:p>
        </w:tc>
        <w:tc>
          <w:tcPr>
            <w:tcW w:w="1291" w:type="dxa"/>
            <w:tcBorders>
              <w:top w:val="nil"/>
              <w:left w:val="nil"/>
              <w:bottom w:val="nil"/>
              <w:right w:val="nil"/>
            </w:tcBorders>
            <w:shd w:val="clear" w:color="auto" w:fill="DAEEF3" w:themeFill="accent5" w:themeFillTint="33"/>
            <w:noWrap/>
            <w:vAlign w:val="center"/>
            <w:hideMark/>
          </w:tcPr>
          <w:p w:rsidR="006323D4" w:rsidRPr="00E863ED" w:rsidRDefault="006323D4" w:rsidP="00394FEA">
            <w:pPr>
              <w:spacing w:line="276" w:lineRule="auto"/>
              <w:jc w:val="center"/>
              <w:rPr>
                <w:rFonts w:ascii="Times New Roman" w:eastAsia="Times New Roman" w:hAnsi="Times New Roman"/>
                <w:b/>
                <w:bCs/>
                <w:color w:val="000000"/>
                <w:sz w:val="20"/>
                <w:lang w:val="en-US"/>
              </w:rPr>
            </w:pPr>
            <w:r w:rsidRPr="00E863ED">
              <w:rPr>
                <w:rFonts w:ascii="Times New Roman" w:eastAsia="Times New Roman" w:hAnsi="Times New Roman"/>
                <w:b/>
                <w:bCs/>
                <w:color w:val="000000"/>
                <w:sz w:val="20"/>
                <w:lang w:val="en-US"/>
              </w:rPr>
              <w:t>54,0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Maladie sérieuse ou accident d'un membre du ménage</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6,0</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37,0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Décès d'un autre membre du ménage</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2,0</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12,0</w:t>
            </w:r>
          </w:p>
        </w:tc>
      </w:tr>
      <w:tr w:rsidR="006323D4" w:rsidRPr="00347C17" w:rsidTr="00DA63AC">
        <w:trPr>
          <w:trHeight w:val="294"/>
        </w:trPr>
        <w:tc>
          <w:tcPr>
            <w:tcW w:w="6031" w:type="dxa"/>
            <w:tcBorders>
              <w:top w:val="nil"/>
              <w:left w:val="nil"/>
              <w:bottom w:val="nil"/>
              <w:right w:val="nil"/>
            </w:tcBorders>
            <w:shd w:val="clear" w:color="auto" w:fill="DAEEF3" w:themeFill="accent5" w:themeFillTint="33"/>
            <w:noWrap/>
            <w:vAlign w:val="bottom"/>
            <w:hideMark/>
          </w:tcPr>
          <w:p w:rsidR="006323D4" w:rsidRPr="00347C17" w:rsidRDefault="006323D4" w:rsidP="00394FEA">
            <w:pPr>
              <w:spacing w:line="276" w:lineRule="auto"/>
              <w:jc w:val="left"/>
              <w:rPr>
                <w:rFonts w:ascii="Times New Roman" w:eastAsia="Times New Roman" w:hAnsi="Times New Roman"/>
                <w:iCs/>
                <w:color w:val="000000"/>
                <w:sz w:val="20"/>
                <w:szCs w:val="20"/>
              </w:rPr>
            </w:pPr>
            <w:r w:rsidRPr="00347C17">
              <w:rPr>
                <w:rFonts w:ascii="Times New Roman" w:eastAsia="Times New Roman" w:hAnsi="Times New Roman"/>
                <w:iCs/>
                <w:color w:val="000000"/>
                <w:sz w:val="20"/>
                <w:szCs w:val="20"/>
              </w:rPr>
              <w:t>Décès d'un membre actif du ménage</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1,9</w:t>
            </w:r>
          </w:p>
        </w:tc>
        <w:tc>
          <w:tcPr>
            <w:tcW w:w="1291" w:type="dxa"/>
            <w:tcBorders>
              <w:top w:val="nil"/>
              <w:left w:val="nil"/>
              <w:bottom w:val="nil"/>
              <w:right w:val="nil"/>
            </w:tcBorders>
            <w:shd w:val="clear" w:color="auto" w:fill="DAEEF3" w:themeFill="accent5" w:themeFillTint="33"/>
            <w:noWrap/>
            <w:vAlign w:val="center"/>
            <w:hideMark/>
          </w:tcPr>
          <w:p w:rsidR="006323D4" w:rsidRPr="00347C17" w:rsidRDefault="006323D4" w:rsidP="00394FEA">
            <w:pPr>
              <w:spacing w:line="276" w:lineRule="auto"/>
              <w:jc w:val="center"/>
              <w:rPr>
                <w:rFonts w:ascii="Times New Roman" w:eastAsia="Times New Roman" w:hAnsi="Times New Roman"/>
                <w:color w:val="000000"/>
                <w:sz w:val="20"/>
                <w:lang w:val="en-US"/>
              </w:rPr>
            </w:pPr>
            <w:r w:rsidRPr="00347C17">
              <w:rPr>
                <w:rFonts w:ascii="Times New Roman" w:eastAsia="Times New Roman" w:hAnsi="Times New Roman"/>
                <w:color w:val="000000"/>
                <w:sz w:val="20"/>
                <w:lang w:val="en-US"/>
              </w:rPr>
              <w:t>5,0</w:t>
            </w:r>
          </w:p>
        </w:tc>
      </w:tr>
      <w:tr w:rsidR="006323D4" w:rsidRPr="0004671A" w:rsidTr="00DA63AC">
        <w:trPr>
          <w:trHeight w:val="294"/>
        </w:trPr>
        <w:tc>
          <w:tcPr>
            <w:tcW w:w="6031" w:type="dxa"/>
            <w:tcBorders>
              <w:top w:val="nil"/>
              <w:left w:val="nil"/>
              <w:bottom w:val="double" w:sz="6" w:space="0" w:color="auto"/>
              <w:right w:val="nil"/>
            </w:tcBorders>
            <w:shd w:val="clear" w:color="auto" w:fill="DAEEF3" w:themeFill="accent5" w:themeFillTint="33"/>
            <w:noWrap/>
            <w:vAlign w:val="bottom"/>
            <w:hideMark/>
          </w:tcPr>
          <w:p w:rsidR="006323D4" w:rsidRPr="0004671A" w:rsidRDefault="006323D4" w:rsidP="00394FEA">
            <w:pPr>
              <w:spacing w:before="120" w:after="120" w:line="276" w:lineRule="auto"/>
              <w:jc w:val="left"/>
              <w:rPr>
                <w:rFonts w:ascii="Times New Roman" w:eastAsia="Times New Roman" w:hAnsi="Times New Roman"/>
                <w:b/>
                <w:bCs/>
                <w:color w:val="000000"/>
                <w:sz w:val="20"/>
                <w:szCs w:val="20"/>
                <w:lang w:val="en-US"/>
              </w:rPr>
            </w:pPr>
            <w:r w:rsidRPr="0004671A">
              <w:rPr>
                <w:rFonts w:ascii="Times New Roman" w:eastAsia="Times New Roman" w:hAnsi="Times New Roman"/>
                <w:b/>
                <w:bCs/>
                <w:color w:val="000000"/>
                <w:sz w:val="20"/>
                <w:szCs w:val="20"/>
                <w:lang w:val="en-US"/>
              </w:rPr>
              <w:t>Autres</w:t>
            </w:r>
          </w:p>
        </w:tc>
        <w:tc>
          <w:tcPr>
            <w:tcW w:w="1291" w:type="dxa"/>
            <w:tcBorders>
              <w:top w:val="nil"/>
              <w:left w:val="nil"/>
              <w:bottom w:val="double" w:sz="6" w:space="0" w:color="auto"/>
              <w:right w:val="nil"/>
            </w:tcBorders>
            <w:shd w:val="clear" w:color="auto" w:fill="DAEEF3" w:themeFill="accent5" w:themeFillTint="33"/>
            <w:noWrap/>
            <w:vAlign w:val="center"/>
            <w:hideMark/>
          </w:tcPr>
          <w:p w:rsidR="006323D4" w:rsidRPr="0004671A" w:rsidRDefault="006323D4" w:rsidP="00394FEA">
            <w:pPr>
              <w:spacing w:line="276" w:lineRule="auto"/>
              <w:jc w:val="center"/>
              <w:rPr>
                <w:rFonts w:ascii="Times New Roman" w:eastAsia="Times New Roman" w:hAnsi="Times New Roman"/>
                <w:b/>
                <w:bCs/>
                <w:color w:val="000000"/>
                <w:sz w:val="20"/>
                <w:szCs w:val="20"/>
                <w:lang w:val="en-US"/>
              </w:rPr>
            </w:pPr>
            <w:r w:rsidRPr="0004671A">
              <w:rPr>
                <w:rFonts w:ascii="Times New Roman" w:eastAsia="Times New Roman" w:hAnsi="Times New Roman"/>
                <w:b/>
                <w:bCs/>
                <w:color w:val="000000"/>
                <w:sz w:val="20"/>
                <w:szCs w:val="20"/>
                <w:lang w:val="en-US"/>
              </w:rPr>
              <w:t>23,7</w:t>
            </w:r>
          </w:p>
        </w:tc>
        <w:tc>
          <w:tcPr>
            <w:tcW w:w="1291" w:type="dxa"/>
            <w:tcBorders>
              <w:top w:val="nil"/>
              <w:left w:val="nil"/>
              <w:bottom w:val="double" w:sz="6" w:space="0" w:color="auto"/>
              <w:right w:val="nil"/>
            </w:tcBorders>
            <w:shd w:val="clear" w:color="auto" w:fill="DAEEF3" w:themeFill="accent5" w:themeFillTint="33"/>
            <w:noWrap/>
            <w:vAlign w:val="center"/>
            <w:hideMark/>
          </w:tcPr>
          <w:p w:rsidR="006323D4" w:rsidRPr="0004671A" w:rsidRDefault="006323D4" w:rsidP="00394FEA">
            <w:pPr>
              <w:spacing w:line="276" w:lineRule="auto"/>
              <w:jc w:val="center"/>
              <w:rPr>
                <w:rFonts w:ascii="Times New Roman" w:eastAsia="Times New Roman" w:hAnsi="Times New Roman"/>
                <w:b/>
                <w:bCs/>
                <w:color w:val="000000"/>
                <w:sz w:val="20"/>
                <w:szCs w:val="20"/>
                <w:lang w:val="en-US"/>
              </w:rPr>
            </w:pPr>
            <w:r w:rsidRPr="0004671A">
              <w:rPr>
                <w:rFonts w:ascii="Times New Roman" w:eastAsia="Times New Roman" w:hAnsi="Times New Roman"/>
                <w:b/>
                <w:bCs/>
                <w:color w:val="000000"/>
                <w:sz w:val="20"/>
                <w:szCs w:val="20"/>
                <w:lang w:val="en-US"/>
              </w:rPr>
              <w:t>4,0</w:t>
            </w:r>
          </w:p>
        </w:tc>
      </w:tr>
      <w:tr w:rsidR="006323D4" w:rsidRPr="006323D4" w:rsidTr="00DA63AC">
        <w:trPr>
          <w:trHeight w:val="294"/>
        </w:trPr>
        <w:tc>
          <w:tcPr>
            <w:tcW w:w="6031" w:type="dxa"/>
            <w:tcBorders>
              <w:top w:val="double" w:sz="6" w:space="0" w:color="auto"/>
              <w:left w:val="nil"/>
              <w:right w:val="nil"/>
            </w:tcBorders>
            <w:shd w:val="clear" w:color="auto" w:fill="DAEEF3" w:themeFill="accent5" w:themeFillTint="33"/>
            <w:noWrap/>
            <w:vAlign w:val="bottom"/>
            <w:hideMark/>
          </w:tcPr>
          <w:p w:rsidR="006323D4" w:rsidRPr="006323D4" w:rsidRDefault="006323D4" w:rsidP="00394FEA">
            <w:pPr>
              <w:pStyle w:val="Paragraphedeliste"/>
              <w:autoSpaceDE w:val="0"/>
              <w:autoSpaceDN w:val="0"/>
              <w:adjustRightInd w:val="0"/>
              <w:spacing w:line="276" w:lineRule="auto"/>
              <w:ind w:left="0"/>
              <w:rPr>
                <w:rFonts w:ascii="Times New Roman" w:hAnsi="Times New Roman"/>
                <w:sz w:val="20"/>
                <w:szCs w:val="20"/>
              </w:rPr>
            </w:pPr>
            <w:r w:rsidRPr="006323D4">
              <w:rPr>
                <w:rFonts w:ascii="Times New Roman" w:hAnsi="Times New Roman"/>
                <w:sz w:val="20"/>
                <w:szCs w:val="20"/>
              </w:rPr>
              <w:t>Source : Données EMICoV 2010, AGVSAN 2008</w:t>
            </w:r>
          </w:p>
        </w:tc>
        <w:tc>
          <w:tcPr>
            <w:tcW w:w="1291" w:type="dxa"/>
            <w:tcBorders>
              <w:top w:val="double" w:sz="6" w:space="0" w:color="auto"/>
              <w:left w:val="nil"/>
              <w:right w:val="nil"/>
            </w:tcBorders>
            <w:shd w:val="clear" w:color="auto" w:fill="DAEEF3" w:themeFill="accent5" w:themeFillTint="33"/>
            <w:noWrap/>
            <w:vAlign w:val="center"/>
            <w:hideMark/>
          </w:tcPr>
          <w:p w:rsidR="006323D4" w:rsidRPr="006323D4" w:rsidRDefault="006323D4" w:rsidP="00394FEA">
            <w:pPr>
              <w:spacing w:line="276" w:lineRule="auto"/>
              <w:jc w:val="center"/>
              <w:rPr>
                <w:rFonts w:ascii="Times New Roman" w:eastAsia="Times New Roman" w:hAnsi="Times New Roman"/>
                <w:b/>
                <w:bCs/>
                <w:color w:val="000000"/>
                <w:sz w:val="20"/>
                <w:szCs w:val="20"/>
                <w:lang w:val="en-US"/>
              </w:rPr>
            </w:pPr>
          </w:p>
        </w:tc>
        <w:tc>
          <w:tcPr>
            <w:tcW w:w="1291" w:type="dxa"/>
            <w:tcBorders>
              <w:top w:val="double" w:sz="6" w:space="0" w:color="auto"/>
              <w:left w:val="nil"/>
              <w:right w:val="nil"/>
            </w:tcBorders>
            <w:shd w:val="clear" w:color="auto" w:fill="DAEEF3" w:themeFill="accent5" w:themeFillTint="33"/>
            <w:noWrap/>
            <w:vAlign w:val="center"/>
            <w:hideMark/>
          </w:tcPr>
          <w:p w:rsidR="006323D4" w:rsidRPr="006323D4" w:rsidRDefault="006323D4" w:rsidP="00394FEA">
            <w:pPr>
              <w:spacing w:line="276" w:lineRule="auto"/>
              <w:jc w:val="center"/>
              <w:rPr>
                <w:rFonts w:ascii="Times New Roman" w:eastAsia="Times New Roman" w:hAnsi="Times New Roman"/>
                <w:b/>
                <w:bCs/>
                <w:color w:val="000000"/>
                <w:sz w:val="20"/>
                <w:szCs w:val="20"/>
                <w:lang w:val="en-US"/>
              </w:rPr>
            </w:pPr>
          </w:p>
        </w:tc>
      </w:tr>
    </w:tbl>
    <w:p w:rsidR="00ED3BCD" w:rsidRDefault="00ED3BCD" w:rsidP="00ED3BCD">
      <w:pPr>
        <w:pStyle w:val="Paragraphedeliste"/>
        <w:spacing w:line="276" w:lineRule="auto"/>
        <w:ind w:left="0" w:firstLine="240"/>
        <w:outlineLvl w:val="0"/>
        <w:rPr>
          <w:rFonts w:ascii="Times New Roman" w:hAnsi="Times New Roman"/>
          <w:sz w:val="24"/>
          <w:szCs w:val="24"/>
        </w:rPr>
      </w:pPr>
    </w:p>
    <w:p w:rsidR="00ED3BCD" w:rsidRPr="00F12743" w:rsidRDefault="00ED3BCD" w:rsidP="00ED3BCD">
      <w:pPr>
        <w:autoSpaceDE w:val="0"/>
        <w:autoSpaceDN w:val="0"/>
        <w:adjustRightInd w:val="0"/>
        <w:spacing w:line="276" w:lineRule="auto"/>
        <w:rPr>
          <w:rFonts w:ascii="Times New Roman" w:hAnsi="Times New Roman"/>
          <w:sz w:val="24"/>
          <w:szCs w:val="24"/>
        </w:rPr>
      </w:pPr>
      <w:r w:rsidRPr="00A356A6">
        <w:rPr>
          <w:rFonts w:ascii="Times New Roman" w:hAnsi="Times New Roman"/>
          <w:b/>
          <w:sz w:val="24"/>
          <w:szCs w:val="24"/>
        </w:rPr>
        <w:t>Les chocs idiosyncra</w:t>
      </w:r>
      <w:r>
        <w:rPr>
          <w:rFonts w:ascii="Times New Roman" w:hAnsi="Times New Roman"/>
          <w:b/>
          <w:sz w:val="24"/>
          <w:szCs w:val="24"/>
        </w:rPr>
        <w:t>t</w:t>
      </w:r>
      <w:r w:rsidRPr="00A356A6">
        <w:rPr>
          <w:rFonts w:ascii="Times New Roman" w:hAnsi="Times New Roman"/>
          <w:b/>
          <w:sz w:val="24"/>
          <w:szCs w:val="24"/>
        </w:rPr>
        <w:t>iques sont moins importants que les chocs covariants</w:t>
      </w:r>
      <w:r>
        <w:rPr>
          <w:rFonts w:ascii="Times New Roman" w:hAnsi="Times New Roman"/>
          <w:b/>
          <w:sz w:val="24"/>
          <w:szCs w:val="24"/>
        </w:rPr>
        <w:t xml:space="preserve"> en 2009</w:t>
      </w:r>
      <w:r>
        <w:rPr>
          <w:rFonts w:ascii="Times New Roman" w:hAnsi="Times New Roman"/>
          <w:sz w:val="24"/>
          <w:szCs w:val="24"/>
        </w:rPr>
        <w:t xml:space="preserve"> : </w:t>
      </w:r>
      <w:r w:rsidR="005F4F31">
        <w:rPr>
          <w:rFonts w:ascii="Times New Roman" w:hAnsi="Times New Roman"/>
          <w:sz w:val="24"/>
          <w:szCs w:val="24"/>
        </w:rPr>
        <w:t xml:space="preserve">Les </w:t>
      </w:r>
      <w:r w:rsidRPr="00F12743">
        <w:rPr>
          <w:rFonts w:ascii="Times New Roman" w:hAnsi="Times New Roman"/>
          <w:sz w:val="24"/>
          <w:szCs w:val="24"/>
        </w:rPr>
        <w:t xml:space="preserve"> chocs idiosyncra</w:t>
      </w:r>
      <w:r>
        <w:rPr>
          <w:rFonts w:ascii="Times New Roman" w:hAnsi="Times New Roman"/>
          <w:sz w:val="24"/>
          <w:szCs w:val="24"/>
        </w:rPr>
        <w:t>t</w:t>
      </w:r>
      <w:r w:rsidRPr="00F12743">
        <w:rPr>
          <w:rFonts w:ascii="Times New Roman" w:hAnsi="Times New Roman"/>
          <w:sz w:val="24"/>
          <w:szCs w:val="24"/>
        </w:rPr>
        <w:t>iques, c’est-à-dire qui se déroulent à l’échelle du ménage</w:t>
      </w:r>
      <w:r w:rsidR="004A1128">
        <w:rPr>
          <w:rFonts w:ascii="Times New Roman" w:hAnsi="Times New Roman"/>
          <w:sz w:val="24"/>
          <w:szCs w:val="24"/>
        </w:rPr>
        <w:t xml:space="preserve"> </w:t>
      </w:r>
      <w:r w:rsidR="005F4F31" w:rsidRPr="00F12743">
        <w:rPr>
          <w:rFonts w:ascii="Times New Roman" w:hAnsi="Times New Roman"/>
          <w:sz w:val="24"/>
          <w:szCs w:val="24"/>
        </w:rPr>
        <w:t>représentent le quart des chocs subis (25,4%) en 200</w:t>
      </w:r>
      <w:r w:rsidR="005F4F31">
        <w:rPr>
          <w:rFonts w:ascii="Times New Roman" w:hAnsi="Times New Roman"/>
          <w:sz w:val="24"/>
          <w:szCs w:val="24"/>
        </w:rPr>
        <w:t>9</w:t>
      </w:r>
      <w:r w:rsidR="005F4F31" w:rsidRPr="00F12743">
        <w:rPr>
          <w:rFonts w:ascii="Times New Roman" w:hAnsi="Times New Roman"/>
          <w:sz w:val="24"/>
          <w:szCs w:val="24"/>
        </w:rPr>
        <w:t xml:space="preserve">, alors que </w:t>
      </w:r>
      <w:r w:rsidR="005F4F31">
        <w:rPr>
          <w:rFonts w:ascii="Times New Roman" w:hAnsi="Times New Roman"/>
          <w:sz w:val="24"/>
          <w:szCs w:val="24"/>
        </w:rPr>
        <w:t xml:space="preserve">les </w:t>
      </w:r>
      <w:r w:rsidR="005F4F31" w:rsidRPr="00F12743">
        <w:rPr>
          <w:rFonts w:ascii="Times New Roman" w:hAnsi="Times New Roman"/>
          <w:sz w:val="24"/>
          <w:szCs w:val="24"/>
        </w:rPr>
        <w:t>chocs covariants (qui varient dans l’ensemble des ménages (inondations, sécheresse, etc</w:t>
      </w:r>
      <w:r w:rsidR="005F4F31">
        <w:rPr>
          <w:rFonts w:ascii="Times New Roman" w:hAnsi="Times New Roman"/>
          <w:sz w:val="24"/>
          <w:szCs w:val="24"/>
        </w:rPr>
        <w:t>.) comptent pour 73,3%, l</w:t>
      </w:r>
      <w:r w:rsidR="005F4F31" w:rsidRPr="00F12743">
        <w:rPr>
          <w:rFonts w:ascii="Times New Roman" w:hAnsi="Times New Roman"/>
          <w:sz w:val="24"/>
          <w:szCs w:val="24"/>
        </w:rPr>
        <w:t>e reste (1,3%) étant classé comme «autre</w:t>
      </w:r>
      <w:r w:rsidR="004A1128">
        <w:rPr>
          <w:rFonts w:ascii="Times New Roman" w:hAnsi="Times New Roman"/>
          <w:sz w:val="24"/>
          <w:szCs w:val="24"/>
        </w:rPr>
        <w:t xml:space="preserve"> </w:t>
      </w:r>
      <w:r w:rsidR="005F4F31" w:rsidRPr="00F12743">
        <w:rPr>
          <w:rFonts w:ascii="Times New Roman" w:hAnsi="Times New Roman"/>
          <w:sz w:val="24"/>
          <w:szCs w:val="24"/>
        </w:rPr>
        <w:t xml:space="preserve">catégorie». </w:t>
      </w:r>
      <w:r>
        <w:rPr>
          <w:rFonts w:ascii="Times New Roman" w:hAnsi="Times New Roman"/>
          <w:sz w:val="24"/>
          <w:szCs w:val="24"/>
        </w:rPr>
        <w:t>Du point de vue de la mobilité dans la pauvreté, ces chocs covariants peuvent induire une perte d’actifs (financier et physique) voire un fardeau financier supplémentaire, comme dans le cas des maladies lié</w:t>
      </w:r>
      <w:r w:rsidR="00AB2605">
        <w:rPr>
          <w:rFonts w:ascii="Times New Roman" w:hAnsi="Times New Roman"/>
          <w:sz w:val="24"/>
          <w:szCs w:val="24"/>
        </w:rPr>
        <w:t>e</w:t>
      </w:r>
      <w:r>
        <w:rPr>
          <w:rFonts w:ascii="Times New Roman" w:hAnsi="Times New Roman"/>
          <w:sz w:val="24"/>
          <w:szCs w:val="24"/>
        </w:rPr>
        <w:t xml:space="preserve">s par exemple à l’inondation. De ce fait, ils réduisent de façon drastique ou non la capacité d’un grand </w:t>
      </w:r>
      <w:r w:rsidR="008439CC">
        <w:rPr>
          <w:rFonts w:ascii="Times New Roman" w:hAnsi="Times New Roman"/>
          <w:sz w:val="24"/>
          <w:szCs w:val="24"/>
        </w:rPr>
        <w:t xml:space="preserve">nombre </w:t>
      </w:r>
      <w:r>
        <w:rPr>
          <w:rFonts w:ascii="Times New Roman" w:hAnsi="Times New Roman"/>
          <w:sz w:val="24"/>
          <w:szCs w:val="24"/>
        </w:rPr>
        <w:t>de ménages et par conséquent les prédisposent à une mobilité négative en termes de bien-être.</w:t>
      </w:r>
      <w:r w:rsidR="001376F5">
        <w:rPr>
          <w:rFonts w:ascii="Times New Roman" w:hAnsi="Times New Roman"/>
          <w:sz w:val="24"/>
          <w:szCs w:val="24"/>
        </w:rPr>
        <w:t xml:space="preserve"> Ils représentent les chocs les plus récurrents</w:t>
      </w:r>
      <w:r w:rsidR="001376F5">
        <w:rPr>
          <w:rStyle w:val="Appelnotedebasdep"/>
          <w:rFonts w:ascii="Times New Roman" w:hAnsi="Times New Roman"/>
          <w:sz w:val="24"/>
          <w:szCs w:val="24"/>
        </w:rPr>
        <w:footnoteReference w:id="69"/>
      </w:r>
      <w:r w:rsidR="001376F5">
        <w:rPr>
          <w:rFonts w:ascii="Times New Roman" w:hAnsi="Times New Roman"/>
          <w:sz w:val="24"/>
          <w:szCs w:val="24"/>
        </w:rPr>
        <w:t xml:space="preserve"> (AG</w:t>
      </w:r>
      <w:r w:rsidR="004C74B7">
        <w:rPr>
          <w:rFonts w:ascii="Times New Roman" w:hAnsi="Times New Roman"/>
          <w:sz w:val="24"/>
          <w:szCs w:val="24"/>
        </w:rPr>
        <w:t>V</w:t>
      </w:r>
      <w:r w:rsidR="001376F5">
        <w:rPr>
          <w:rFonts w:ascii="Times New Roman" w:hAnsi="Times New Roman"/>
          <w:sz w:val="24"/>
          <w:szCs w:val="24"/>
        </w:rPr>
        <w:t>SAN,</w:t>
      </w:r>
      <w:r w:rsidR="0099644E">
        <w:rPr>
          <w:rFonts w:ascii="Times New Roman" w:hAnsi="Times New Roman"/>
          <w:sz w:val="24"/>
          <w:szCs w:val="24"/>
        </w:rPr>
        <w:t xml:space="preserve"> </w:t>
      </w:r>
      <w:r w:rsidR="001376F5">
        <w:rPr>
          <w:rFonts w:ascii="Times New Roman" w:hAnsi="Times New Roman"/>
          <w:sz w:val="24"/>
          <w:szCs w:val="24"/>
        </w:rPr>
        <w:t xml:space="preserve">2008).  </w:t>
      </w:r>
    </w:p>
    <w:p w:rsidR="00ED3BCD" w:rsidRPr="00A343EC" w:rsidRDefault="00ED3BCD" w:rsidP="00ED3BCD">
      <w:pPr>
        <w:autoSpaceDE w:val="0"/>
        <w:autoSpaceDN w:val="0"/>
        <w:adjustRightInd w:val="0"/>
        <w:spacing w:line="276" w:lineRule="auto"/>
        <w:rPr>
          <w:rFonts w:ascii="Times New Roman" w:hAnsi="Times New Roman"/>
          <w:sz w:val="12"/>
          <w:szCs w:val="12"/>
        </w:rPr>
      </w:pPr>
    </w:p>
    <w:p w:rsidR="00ED3BCD" w:rsidRPr="005F4F31" w:rsidRDefault="001064B7" w:rsidP="00ED3BCD">
      <w:pPr>
        <w:autoSpaceDE w:val="0"/>
        <w:autoSpaceDN w:val="0"/>
        <w:adjustRightInd w:val="0"/>
        <w:spacing w:line="276" w:lineRule="auto"/>
        <w:rPr>
          <w:rFonts w:ascii="Times New Roman" w:hAnsi="Times New Roman"/>
          <w:b/>
          <w:sz w:val="24"/>
          <w:szCs w:val="24"/>
        </w:rPr>
      </w:pPr>
      <w:r w:rsidRPr="001064B7">
        <w:rPr>
          <w:rFonts w:ascii="Times New Roman" w:hAnsi="Times New Roman"/>
          <w:b/>
          <w:sz w:val="24"/>
          <w:szCs w:val="24"/>
        </w:rPr>
        <w:t>La prévalence de ces chocs présente des disparités entre les zones géographiques (milieux et département</w:t>
      </w:r>
      <w:r w:rsidR="00AB2605">
        <w:rPr>
          <w:rFonts w:ascii="Times New Roman" w:hAnsi="Times New Roman"/>
          <w:b/>
          <w:sz w:val="24"/>
          <w:szCs w:val="24"/>
        </w:rPr>
        <w:t>s</w:t>
      </w:r>
      <w:r w:rsidRPr="001064B7">
        <w:rPr>
          <w:rFonts w:ascii="Times New Roman" w:hAnsi="Times New Roman"/>
          <w:b/>
          <w:sz w:val="24"/>
          <w:szCs w:val="24"/>
        </w:rPr>
        <w:t xml:space="preserve"> de résidence), entre les catégories socioprofessionnelles et économiques (du chef de ménage) et selon le niveau de vie des ménages, etc.</w:t>
      </w:r>
    </w:p>
    <w:p w:rsidR="00ED3BCD" w:rsidRPr="00A343EC" w:rsidRDefault="00ED3BCD" w:rsidP="00ED3BCD">
      <w:pPr>
        <w:autoSpaceDE w:val="0"/>
        <w:autoSpaceDN w:val="0"/>
        <w:adjustRightInd w:val="0"/>
        <w:spacing w:line="276" w:lineRule="auto"/>
        <w:rPr>
          <w:rFonts w:ascii="Times New Roman" w:hAnsi="Times New Roman"/>
          <w:b/>
          <w:sz w:val="12"/>
          <w:szCs w:val="12"/>
        </w:rPr>
      </w:pPr>
    </w:p>
    <w:p w:rsidR="00ED3BCD" w:rsidRDefault="00ED3BCD" w:rsidP="00ED3BCD">
      <w:pPr>
        <w:autoSpaceDE w:val="0"/>
        <w:autoSpaceDN w:val="0"/>
        <w:adjustRightInd w:val="0"/>
        <w:spacing w:line="276" w:lineRule="auto"/>
        <w:rPr>
          <w:rFonts w:ascii="Times New Roman" w:hAnsi="Times New Roman"/>
          <w:sz w:val="24"/>
          <w:szCs w:val="24"/>
        </w:rPr>
      </w:pPr>
      <w:r w:rsidRPr="00C61B8C">
        <w:rPr>
          <w:rFonts w:ascii="Times New Roman" w:hAnsi="Times New Roman"/>
          <w:b/>
          <w:sz w:val="24"/>
          <w:szCs w:val="24"/>
        </w:rPr>
        <w:t>Les chocs biophysiques touchent 39,6% des ménages ruraux contre seulement 20,1% en milieu urbain</w:t>
      </w:r>
      <w:r w:rsidRPr="00970B5C">
        <w:rPr>
          <w:rFonts w:ascii="Times New Roman" w:hAnsi="Times New Roman"/>
          <w:sz w:val="24"/>
          <w:szCs w:val="24"/>
        </w:rPr>
        <w:t>. Ainsi,</w:t>
      </w:r>
      <w:r w:rsidR="0099644E">
        <w:rPr>
          <w:rFonts w:ascii="Times New Roman" w:hAnsi="Times New Roman"/>
          <w:sz w:val="24"/>
          <w:szCs w:val="24"/>
        </w:rPr>
        <w:t xml:space="preserve"> </w:t>
      </w:r>
      <w:r w:rsidRPr="00970B5C">
        <w:rPr>
          <w:rFonts w:ascii="Times New Roman" w:hAnsi="Times New Roman"/>
          <w:sz w:val="24"/>
          <w:szCs w:val="24"/>
        </w:rPr>
        <w:t>l’ampleur et la fréquence des sécheresses, des inondations et d’autres phénomènes extrêmes accentuent davantage la pression sur les ressources alimentaires et nutritionnelles</w:t>
      </w:r>
      <w:r>
        <w:rPr>
          <w:rFonts w:ascii="Times New Roman" w:hAnsi="Times New Roman"/>
          <w:sz w:val="24"/>
          <w:szCs w:val="24"/>
        </w:rPr>
        <w:t xml:space="preserve"> sur d</w:t>
      </w:r>
      <w:r w:rsidRPr="00970B5C">
        <w:rPr>
          <w:rFonts w:ascii="Times New Roman" w:hAnsi="Times New Roman"/>
          <w:sz w:val="24"/>
          <w:szCs w:val="24"/>
        </w:rPr>
        <w:t>es ménages ruraux</w:t>
      </w:r>
      <w:r w:rsidRPr="003E4D25">
        <w:rPr>
          <w:rFonts w:ascii="Times New Roman" w:hAnsi="Times New Roman"/>
          <w:sz w:val="24"/>
          <w:szCs w:val="24"/>
        </w:rPr>
        <w:t>.</w:t>
      </w:r>
      <w:r w:rsidRPr="002D05BB">
        <w:rPr>
          <w:rFonts w:ascii="Times New Roman" w:hAnsi="Times New Roman"/>
          <w:sz w:val="24"/>
          <w:szCs w:val="24"/>
        </w:rPr>
        <w:t xml:space="preserve"> En ce qui concerne les chocs économiques, les ménages urbains sont les pl</w:t>
      </w:r>
      <w:r>
        <w:rPr>
          <w:rFonts w:ascii="Times New Roman" w:hAnsi="Times New Roman"/>
          <w:sz w:val="24"/>
          <w:szCs w:val="24"/>
        </w:rPr>
        <w:t xml:space="preserve">us affectés avec </w:t>
      </w:r>
      <w:r w:rsidRPr="002D05BB">
        <w:rPr>
          <w:rFonts w:ascii="Times New Roman" w:hAnsi="Times New Roman"/>
          <w:sz w:val="24"/>
          <w:szCs w:val="24"/>
        </w:rPr>
        <w:t xml:space="preserve">46,9% </w:t>
      </w:r>
      <w:r>
        <w:rPr>
          <w:rFonts w:ascii="Times New Roman" w:hAnsi="Times New Roman"/>
          <w:sz w:val="24"/>
          <w:szCs w:val="24"/>
        </w:rPr>
        <w:t xml:space="preserve">de ménages touchés </w:t>
      </w:r>
      <w:r w:rsidRPr="002D05BB">
        <w:rPr>
          <w:rFonts w:ascii="Times New Roman" w:hAnsi="Times New Roman"/>
          <w:sz w:val="24"/>
          <w:szCs w:val="24"/>
        </w:rPr>
        <w:t xml:space="preserve">contre 38.3% de ménages en milieu rural. Notons que Cotonou, la plus grande ville du pays enregistre une prévalence des chocs économiques </w:t>
      </w:r>
      <w:r>
        <w:rPr>
          <w:rFonts w:ascii="Times New Roman" w:hAnsi="Times New Roman"/>
          <w:sz w:val="24"/>
          <w:szCs w:val="24"/>
        </w:rPr>
        <w:t>pour plus de la</w:t>
      </w:r>
      <w:r w:rsidRPr="002D05BB">
        <w:rPr>
          <w:rFonts w:ascii="Times New Roman" w:hAnsi="Times New Roman"/>
          <w:sz w:val="24"/>
          <w:szCs w:val="24"/>
        </w:rPr>
        <w:t xml:space="preserve"> moitié des ménages qui y vivent</w:t>
      </w:r>
      <w:r>
        <w:rPr>
          <w:rFonts w:ascii="Times New Roman" w:hAnsi="Times New Roman"/>
          <w:sz w:val="24"/>
          <w:szCs w:val="24"/>
        </w:rPr>
        <w:t>.</w:t>
      </w:r>
    </w:p>
    <w:p w:rsidR="00ED3BCD" w:rsidRPr="00A343EC" w:rsidRDefault="00ED3BCD" w:rsidP="00ED3BCD">
      <w:pPr>
        <w:autoSpaceDE w:val="0"/>
        <w:autoSpaceDN w:val="0"/>
        <w:adjustRightInd w:val="0"/>
        <w:spacing w:line="276" w:lineRule="auto"/>
        <w:rPr>
          <w:rFonts w:ascii="Times New Roman" w:hAnsi="Times New Roman"/>
          <w:b/>
          <w:sz w:val="12"/>
          <w:szCs w:val="12"/>
        </w:rPr>
      </w:pPr>
    </w:p>
    <w:p w:rsidR="00ED3BCD" w:rsidRDefault="001064B7" w:rsidP="00ED3BCD">
      <w:pPr>
        <w:autoSpaceDE w:val="0"/>
        <w:autoSpaceDN w:val="0"/>
        <w:adjustRightInd w:val="0"/>
        <w:spacing w:line="276" w:lineRule="auto"/>
        <w:rPr>
          <w:rFonts w:ascii="Times New Roman" w:hAnsi="Times New Roman"/>
          <w:sz w:val="24"/>
          <w:szCs w:val="24"/>
        </w:rPr>
      </w:pPr>
      <w:r w:rsidRPr="001064B7">
        <w:rPr>
          <w:rFonts w:ascii="Times New Roman" w:hAnsi="Times New Roman"/>
          <w:b/>
          <w:sz w:val="24"/>
          <w:szCs w:val="24"/>
        </w:rPr>
        <w:t>Les départements au sud du Bénin ont été plus touchés par l’ensemble des chocs que ceux du nord</w:t>
      </w:r>
      <w:r w:rsidR="00ED3BCD" w:rsidRPr="002D05BB">
        <w:rPr>
          <w:rFonts w:ascii="Times New Roman" w:hAnsi="Times New Roman"/>
          <w:sz w:val="24"/>
          <w:szCs w:val="24"/>
        </w:rPr>
        <w:t>.</w:t>
      </w:r>
      <w:r w:rsidR="0099644E">
        <w:rPr>
          <w:rFonts w:ascii="Times New Roman" w:hAnsi="Times New Roman"/>
          <w:sz w:val="24"/>
          <w:szCs w:val="24"/>
        </w:rPr>
        <w:t xml:space="preserve"> </w:t>
      </w:r>
      <w:r w:rsidR="00ED3BCD" w:rsidRPr="002A2C53">
        <w:rPr>
          <w:rFonts w:ascii="Times New Roman" w:hAnsi="Times New Roman"/>
          <w:sz w:val="24"/>
          <w:szCs w:val="24"/>
        </w:rPr>
        <w:t xml:space="preserve">Le graphique ci-dessous présente, par </w:t>
      </w:r>
      <w:r w:rsidR="00ED3BCD">
        <w:rPr>
          <w:rFonts w:ascii="Times New Roman" w:hAnsi="Times New Roman"/>
          <w:sz w:val="24"/>
          <w:szCs w:val="24"/>
        </w:rPr>
        <w:t>département, les proportions de</w:t>
      </w:r>
      <w:r w:rsidR="00ED3BCD" w:rsidRPr="002A2C53">
        <w:rPr>
          <w:rFonts w:ascii="Times New Roman" w:hAnsi="Times New Roman"/>
          <w:sz w:val="24"/>
          <w:szCs w:val="24"/>
        </w:rPr>
        <w:t xml:space="preserve"> ménages atteints par type de choc</w:t>
      </w:r>
      <w:r w:rsidR="00ED3BCD">
        <w:rPr>
          <w:rFonts w:ascii="Times New Roman" w:hAnsi="Times New Roman"/>
          <w:sz w:val="24"/>
          <w:szCs w:val="24"/>
        </w:rPr>
        <w:t xml:space="preserve"> ainsi que les proportions de ménages épargnés par l’ensemble des chocs</w:t>
      </w:r>
      <w:r w:rsidR="00ED3BCD" w:rsidRPr="002A2C53">
        <w:rPr>
          <w:rFonts w:ascii="Times New Roman" w:hAnsi="Times New Roman"/>
          <w:sz w:val="24"/>
          <w:szCs w:val="24"/>
        </w:rPr>
        <w:t>.</w:t>
      </w:r>
      <w:r w:rsidR="00ED3BCD">
        <w:rPr>
          <w:rFonts w:ascii="Times New Roman" w:hAnsi="Times New Roman"/>
          <w:sz w:val="24"/>
          <w:szCs w:val="24"/>
        </w:rPr>
        <w:t xml:space="preserve"> Non seulement le Couffo est le département le plus touché tous chocs confondus, mais ce département est également celui où culminent les prévalences des chocs pour chaque type de choc pris séparément. Viennent ensuite le Mono et le Zou, deux départements frontaliers au Couffo et qui présentent des proportions aussi élevées de ménages touchés. Ils sont suivis par le département de l’Atacora (72,9%) qui constitue un cas particulier dans le nord du pays et l’Ouémé qui affiche une prévalence de 67,4%. </w:t>
      </w: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D525F4" w:rsidRDefault="00D525F4" w:rsidP="00ED3BCD">
      <w:pPr>
        <w:autoSpaceDE w:val="0"/>
        <w:autoSpaceDN w:val="0"/>
        <w:adjustRightInd w:val="0"/>
        <w:spacing w:line="276" w:lineRule="auto"/>
        <w:rPr>
          <w:rFonts w:ascii="Times New Roman" w:hAnsi="Times New Roman"/>
          <w:sz w:val="24"/>
          <w:szCs w:val="24"/>
        </w:rPr>
      </w:pPr>
    </w:p>
    <w:p w:rsidR="006323D4" w:rsidRDefault="006323D4" w:rsidP="006323D4">
      <w:pPr>
        <w:autoSpaceDE w:val="0"/>
        <w:autoSpaceDN w:val="0"/>
        <w:adjustRightInd w:val="0"/>
        <w:spacing w:line="276" w:lineRule="auto"/>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1"/>
      </w:tblGrid>
      <w:tr w:rsidR="006323D4" w:rsidRPr="006323D4" w:rsidTr="00394FEA">
        <w:trPr>
          <w:trHeight w:val="347"/>
        </w:trPr>
        <w:tc>
          <w:tcPr>
            <w:tcW w:w="9201" w:type="dxa"/>
            <w:shd w:val="clear" w:color="auto" w:fill="92CDDC" w:themeFill="accent5" w:themeFillTint="99"/>
          </w:tcPr>
          <w:p w:rsidR="006323D4" w:rsidRPr="006323D4" w:rsidRDefault="006323D4" w:rsidP="006323D4">
            <w:pPr>
              <w:spacing w:line="240" w:lineRule="auto"/>
              <w:rPr>
                <w:rFonts w:ascii="Times New Roman" w:hAnsi="Times New Roman"/>
                <w:sz w:val="24"/>
                <w:szCs w:val="24"/>
              </w:rPr>
            </w:pPr>
            <w:bookmarkStart w:id="93" w:name="_Toc369711069"/>
            <w:r w:rsidRPr="006323D4">
              <w:rPr>
                <w:rFonts w:ascii="Times New Roman" w:hAnsi="Times New Roman"/>
                <w:sz w:val="24"/>
                <w:szCs w:val="24"/>
              </w:rPr>
              <w:t>Graphique 3.</w:t>
            </w:r>
            <w:r w:rsidR="00182C97" w:rsidRPr="006323D4">
              <w:rPr>
                <w:rFonts w:ascii="Times New Roman" w:hAnsi="Times New Roman"/>
                <w:sz w:val="24"/>
                <w:szCs w:val="24"/>
              </w:rPr>
              <w:fldChar w:fldCharType="begin"/>
            </w:r>
            <w:r w:rsidRPr="006323D4">
              <w:rPr>
                <w:rFonts w:ascii="Times New Roman" w:hAnsi="Times New Roman"/>
                <w:sz w:val="24"/>
                <w:szCs w:val="24"/>
              </w:rPr>
              <w:instrText xml:space="preserve"> SEQ Graphique_4. \* ARABIC </w:instrText>
            </w:r>
            <w:r w:rsidR="00182C97" w:rsidRPr="006323D4">
              <w:rPr>
                <w:rFonts w:ascii="Times New Roman" w:hAnsi="Times New Roman"/>
                <w:sz w:val="24"/>
                <w:szCs w:val="24"/>
              </w:rPr>
              <w:fldChar w:fldCharType="separate"/>
            </w:r>
            <w:r w:rsidR="00AB1967">
              <w:rPr>
                <w:rFonts w:ascii="Times New Roman" w:hAnsi="Times New Roman"/>
                <w:noProof/>
                <w:sz w:val="24"/>
                <w:szCs w:val="24"/>
              </w:rPr>
              <w:t>1</w:t>
            </w:r>
            <w:r w:rsidR="00182C97" w:rsidRPr="006323D4">
              <w:rPr>
                <w:rFonts w:ascii="Times New Roman" w:hAnsi="Times New Roman"/>
                <w:sz w:val="24"/>
                <w:szCs w:val="24"/>
              </w:rPr>
              <w:fldChar w:fldCharType="end"/>
            </w:r>
            <w:r w:rsidRPr="006323D4">
              <w:rPr>
                <w:rFonts w:ascii="Times New Roman" w:hAnsi="Times New Roman"/>
                <w:sz w:val="24"/>
                <w:szCs w:val="24"/>
              </w:rPr>
              <w:t>: Types de chocs par département</w:t>
            </w:r>
            <w:bookmarkEnd w:id="93"/>
          </w:p>
        </w:tc>
      </w:tr>
      <w:tr w:rsidR="006323D4" w:rsidTr="00394FEA">
        <w:tc>
          <w:tcPr>
            <w:tcW w:w="9201" w:type="dxa"/>
            <w:shd w:val="clear" w:color="auto" w:fill="DAEEF3" w:themeFill="accent5" w:themeFillTint="33"/>
          </w:tcPr>
          <w:p w:rsidR="006323D4" w:rsidRDefault="006323D4" w:rsidP="00394FEA">
            <w:pPr>
              <w:spacing w:before="120" w:after="120" w:line="240" w:lineRule="auto"/>
              <w:ind w:left="-57"/>
              <w:jc w:val="center"/>
            </w:pPr>
            <w:r w:rsidRPr="00FC3C4C">
              <w:rPr>
                <w:noProof/>
                <w:lang w:eastAsia="fr-FR"/>
              </w:rPr>
              <w:drawing>
                <wp:inline distT="0" distB="0" distL="0" distR="0" wp14:anchorId="2AC06513" wp14:editId="31F255F5">
                  <wp:extent cx="5658277" cy="2745995"/>
                  <wp:effectExtent l="19050" t="0" r="18623" b="0"/>
                  <wp:docPr id="78"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r w:rsidR="006323D4" w:rsidRPr="006323D4" w:rsidTr="00394FEA">
        <w:tc>
          <w:tcPr>
            <w:tcW w:w="9201" w:type="dxa"/>
            <w:shd w:val="clear" w:color="auto" w:fill="DAEEF3" w:themeFill="accent5" w:themeFillTint="33"/>
          </w:tcPr>
          <w:p w:rsidR="006323D4" w:rsidRPr="006323D4" w:rsidRDefault="006323D4" w:rsidP="00394FEA">
            <w:pPr>
              <w:spacing w:line="240" w:lineRule="auto"/>
              <w:rPr>
                <w:rFonts w:ascii="Times New Roman" w:hAnsi="Times New Roman"/>
                <w:sz w:val="20"/>
                <w:szCs w:val="20"/>
              </w:rPr>
            </w:pPr>
            <w:r w:rsidRPr="006323D4">
              <w:rPr>
                <w:rFonts w:ascii="Times New Roman" w:hAnsi="Times New Roman"/>
                <w:sz w:val="20"/>
                <w:szCs w:val="20"/>
              </w:rPr>
              <w:t>Source : INSAE, EMICoV 2010</w:t>
            </w:r>
          </w:p>
        </w:tc>
      </w:tr>
    </w:tbl>
    <w:p w:rsidR="006323D4" w:rsidRPr="00FC3C4C" w:rsidRDefault="006323D4" w:rsidP="006323D4"/>
    <w:p w:rsidR="00ED3BCD" w:rsidRDefault="00ED3BCD" w:rsidP="00ED3BCD">
      <w:pPr>
        <w:autoSpaceDE w:val="0"/>
        <w:autoSpaceDN w:val="0"/>
        <w:adjustRightInd w:val="0"/>
        <w:spacing w:line="276" w:lineRule="auto"/>
        <w:rPr>
          <w:rFonts w:ascii="Times New Roman" w:hAnsi="Times New Roman"/>
          <w:sz w:val="24"/>
          <w:szCs w:val="24"/>
        </w:rPr>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Pour les chocs biophysiques, en dehors du Couffo et du Mono, l’Atacora est le département le plus touché. Il est suivi par le Zou et les Collines. Ces départements sont plus exposés à ces chocs sûrement en raison de la dominance de l’agriculture par rapport aux autres activités qui y sont menées. Une exception mérite d’être signalée : le cas de l’Alibori qui, avec 87,9% d’activités agricoles parmi les emplois, affiche une faible vulnérabilité face aux chocs biophysiques.</w:t>
      </w:r>
    </w:p>
    <w:p w:rsidR="00ED3BCD" w:rsidRDefault="00ED3BCD" w:rsidP="00ED3BCD">
      <w:pPr>
        <w:autoSpaceDE w:val="0"/>
        <w:autoSpaceDN w:val="0"/>
        <w:adjustRightInd w:val="0"/>
        <w:spacing w:line="276" w:lineRule="auto"/>
        <w:rPr>
          <w:rFonts w:ascii="Times New Roman" w:hAnsi="Times New Roman"/>
          <w:sz w:val="24"/>
          <w:szCs w:val="24"/>
        </w:rPr>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En ce qui concerne les chocs économiques, les départements les plus touchés sont respectivement le Couffo, l’Atlantique, le Littoral, l’Ouémé, le Zou, l’Atacora et le Mono. Le caractère urbain plus ou moins prononcé des régions est associé à des niveaux plus ou moins élevés de prévalence aux chocs économiques. Cependant, le Borgou qui a un taux d’urbanisation de 48,5% affiche une faible prévalence aux chocs économiques. </w:t>
      </w:r>
    </w:p>
    <w:p w:rsidR="00ED3BCD" w:rsidRDefault="00ED3BCD" w:rsidP="00ED3BCD">
      <w:pPr>
        <w:autoSpaceDE w:val="0"/>
        <w:autoSpaceDN w:val="0"/>
        <w:adjustRightInd w:val="0"/>
        <w:spacing w:line="276" w:lineRule="auto"/>
        <w:rPr>
          <w:rFonts w:ascii="Times New Roman" w:hAnsi="Times New Roman"/>
          <w:sz w:val="24"/>
          <w:szCs w:val="24"/>
        </w:rPr>
      </w:pPr>
    </w:p>
    <w:p w:rsidR="00ED3BCD" w:rsidRPr="002D05BB" w:rsidRDefault="00ED3BCD" w:rsidP="00ED3BCD">
      <w:pPr>
        <w:autoSpaceDE w:val="0"/>
        <w:autoSpaceDN w:val="0"/>
        <w:adjustRightInd w:val="0"/>
        <w:spacing w:line="276" w:lineRule="auto"/>
        <w:rPr>
          <w:rFonts w:ascii="Times New Roman" w:hAnsi="Times New Roman"/>
          <w:strike/>
          <w:sz w:val="24"/>
          <w:szCs w:val="24"/>
        </w:rPr>
      </w:pPr>
      <w:r>
        <w:rPr>
          <w:rFonts w:ascii="Times New Roman" w:hAnsi="Times New Roman"/>
          <w:sz w:val="24"/>
          <w:szCs w:val="24"/>
        </w:rPr>
        <w:t>Enfin, pour les chocs sociaux, le Couffo, le Mono, le Zou, la Donga, les Collines et l’Ouémé sont les départements les plus touchés.</w:t>
      </w:r>
    </w:p>
    <w:p w:rsidR="00ED3BCD" w:rsidRDefault="00ED3BCD" w:rsidP="00ED3BCD">
      <w:pPr>
        <w:tabs>
          <w:tab w:val="left" w:pos="0"/>
        </w:tabs>
        <w:autoSpaceDE w:val="0"/>
        <w:autoSpaceDN w:val="0"/>
        <w:adjustRightInd w:val="0"/>
        <w:spacing w:line="276" w:lineRule="auto"/>
        <w:rPr>
          <w:rFonts w:ascii="Times New Roman" w:hAnsi="Times New Roman"/>
          <w:b/>
          <w:sz w:val="24"/>
          <w:szCs w:val="24"/>
        </w:rPr>
      </w:pPr>
      <w:r>
        <w:rPr>
          <w:rFonts w:ascii="Times New Roman" w:hAnsi="Times New Roman"/>
          <w:b/>
          <w:sz w:val="24"/>
          <w:szCs w:val="24"/>
        </w:rPr>
        <w:tab/>
      </w:r>
    </w:p>
    <w:p w:rsidR="00ED3BCD" w:rsidRPr="003E7F69" w:rsidRDefault="00D871C7" w:rsidP="00ED3BCD">
      <w:pPr>
        <w:tabs>
          <w:tab w:val="left" w:pos="0"/>
        </w:tabs>
        <w:autoSpaceDE w:val="0"/>
        <w:autoSpaceDN w:val="0"/>
        <w:adjustRightInd w:val="0"/>
        <w:spacing w:line="276" w:lineRule="auto"/>
        <w:rPr>
          <w:rFonts w:ascii="Times New Roman" w:hAnsi="Times New Roman"/>
          <w:sz w:val="24"/>
          <w:szCs w:val="24"/>
        </w:rPr>
      </w:pPr>
      <w:r>
        <w:rPr>
          <w:rFonts w:ascii="Times New Roman" w:hAnsi="Times New Roman"/>
          <w:b/>
          <w:sz w:val="24"/>
          <w:szCs w:val="24"/>
        </w:rPr>
        <w:t>L</w:t>
      </w:r>
      <w:r w:rsidR="00ED3BCD" w:rsidRPr="00C61B8C">
        <w:rPr>
          <w:rFonts w:ascii="Times New Roman" w:hAnsi="Times New Roman"/>
          <w:b/>
          <w:sz w:val="24"/>
          <w:szCs w:val="24"/>
        </w:rPr>
        <w:t xml:space="preserve">es ménages gérés par les hommes ont été moins </w:t>
      </w:r>
      <w:r>
        <w:rPr>
          <w:rFonts w:ascii="Times New Roman" w:hAnsi="Times New Roman"/>
          <w:b/>
          <w:sz w:val="24"/>
          <w:szCs w:val="24"/>
        </w:rPr>
        <w:t>exposés</w:t>
      </w:r>
      <w:r w:rsidR="00B9173E">
        <w:rPr>
          <w:rFonts w:ascii="Times New Roman" w:hAnsi="Times New Roman"/>
          <w:b/>
          <w:sz w:val="24"/>
          <w:szCs w:val="24"/>
        </w:rPr>
        <w:t xml:space="preserve"> </w:t>
      </w:r>
      <w:r w:rsidR="00ED3BCD" w:rsidRPr="00C61B8C">
        <w:rPr>
          <w:rFonts w:ascii="Times New Roman" w:hAnsi="Times New Roman"/>
          <w:b/>
          <w:sz w:val="24"/>
          <w:szCs w:val="24"/>
        </w:rPr>
        <w:t>aux chocs que les ménages où les femmes sont chefs</w:t>
      </w:r>
      <w:r w:rsidR="00ED3BCD" w:rsidRPr="003E7F69">
        <w:rPr>
          <w:rFonts w:ascii="Times New Roman" w:hAnsi="Times New Roman"/>
          <w:sz w:val="24"/>
          <w:szCs w:val="24"/>
        </w:rPr>
        <w:t>. En effet, respectivement 39,3% et 34,6% de ces ménages n’ont été atteints d’aucun choc mais, en considérant spécifiquement ces trois types de chocs, les résultats sont un peu mitigés. Les ménages dirigés par une femme sont plus exposés aux chocs économiques (44,9%) et aux chocs sociaux (17,7%) que ceux dirigés par les hommes (resp. 40,8% et 13,3% de prévalence). Quant aux chocs biophysiques (catastrophes naturelles et climatiques), elles affectent plus les ménages dirigés (32,6</w:t>
      </w:r>
      <w:r w:rsidR="003811FC" w:rsidRPr="003E7F69">
        <w:rPr>
          <w:rFonts w:ascii="Times New Roman" w:hAnsi="Times New Roman"/>
          <w:sz w:val="24"/>
          <w:szCs w:val="24"/>
        </w:rPr>
        <w:t>%)</w:t>
      </w:r>
      <w:r w:rsidR="00ED3BCD" w:rsidRPr="003E7F69">
        <w:rPr>
          <w:rFonts w:ascii="Times New Roman" w:hAnsi="Times New Roman"/>
          <w:sz w:val="24"/>
          <w:szCs w:val="24"/>
        </w:rPr>
        <w:t xml:space="preserve"> par les hommes que ceux  (29,4% ) dirigés par les femmes. Ce résultat n’est pas surprenant si l’on sait que la moitié des hommes est occupé dans l’agriculture pour seulement un quart de l’effectif des femmes chefs de ménage. </w:t>
      </w:r>
    </w:p>
    <w:p w:rsidR="00ED3BCD" w:rsidRPr="00A23A19" w:rsidRDefault="00ED3BCD" w:rsidP="00ED3BCD">
      <w:pPr>
        <w:autoSpaceDE w:val="0"/>
        <w:autoSpaceDN w:val="0"/>
        <w:adjustRightInd w:val="0"/>
        <w:spacing w:line="276" w:lineRule="auto"/>
        <w:rPr>
          <w:rFonts w:ascii="Times New Roman" w:hAnsi="Times New Roman"/>
          <w:sz w:val="24"/>
          <w:szCs w:val="24"/>
          <w:highlight w:val="yellow"/>
        </w:rPr>
      </w:pPr>
    </w:p>
    <w:p w:rsidR="00ED3BCD" w:rsidRDefault="00C56118" w:rsidP="00ED3BCD">
      <w:pPr>
        <w:autoSpaceDE w:val="0"/>
        <w:autoSpaceDN w:val="0"/>
        <w:adjustRightInd w:val="0"/>
        <w:spacing w:line="276" w:lineRule="auto"/>
        <w:rPr>
          <w:rFonts w:ascii="Times New Roman" w:hAnsi="Times New Roman"/>
          <w:sz w:val="24"/>
          <w:szCs w:val="24"/>
        </w:rPr>
      </w:pPr>
      <w:r>
        <w:rPr>
          <w:rFonts w:ascii="Times New Roman" w:hAnsi="Times New Roman"/>
          <w:b/>
          <w:sz w:val="24"/>
          <w:szCs w:val="24"/>
        </w:rPr>
        <w:t>L</w:t>
      </w:r>
      <w:r w:rsidR="00ED3BCD" w:rsidRPr="00C61B8C">
        <w:rPr>
          <w:rFonts w:ascii="Times New Roman" w:hAnsi="Times New Roman"/>
          <w:b/>
          <w:sz w:val="24"/>
          <w:szCs w:val="24"/>
        </w:rPr>
        <w:t>es chocs sociaux et les chocs économiques frappent de façon presque identique les ménages quel</w:t>
      </w:r>
      <w:r w:rsidR="00AB2605">
        <w:rPr>
          <w:rFonts w:ascii="Times New Roman" w:hAnsi="Times New Roman"/>
          <w:b/>
          <w:sz w:val="24"/>
          <w:szCs w:val="24"/>
        </w:rPr>
        <w:t xml:space="preserve"> </w:t>
      </w:r>
      <w:r w:rsidR="00ED3BCD" w:rsidRPr="00C61B8C">
        <w:rPr>
          <w:rFonts w:ascii="Times New Roman" w:hAnsi="Times New Roman"/>
          <w:b/>
          <w:sz w:val="24"/>
          <w:szCs w:val="24"/>
        </w:rPr>
        <w:t>que soit leur secteur d’activité</w:t>
      </w:r>
      <w:r w:rsidR="00ED3BCD">
        <w:rPr>
          <w:rFonts w:ascii="Times New Roman" w:hAnsi="Times New Roman"/>
          <w:sz w:val="24"/>
          <w:szCs w:val="24"/>
        </w:rPr>
        <w:t>. Les chocs biophysiques permettent cependant de faire la distinction entre ces deux grou</w:t>
      </w:r>
      <w:r w:rsidR="0082310B">
        <w:rPr>
          <w:rFonts w:ascii="Times New Roman" w:hAnsi="Times New Roman"/>
          <w:sz w:val="24"/>
          <w:szCs w:val="24"/>
        </w:rPr>
        <w:t>pes. En effet, la prévalence de ces</w:t>
      </w:r>
      <w:r w:rsidR="00ED3BCD">
        <w:rPr>
          <w:rFonts w:ascii="Times New Roman" w:hAnsi="Times New Roman"/>
          <w:sz w:val="24"/>
          <w:szCs w:val="24"/>
        </w:rPr>
        <w:t xml:space="preserve"> chocs parmi les ménages d’activité informelle (activité principale du chef de ménage) vaut trois fois celle des ménages d’activité formelle. </w:t>
      </w:r>
    </w:p>
    <w:p w:rsidR="00166B4F" w:rsidRDefault="00166B4F" w:rsidP="00ED3BCD">
      <w:pPr>
        <w:autoSpaceDE w:val="0"/>
        <w:autoSpaceDN w:val="0"/>
        <w:adjustRightInd w:val="0"/>
        <w:spacing w:line="276" w:lineRule="auto"/>
        <w:rPr>
          <w:rFonts w:ascii="Times New Roman" w:hAnsi="Times New Roman"/>
          <w:sz w:val="24"/>
          <w:szCs w:val="24"/>
        </w:rPr>
      </w:pPr>
    </w:p>
    <w:p w:rsidR="00ED3BCD" w:rsidRPr="002D05BB" w:rsidRDefault="00ED3BCD" w:rsidP="00ED3BCD">
      <w:pPr>
        <w:autoSpaceDE w:val="0"/>
        <w:autoSpaceDN w:val="0"/>
        <w:adjustRightInd w:val="0"/>
        <w:spacing w:line="276" w:lineRule="auto"/>
        <w:rPr>
          <w:rFonts w:ascii="Times New Roman" w:eastAsia="Times New Roman" w:hAnsi="Times New Roman"/>
          <w:color w:val="000000"/>
          <w:sz w:val="24"/>
          <w:szCs w:val="24"/>
        </w:rPr>
      </w:pPr>
      <w:r w:rsidRPr="002D05BB">
        <w:rPr>
          <w:rFonts w:ascii="Times New Roman" w:hAnsi="Times New Roman"/>
          <w:sz w:val="24"/>
          <w:szCs w:val="24"/>
        </w:rPr>
        <w:t>L’</w:t>
      </w:r>
      <w:r>
        <w:rPr>
          <w:rFonts w:ascii="Times New Roman" w:hAnsi="Times New Roman"/>
          <w:sz w:val="24"/>
          <w:szCs w:val="24"/>
        </w:rPr>
        <w:t xml:space="preserve">analyse </w:t>
      </w:r>
      <w:r w:rsidRPr="002D05BB">
        <w:rPr>
          <w:rFonts w:ascii="Times New Roman" w:hAnsi="Times New Roman"/>
          <w:sz w:val="24"/>
          <w:szCs w:val="24"/>
        </w:rPr>
        <w:t xml:space="preserve">des prévalences des chocs en fonction des branches d’activité donne des résultats beaucoup plus </w:t>
      </w:r>
      <w:r>
        <w:rPr>
          <w:rFonts w:ascii="Times New Roman" w:hAnsi="Times New Roman"/>
          <w:sz w:val="24"/>
          <w:szCs w:val="24"/>
        </w:rPr>
        <w:t>directs</w:t>
      </w:r>
      <w:r w:rsidRPr="002D05BB">
        <w:rPr>
          <w:rFonts w:ascii="Times New Roman" w:hAnsi="Times New Roman"/>
          <w:sz w:val="24"/>
          <w:szCs w:val="24"/>
        </w:rPr>
        <w:t xml:space="preserve">. Toutes les branches d’activité </w:t>
      </w:r>
      <w:r>
        <w:rPr>
          <w:rFonts w:ascii="Times New Roman" w:hAnsi="Times New Roman"/>
          <w:sz w:val="24"/>
          <w:szCs w:val="24"/>
        </w:rPr>
        <w:t>ont été fortement touchées par les</w:t>
      </w:r>
      <w:r w:rsidRPr="002D05BB">
        <w:rPr>
          <w:rFonts w:ascii="Times New Roman" w:hAnsi="Times New Roman"/>
          <w:sz w:val="24"/>
          <w:szCs w:val="24"/>
        </w:rPr>
        <w:t xml:space="preserve"> chocs économiques (augmentation des prix, chômage, baisse de revenu, etc)</w:t>
      </w:r>
      <w:r>
        <w:rPr>
          <w:rFonts w:ascii="Times New Roman" w:hAnsi="Times New Roman"/>
          <w:sz w:val="24"/>
          <w:szCs w:val="24"/>
        </w:rPr>
        <w:t>.</w:t>
      </w:r>
      <w:r w:rsidRPr="002D05BB">
        <w:rPr>
          <w:rFonts w:ascii="Times New Roman" w:hAnsi="Times New Roman"/>
          <w:sz w:val="24"/>
          <w:szCs w:val="24"/>
        </w:rPr>
        <w:t xml:space="preserve"> Les «Agriculteurs» ont été le</w:t>
      </w:r>
      <w:r>
        <w:rPr>
          <w:rFonts w:ascii="Times New Roman" w:hAnsi="Times New Roman"/>
          <w:sz w:val="24"/>
          <w:szCs w:val="24"/>
        </w:rPr>
        <w:t>s</w:t>
      </w:r>
      <w:r w:rsidRPr="002D05BB">
        <w:rPr>
          <w:rFonts w:ascii="Times New Roman" w:hAnsi="Times New Roman"/>
          <w:sz w:val="24"/>
          <w:szCs w:val="24"/>
        </w:rPr>
        <w:t xml:space="preserve"> moins touchés par ce type de choc avec une proportion d’environ 36%. Comme on peut le présager pour les chocs biophysiques, les branches agriculture et textile/coton, sont plus impactées par rapport aux autres catégories avec des proportions de 46% et 25,5% respectivement, </w:t>
      </w:r>
      <w:r>
        <w:rPr>
          <w:rFonts w:ascii="Times New Roman" w:hAnsi="Times New Roman"/>
          <w:sz w:val="24"/>
          <w:szCs w:val="24"/>
        </w:rPr>
        <w:t xml:space="preserve">contre 18,5% </w:t>
      </w:r>
      <w:r w:rsidRPr="002D05BB">
        <w:rPr>
          <w:rFonts w:ascii="Times New Roman" w:hAnsi="Times New Roman"/>
          <w:sz w:val="24"/>
          <w:szCs w:val="24"/>
        </w:rPr>
        <w:t xml:space="preserve">qui ne </w:t>
      </w:r>
      <w:r>
        <w:rPr>
          <w:rFonts w:ascii="Times New Roman" w:hAnsi="Times New Roman"/>
          <w:sz w:val="24"/>
          <w:szCs w:val="24"/>
        </w:rPr>
        <w:t xml:space="preserve">le </w:t>
      </w:r>
      <w:r w:rsidRPr="002D05BB">
        <w:rPr>
          <w:rFonts w:ascii="Times New Roman" w:hAnsi="Times New Roman"/>
          <w:sz w:val="24"/>
          <w:szCs w:val="24"/>
        </w:rPr>
        <w:t xml:space="preserve">sont </w:t>
      </w:r>
      <w:r>
        <w:rPr>
          <w:rFonts w:ascii="Times New Roman" w:hAnsi="Times New Roman"/>
          <w:sz w:val="24"/>
          <w:szCs w:val="24"/>
        </w:rPr>
        <w:t xml:space="preserve">pas. </w:t>
      </w:r>
      <w:r w:rsidRPr="002D05BB">
        <w:rPr>
          <w:rFonts w:ascii="Times New Roman" w:hAnsi="Times New Roman"/>
          <w:sz w:val="24"/>
          <w:szCs w:val="24"/>
        </w:rPr>
        <w:t xml:space="preserve">La prévalence des chocs sociaux ne semble pas trop varier </w:t>
      </w:r>
      <w:r w:rsidR="000866A4">
        <w:rPr>
          <w:rFonts w:ascii="Times New Roman" w:hAnsi="Times New Roman"/>
          <w:sz w:val="24"/>
          <w:szCs w:val="24"/>
        </w:rPr>
        <w:t xml:space="preserve">selon </w:t>
      </w:r>
      <w:r w:rsidRPr="002D05BB">
        <w:rPr>
          <w:rFonts w:ascii="Times New Roman" w:hAnsi="Times New Roman"/>
          <w:sz w:val="24"/>
          <w:szCs w:val="24"/>
        </w:rPr>
        <w:t>la branche d’activit</w:t>
      </w:r>
      <w:r>
        <w:rPr>
          <w:rFonts w:ascii="Times New Roman" w:hAnsi="Times New Roman"/>
          <w:sz w:val="24"/>
          <w:szCs w:val="24"/>
        </w:rPr>
        <w:t>é ou le pôle de croissance. L’</w:t>
      </w:r>
      <w:r w:rsidRPr="002D05BB">
        <w:rPr>
          <w:rFonts w:ascii="Times New Roman" w:hAnsi="Times New Roman"/>
          <w:sz w:val="24"/>
          <w:szCs w:val="24"/>
        </w:rPr>
        <w:t>agroalimentaire est celui le plus touché avec 23,4% des ménages qui le composent pour un maximum de 16,7% au sein des autres branches.</w:t>
      </w:r>
    </w:p>
    <w:p w:rsidR="00ED3BCD" w:rsidRDefault="00ED3BCD" w:rsidP="00ED3BCD">
      <w:pPr>
        <w:spacing w:line="276" w:lineRule="auto"/>
        <w:rPr>
          <w:rFonts w:ascii="Times New Roman" w:eastAsia="Times New Roman" w:hAnsi="Times New Roman"/>
          <w:b/>
          <w:color w:val="000000"/>
          <w:sz w:val="24"/>
          <w:szCs w:val="24"/>
        </w:rPr>
      </w:pPr>
    </w:p>
    <w:p w:rsidR="00805905" w:rsidRDefault="001064B7" w:rsidP="00805905">
      <w:pPr>
        <w:autoSpaceDE w:val="0"/>
        <w:autoSpaceDN w:val="0"/>
        <w:adjustRightInd w:val="0"/>
        <w:spacing w:line="276" w:lineRule="auto"/>
        <w:rPr>
          <w:rFonts w:ascii="Times New Roman" w:hAnsi="Times New Roman"/>
          <w:sz w:val="24"/>
          <w:szCs w:val="24"/>
        </w:rPr>
      </w:pPr>
      <w:r w:rsidRPr="001064B7">
        <w:rPr>
          <w:rFonts w:ascii="Times New Roman" w:hAnsi="Times New Roman"/>
          <w:b/>
          <w:sz w:val="24"/>
          <w:szCs w:val="24"/>
        </w:rPr>
        <w:t xml:space="preserve">La prévalence aux chocs en fonction </w:t>
      </w:r>
      <w:r w:rsidR="00AB2605" w:rsidRPr="001064B7">
        <w:rPr>
          <w:rFonts w:ascii="Times New Roman" w:hAnsi="Times New Roman"/>
          <w:b/>
          <w:sz w:val="24"/>
          <w:szCs w:val="24"/>
        </w:rPr>
        <w:t>d</w:t>
      </w:r>
      <w:r w:rsidR="00AB2605">
        <w:rPr>
          <w:rFonts w:ascii="Times New Roman" w:hAnsi="Times New Roman"/>
          <w:b/>
          <w:sz w:val="24"/>
          <w:szCs w:val="24"/>
        </w:rPr>
        <w:t>u</w:t>
      </w:r>
      <w:r w:rsidR="00AB2605" w:rsidRPr="001064B7">
        <w:rPr>
          <w:rFonts w:ascii="Times New Roman" w:hAnsi="Times New Roman"/>
          <w:b/>
          <w:sz w:val="24"/>
          <w:szCs w:val="24"/>
        </w:rPr>
        <w:t xml:space="preserve"> </w:t>
      </w:r>
      <w:r w:rsidRPr="001064B7">
        <w:rPr>
          <w:rFonts w:ascii="Times New Roman" w:hAnsi="Times New Roman"/>
          <w:b/>
          <w:sz w:val="24"/>
          <w:szCs w:val="24"/>
        </w:rPr>
        <w:t>niveau de vie monétaire (quintile de richesse) des ménages.</w:t>
      </w:r>
      <w:r w:rsidR="00B9173E">
        <w:rPr>
          <w:rFonts w:ascii="Times New Roman" w:hAnsi="Times New Roman"/>
          <w:b/>
          <w:sz w:val="24"/>
          <w:szCs w:val="24"/>
        </w:rPr>
        <w:t xml:space="preserve"> </w:t>
      </w:r>
      <w:r w:rsidRPr="001064B7">
        <w:rPr>
          <w:rFonts w:ascii="Times New Roman" w:hAnsi="Times New Roman"/>
          <w:sz w:val="24"/>
          <w:szCs w:val="24"/>
        </w:rPr>
        <w:t>Comme le montre le graphique ci-dessous, la prévalence des chocs économiques est une fonction croissante du niveau de vie monétaire</w:t>
      </w:r>
      <w:r w:rsidR="00805905" w:rsidRPr="008F0493">
        <w:rPr>
          <w:rFonts w:ascii="Times New Roman" w:hAnsi="Times New Roman"/>
          <w:sz w:val="24"/>
          <w:szCs w:val="24"/>
        </w:rPr>
        <w:t>. En passant des plus pauvres aux plus riches, les pourcentages de ménages a</w:t>
      </w:r>
      <w:r w:rsidR="00805905">
        <w:rPr>
          <w:rFonts w:ascii="Times New Roman" w:hAnsi="Times New Roman"/>
          <w:sz w:val="24"/>
          <w:szCs w:val="24"/>
        </w:rPr>
        <w:t>ffectés sont croissants et varien</w:t>
      </w:r>
      <w:r w:rsidR="00805905" w:rsidRPr="008F0493">
        <w:rPr>
          <w:rFonts w:ascii="Times New Roman" w:hAnsi="Times New Roman"/>
          <w:sz w:val="24"/>
          <w:szCs w:val="24"/>
        </w:rPr>
        <w:t xml:space="preserve">t de 36,7% à 46,1% alors que le constat est contraire avec les chocs biophysiques. </w:t>
      </w:r>
      <w:r w:rsidR="00805905">
        <w:rPr>
          <w:rFonts w:ascii="Times New Roman" w:hAnsi="Times New Roman"/>
          <w:sz w:val="24"/>
          <w:szCs w:val="24"/>
        </w:rPr>
        <w:t xml:space="preserve">Les classes les plus aisées sont plus victimes des chocs économiques alors que les plus pauvres ou pauvres sont plus exposés aux chocs biophysiques. </w:t>
      </w:r>
      <w:r w:rsidR="00805905" w:rsidRPr="008F0493">
        <w:rPr>
          <w:rFonts w:ascii="Times New Roman" w:hAnsi="Times New Roman"/>
          <w:sz w:val="24"/>
          <w:szCs w:val="24"/>
        </w:rPr>
        <w:t xml:space="preserve">Quant aux chocs sociaux, l’allure plus ou moins linéaire de son graphe laisse présager des similitudes entre les classes. </w:t>
      </w:r>
    </w:p>
    <w:p w:rsidR="00ED3BCD" w:rsidRPr="00805905" w:rsidRDefault="00ED3BCD" w:rsidP="00ED3BCD">
      <w:pPr>
        <w:spacing w:line="276" w:lineRule="auto"/>
        <w:rPr>
          <w:rFonts w:ascii="Times New Roman" w:hAnsi="Times New Roman"/>
          <w:b/>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9"/>
      </w:tblGrid>
      <w:tr w:rsidR="00907057" w:rsidRPr="00907057" w:rsidTr="00907057">
        <w:trPr>
          <w:trHeight w:val="402"/>
        </w:trPr>
        <w:tc>
          <w:tcPr>
            <w:tcW w:w="4556" w:type="dxa"/>
            <w:shd w:val="clear" w:color="auto" w:fill="92CDDC" w:themeFill="accent5" w:themeFillTint="99"/>
          </w:tcPr>
          <w:p w:rsidR="00907057" w:rsidRPr="00907057" w:rsidRDefault="00907057" w:rsidP="00907057">
            <w:pPr>
              <w:spacing w:line="240" w:lineRule="auto"/>
              <w:ind w:left="-57"/>
              <w:jc w:val="left"/>
              <w:rPr>
                <w:rFonts w:ascii="Times New Roman" w:hAnsi="Times New Roman"/>
                <w:noProof/>
                <w:sz w:val="24"/>
                <w:szCs w:val="24"/>
                <w:lang w:eastAsia="fr-FR"/>
              </w:rPr>
            </w:pPr>
            <w:bookmarkStart w:id="94" w:name="_Toc369711070"/>
            <w:r w:rsidRPr="00907057">
              <w:rPr>
                <w:rFonts w:ascii="Times New Roman" w:hAnsi="Times New Roman"/>
                <w:sz w:val="24"/>
                <w:szCs w:val="24"/>
              </w:rPr>
              <w:t>Graphique 3.</w:t>
            </w:r>
            <w:r w:rsidR="00182C97" w:rsidRPr="00907057">
              <w:rPr>
                <w:rFonts w:ascii="Times New Roman" w:hAnsi="Times New Roman"/>
                <w:sz w:val="24"/>
                <w:szCs w:val="24"/>
              </w:rPr>
              <w:fldChar w:fldCharType="begin"/>
            </w:r>
            <w:r w:rsidRPr="00907057">
              <w:rPr>
                <w:rFonts w:ascii="Times New Roman" w:hAnsi="Times New Roman"/>
                <w:sz w:val="24"/>
                <w:szCs w:val="24"/>
              </w:rPr>
              <w:instrText xml:space="preserve"> SEQ Graphique_4. \* ARABIC </w:instrText>
            </w:r>
            <w:r w:rsidR="00182C97" w:rsidRPr="00907057">
              <w:rPr>
                <w:rFonts w:ascii="Times New Roman" w:hAnsi="Times New Roman"/>
                <w:sz w:val="24"/>
                <w:szCs w:val="24"/>
              </w:rPr>
              <w:fldChar w:fldCharType="separate"/>
            </w:r>
            <w:r w:rsidR="00AB1967">
              <w:rPr>
                <w:rFonts w:ascii="Times New Roman" w:hAnsi="Times New Roman"/>
                <w:noProof/>
                <w:sz w:val="24"/>
                <w:szCs w:val="24"/>
              </w:rPr>
              <w:t>2</w:t>
            </w:r>
            <w:r w:rsidR="00182C97" w:rsidRPr="00907057">
              <w:rPr>
                <w:rFonts w:ascii="Times New Roman" w:hAnsi="Times New Roman"/>
                <w:sz w:val="24"/>
                <w:szCs w:val="24"/>
              </w:rPr>
              <w:fldChar w:fldCharType="end"/>
            </w:r>
            <w:r w:rsidRPr="00907057">
              <w:rPr>
                <w:rFonts w:ascii="Times New Roman" w:hAnsi="Times New Roman"/>
                <w:sz w:val="24"/>
                <w:szCs w:val="24"/>
              </w:rPr>
              <w:t>: Quintile de richesse et prévalence aux chocs</w:t>
            </w:r>
            <w:bookmarkEnd w:id="94"/>
          </w:p>
        </w:tc>
      </w:tr>
      <w:tr w:rsidR="006323D4" w:rsidTr="00907057">
        <w:tc>
          <w:tcPr>
            <w:tcW w:w="4556" w:type="dxa"/>
            <w:shd w:val="clear" w:color="auto" w:fill="DAEEF3" w:themeFill="accent5" w:themeFillTint="33"/>
          </w:tcPr>
          <w:p w:rsidR="006323D4" w:rsidRDefault="006323D4" w:rsidP="00394FEA">
            <w:pPr>
              <w:spacing w:before="120" w:after="120" w:line="240" w:lineRule="auto"/>
              <w:ind w:left="-57"/>
              <w:jc w:val="center"/>
            </w:pPr>
            <w:r w:rsidRPr="00FC3C4C">
              <w:rPr>
                <w:noProof/>
                <w:lang w:eastAsia="fr-FR"/>
              </w:rPr>
              <w:drawing>
                <wp:inline distT="0" distB="0" distL="0" distR="0" wp14:anchorId="38D8597E" wp14:editId="5EEE072C">
                  <wp:extent cx="5539105" cy="2533650"/>
                  <wp:effectExtent l="19050" t="0" r="23495" b="0"/>
                  <wp:docPr id="82"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6323D4" w:rsidRPr="006323D4" w:rsidTr="00907057">
        <w:tc>
          <w:tcPr>
            <w:tcW w:w="4556" w:type="dxa"/>
            <w:shd w:val="clear" w:color="auto" w:fill="DAEEF3" w:themeFill="accent5" w:themeFillTint="33"/>
          </w:tcPr>
          <w:p w:rsidR="006323D4" w:rsidRPr="006323D4" w:rsidRDefault="006323D4" w:rsidP="00394FEA">
            <w:pPr>
              <w:spacing w:line="240" w:lineRule="auto"/>
              <w:rPr>
                <w:rFonts w:ascii="Times New Roman" w:hAnsi="Times New Roman"/>
                <w:sz w:val="20"/>
                <w:szCs w:val="20"/>
              </w:rPr>
            </w:pPr>
            <w:r w:rsidRPr="006323D4">
              <w:rPr>
                <w:rFonts w:ascii="Times New Roman" w:hAnsi="Times New Roman"/>
                <w:sz w:val="20"/>
                <w:szCs w:val="20"/>
              </w:rPr>
              <w:t>Source : INSAE, EMICoV 2010</w:t>
            </w:r>
          </w:p>
        </w:tc>
      </w:tr>
    </w:tbl>
    <w:p w:rsidR="006323D4" w:rsidRPr="00FC3C4C" w:rsidRDefault="006323D4" w:rsidP="006323D4"/>
    <w:p w:rsidR="00ED3BCD" w:rsidRDefault="005938DC" w:rsidP="00ED3BCD">
      <w:pPr>
        <w:autoSpaceDE w:val="0"/>
        <w:autoSpaceDN w:val="0"/>
        <w:adjustRightInd w:val="0"/>
        <w:spacing w:line="276" w:lineRule="auto"/>
        <w:rPr>
          <w:rFonts w:ascii="Times New Roman" w:hAnsi="Times New Roman"/>
          <w:sz w:val="24"/>
          <w:szCs w:val="24"/>
        </w:rPr>
      </w:pPr>
      <w:r>
        <w:rPr>
          <w:rFonts w:ascii="Times New Roman" w:hAnsi="Times New Roman"/>
          <w:b/>
          <w:sz w:val="24"/>
          <w:szCs w:val="24"/>
        </w:rPr>
        <w:t>L</w:t>
      </w:r>
      <w:r w:rsidR="00ED3BCD" w:rsidRPr="00AC38BA">
        <w:rPr>
          <w:rFonts w:ascii="Times New Roman" w:hAnsi="Times New Roman"/>
          <w:b/>
          <w:sz w:val="24"/>
          <w:szCs w:val="24"/>
        </w:rPr>
        <w:t xml:space="preserve">es chocs biophysiques </w:t>
      </w:r>
      <w:r w:rsidR="00914610">
        <w:rPr>
          <w:rFonts w:ascii="Times New Roman" w:hAnsi="Times New Roman"/>
          <w:b/>
          <w:sz w:val="24"/>
          <w:szCs w:val="24"/>
        </w:rPr>
        <w:t>sont</w:t>
      </w:r>
      <w:r>
        <w:rPr>
          <w:rFonts w:ascii="Times New Roman" w:hAnsi="Times New Roman"/>
          <w:b/>
          <w:sz w:val="24"/>
          <w:szCs w:val="24"/>
        </w:rPr>
        <w:t xml:space="preserve"> plus susceptibles  de favoriser une mobilité vers les états de bien-être descendants.</w:t>
      </w:r>
      <w:r w:rsidR="002D3954">
        <w:rPr>
          <w:rFonts w:ascii="Times New Roman" w:hAnsi="Times New Roman"/>
          <w:b/>
          <w:sz w:val="24"/>
          <w:szCs w:val="24"/>
        </w:rPr>
        <w:t xml:space="preserve"> </w:t>
      </w:r>
      <w:r w:rsidR="00ED3BCD" w:rsidRPr="00AC38BA">
        <w:rPr>
          <w:rFonts w:ascii="Times New Roman" w:hAnsi="Times New Roman"/>
          <w:sz w:val="24"/>
          <w:szCs w:val="24"/>
        </w:rPr>
        <w:t xml:space="preserve">Comme le montre le </w:t>
      </w:r>
      <w:r w:rsidR="00ED3BCD">
        <w:rPr>
          <w:rFonts w:ascii="Times New Roman" w:hAnsi="Times New Roman"/>
          <w:sz w:val="24"/>
          <w:szCs w:val="24"/>
        </w:rPr>
        <w:t>tableau</w:t>
      </w:r>
      <w:r w:rsidR="00ED3BCD" w:rsidRPr="00AC38BA">
        <w:rPr>
          <w:rFonts w:ascii="Times New Roman" w:hAnsi="Times New Roman"/>
          <w:sz w:val="24"/>
          <w:szCs w:val="24"/>
        </w:rPr>
        <w:t xml:space="preserve"> ci-dess</w:t>
      </w:r>
      <w:r w:rsidR="00ED3BCD">
        <w:rPr>
          <w:rFonts w:ascii="Times New Roman" w:hAnsi="Times New Roman"/>
          <w:sz w:val="24"/>
          <w:szCs w:val="24"/>
        </w:rPr>
        <w:t>o</w:t>
      </w:r>
      <w:r w:rsidR="00ED3BCD" w:rsidRPr="00AC38BA">
        <w:rPr>
          <w:rFonts w:ascii="Times New Roman" w:hAnsi="Times New Roman"/>
          <w:sz w:val="24"/>
          <w:szCs w:val="24"/>
        </w:rPr>
        <w:t xml:space="preserve">us, la prévalence des chocs biophysiques est </w:t>
      </w:r>
      <w:r w:rsidR="00ED3BCD">
        <w:rPr>
          <w:rFonts w:ascii="Times New Roman" w:hAnsi="Times New Roman"/>
          <w:sz w:val="24"/>
          <w:szCs w:val="24"/>
        </w:rPr>
        <w:t xml:space="preserve">plus élevée pour les ménages ayant connu une transition négative. Par contre, la corrélation entre le degré de prévalence des chocs sociaux et économiques avec la mobilité des ménages  dans la pauvreté </w:t>
      </w:r>
      <w:r w:rsidR="00AB2605">
        <w:rPr>
          <w:rFonts w:ascii="Times New Roman" w:hAnsi="Times New Roman"/>
          <w:sz w:val="24"/>
          <w:szCs w:val="24"/>
        </w:rPr>
        <w:t xml:space="preserve">paraît </w:t>
      </w:r>
      <w:r w:rsidR="00ED3BCD">
        <w:rPr>
          <w:rFonts w:ascii="Times New Roman" w:hAnsi="Times New Roman"/>
          <w:sz w:val="24"/>
          <w:szCs w:val="24"/>
        </w:rPr>
        <w:t xml:space="preserve">très peu apparente. </w:t>
      </w:r>
    </w:p>
    <w:p w:rsidR="00A311DF" w:rsidRDefault="00A311DF"/>
    <w:tbl>
      <w:tblPr>
        <w:tblW w:w="9007" w:type="dxa"/>
        <w:jc w:val="center"/>
        <w:tblLook w:val="04A0" w:firstRow="1" w:lastRow="0" w:firstColumn="1" w:lastColumn="0" w:noHBand="0" w:noVBand="1"/>
      </w:tblPr>
      <w:tblGrid>
        <w:gridCol w:w="5093"/>
        <w:gridCol w:w="1160"/>
        <w:gridCol w:w="1377"/>
        <w:gridCol w:w="1377"/>
      </w:tblGrid>
      <w:tr w:rsidR="00A311DF" w:rsidRPr="00B9565B" w:rsidTr="00907057">
        <w:trPr>
          <w:trHeight w:val="428"/>
          <w:jc w:val="center"/>
        </w:trPr>
        <w:tc>
          <w:tcPr>
            <w:tcW w:w="9007" w:type="dxa"/>
            <w:gridSpan w:val="4"/>
            <w:tcBorders>
              <w:left w:val="nil"/>
              <w:bottom w:val="single" w:sz="8" w:space="0" w:color="000000"/>
              <w:right w:val="nil"/>
            </w:tcBorders>
            <w:shd w:val="clear" w:color="auto" w:fill="92CDDC" w:themeFill="accent5" w:themeFillTint="99"/>
            <w:noWrap/>
            <w:vAlign w:val="center"/>
            <w:hideMark/>
          </w:tcPr>
          <w:p w:rsidR="00A311DF" w:rsidRPr="00A311DF" w:rsidRDefault="00A311DF" w:rsidP="00A311DF">
            <w:pPr>
              <w:spacing w:line="276" w:lineRule="auto"/>
              <w:jc w:val="left"/>
              <w:rPr>
                <w:rFonts w:ascii="Times New Roman" w:eastAsia="Times New Roman" w:hAnsi="Times New Roman"/>
                <w:b/>
                <w:bCs/>
                <w:color w:val="000000"/>
                <w:sz w:val="24"/>
                <w:szCs w:val="24"/>
              </w:rPr>
            </w:pPr>
            <w:bookmarkStart w:id="95" w:name="_Toc369714589"/>
            <w:bookmarkStart w:id="96" w:name="_Toc369720452"/>
            <w:r w:rsidRPr="00A311DF">
              <w:rPr>
                <w:rFonts w:ascii="Times New Roman" w:hAnsi="Times New Roman"/>
                <w:sz w:val="24"/>
                <w:szCs w:val="24"/>
              </w:rPr>
              <w:t xml:space="preserve">Tableau 3. </w:t>
            </w:r>
            <w:r w:rsidR="00182C97" w:rsidRPr="00A311DF">
              <w:rPr>
                <w:rFonts w:ascii="Times New Roman" w:hAnsi="Times New Roman"/>
                <w:sz w:val="24"/>
                <w:szCs w:val="24"/>
              </w:rPr>
              <w:fldChar w:fldCharType="begin"/>
            </w:r>
            <w:r w:rsidRPr="00A311DF">
              <w:rPr>
                <w:rFonts w:ascii="Times New Roman" w:eastAsia="Times New Roman" w:hAnsi="Times New Roman"/>
                <w:bCs/>
                <w:sz w:val="24"/>
                <w:szCs w:val="24"/>
              </w:rPr>
              <w:instrText xml:space="preserve"> SEQ Tableau_3. \* ARABIC </w:instrText>
            </w:r>
            <w:r w:rsidR="00182C97" w:rsidRPr="00A311DF">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2</w:t>
            </w:r>
            <w:r w:rsidR="00182C97" w:rsidRPr="00A311DF">
              <w:rPr>
                <w:rFonts w:ascii="Times New Roman" w:eastAsia="Times New Roman" w:hAnsi="Times New Roman"/>
                <w:bCs/>
                <w:sz w:val="24"/>
                <w:szCs w:val="24"/>
              </w:rPr>
              <w:fldChar w:fldCharType="end"/>
            </w:r>
            <w:r w:rsidRPr="00A311DF">
              <w:rPr>
                <w:rFonts w:ascii="Times New Roman" w:hAnsi="Times New Roman"/>
                <w:bCs/>
                <w:sz w:val="24"/>
                <w:szCs w:val="24"/>
              </w:rPr>
              <w:t xml:space="preserve">: </w:t>
            </w:r>
            <w:r w:rsidRPr="00A311DF">
              <w:rPr>
                <w:rFonts w:ascii="Times New Roman" w:eastAsia="Times New Roman" w:hAnsi="Times New Roman"/>
                <w:bCs/>
                <w:sz w:val="24"/>
                <w:szCs w:val="24"/>
              </w:rPr>
              <w:t>Statut de mobilité dans la pauvreté et prévalence aux chocs</w:t>
            </w:r>
            <w:bookmarkEnd w:id="95"/>
            <w:bookmarkEnd w:id="96"/>
          </w:p>
        </w:tc>
      </w:tr>
      <w:tr w:rsidR="00B9565B" w:rsidRPr="00B9565B" w:rsidTr="00394FEA">
        <w:trPr>
          <w:trHeight w:val="428"/>
          <w:jc w:val="center"/>
        </w:trPr>
        <w:tc>
          <w:tcPr>
            <w:tcW w:w="5093" w:type="dxa"/>
            <w:tcBorders>
              <w:top w:val="double" w:sz="6" w:space="0" w:color="000000"/>
              <w:left w:val="nil"/>
              <w:bottom w:val="single" w:sz="8" w:space="0" w:color="000000"/>
              <w:right w:val="nil"/>
            </w:tcBorders>
            <w:shd w:val="clear" w:color="auto" w:fill="DAEEF3" w:themeFill="accent5" w:themeFillTint="33"/>
            <w:noWrap/>
            <w:vAlign w:val="center"/>
            <w:hideMark/>
          </w:tcPr>
          <w:p w:rsidR="00B9565B" w:rsidRPr="00B9565B" w:rsidRDefault="00B9565B" w:rsidP="00394FEA">
            <w:pPr>
              <w:spacing w:line="276" w:lineRule="auto"/>
              <w:jc w:val="center"/>
              <w:rPr>
                <w:rFonts w:ascii="Times New Roman" w:eastAsia="Times New Roman" w:hAnsi="Times New Roman"/>
                <w:b/>
                <w:bCs/>
                <w:sz w:val="20"/>
                <w:szCs w:val="20"/>
              </w:rPr>
            </w:pPr>
            <w:r w:rsidRPr="00B9565B">
              <w:rPr>
                <w:rFonts w:ascii="Times New Roman" w:eastAsia="Times New Roman" w:hAnsi="Times New Roman"/>
                <w:b/>
                <w:bCs/>
                <w:sz w:val="20"/>
                <w:szCs w:val="20"/>
              </w:rPr>
              <w:t> </w:t>
            </w:r>
          </w:p>
        </w:tc>
        <w:tc>
          <w:tcPr>
            <w:tcW w:w="1160" w:type="dxa"/>
            <w:tcBorders>
              <w:top w:val="double" w:sz="6" w:space="0" w:color="000000"/>
              <w:left w:val="nil"/>
              <w:bottom w:val="single" w:sz="8" w:space="0" w:color="000000"/>
              <w:right w:val="nil"/>
            </w:tcBorders>
            <w:shd w:val="clear" w:color="auto" w:fill="DAEEF3" w:themeFill="accent5" w:themeFillTint="33"/>
            <w:vAlign w:val="bottom"/>
            <w:hideMark/>
          </w:tcPr>
          <w:p w:rsidR="00B9565B" w:rsidRPr="00B9565B" w:rsidRDefault="00B9565B" w:rsidP="00394FEA">
            <w:pPr>
              <w:spacing w:line="276" w:lineRule="auto"/>
              <w:jc w:val="center"/>
              <w:rPr>
                <w:rFonts w:ascii="Times New Roman" w:eastAsia="Times New Roman" w:hAnsi="Times New Roman"/>
                <w:b/>
                <w:bCs/>
                <w:color w:val="000000"/>
                <w:sz w:val="18"/>
                <w:szCs w:val="18"/>
                <w:lang w:val="en-US"/>
              </w:rPr>
            </w:pPr>
            <w:r w:rsidRPr="00B9565B">
              <w:rPr>
                <w:rFonts w:ascii="Times New Roman" w:eastAsia="Times New Roman" w:hAnsi="Times New Roman"/>
                <w:b/>
                <w:bCs/>
                <w:color w:val="000000"/>
                <w:sz w:val="18"/>
                <w:szCs w:val="18"/>
                <w:lang w:val="en-US"/>
              </w:rPr>
              <w:t>Chocs</w:t>
            </w:r>
            <w:r w:rsidR="002D3954">
              <w:rPr>
                <w:rFonts w:ascii="Times New Roman" w:eastAsia="Times New Roman" w:hAnsi="Times New Roman"/>
                <w:b/>
                <w:bCs/>
                <w:color w:val="000000"/>
                <w:sz w:val="18"/>
                <w:szCs w:val="18"/>
                <w:lang w:val="en-US"/>
              </w:rPr>
              <w:t xml:space="preserve"> </w:t>
            </w:r>
            <w:r w:rsidRPr="00B9565B">
              <w:rPr>
                <w:rFonts w:ascii="Times New Roman" w:eastAsia="Times New Roman" w:hAnsi="Times New Roman"/>
                <w:b/>
                <w:bCs/>
                <w:color w:val="000000"/>
                <w:sz w:val="18"/>
                <w:szCs w:val="18"/>
                <w:lang w:val="en-US"/>
              </w:rPr>
              <w:t>sociaux</w:t>
            </w:r>
          </w:p>
        </w:tc>
        <w:tc>
          <w:tcPr>
            <w:tcW w:w="1377" w:type="dxa"/>
            <w:tcBorders>
              <w:top w:val="double" w:sz="6" w:space="0" w:color="000000"/>
              <w:left w:val="nil"/>
              <w:bottom w:val="single" w:sz="8" w:space="0" w:color="000000"/>
              <w:right w:val="nil"/>
            </w:tcBorders>
            <w:shd w:val="clear" w:color="auto" w:fill="DAEEF3" w:themeFill="accent5" w:themeFillTint="33"/>
            <w:vAlign w:val="bottom"/>
            <w:hideMark/>
          </w:tcPr>
          <w:p w:rsidR="00B9565B" w:rsidRPr="00B9565B" w:rsidRDefault="00B9565B" w:rsidP="00394FEA">
            <w:pPr>
              <w:spacing w:line="276" w:lineRule="auto"/>
              <w:jc w:val="center"/>
              <w:rPr>
                <w:rFonts w:ascii="Times New Roman" w:eastAsia="Times New Roman" w:hAnsi="Times New Roman"/>
                <w:b/>
                <w:bCs/>
                <w:color w:val="000000"/>
                <w:sz w:val="18"/>
                <w:szCs w:val="18"/>
                <w:lang w:val="en-US"/>
              </w:rPr>
            </w:pPr>
            <w:r w:rsidRPr="00B9565B">
              <w:rPr>
                <w:rFonts w:ascii="Times New Roman" w:eastAsia="Times New Roman" w:hAnsi="Times New Roman"/>
                <w:b/>
                <w:bCs/>
                <w:color w:val="000000"/>
                <w:sz w:val="18"/>
                <w:szCs w:val="18"/>
                <w:lang w:val="en-US"/>
              </w:rPr>
              <w:t>Chocs</w:t>
            </w:r>
            <w:r w:rsidR="002D3954">
              <w:rPr>
                <w:rFonts w:ascii="Times New Roman" w:eastAsia="Times New Roman" w:hAnsi="Times New Roman"/>
                <w:b/>
                <w:bCs/>
                <w:color w:val="000000"/>
                <w:sz w:val="18"/>
                <w:szCs w:val="18"/>
                <w:lang w:val="en-US"/>
              </w:rPr>
              <w:t xml:space="preserve"> </w:t>
            </w:r>
            <w:r w:rsidRPr="00B9565B">
              <w:rPr>
                <w:rFonts w:ascii="Times New Roman" w:eastAsia="Times New Roman" w:hAnsi="Times New Roman"/>
                <w:b/>
                <w:bCs/>
                <w:color w:val="000000"/>
                <w:sz w:val="18"/>
                <w:szCs w:val="18"/>
                <w:lang w:val="en-US"/>
              </w:rPr>
              <w:t>économiques</w:t>
            </w:r>
          </w:p>
        </w:tc>
        <w:tc>
          <w:tcPr>
            <w:tcW w:w="1377" w:type="dxa"/>
            <w:tcBorders>
              <w:top w:val="double" w:sz="6" w:space="0" w:color="000000"/>
              <w:left w:val="nil"/>
              <w:bottom w:val="single" w:sz="8" w:space="0" w:color="000000"/>
              <w:right w:val="nil"/>
            </w:tcBorders>
            <w:shd w:val="clear" w:color="auto" w:fill="DAEEF3" w:themeFill="accent5" w:themeFillTint="33"/>
            <w:vAlign w:val="bottom"/>
            <w:hideMark/>
          </w:tcPr>
          <w:p w:rsidR="00B9565B" w:rsidRPr="00B9565B" w:rsidRDefault="00B9565B" w:rsidP="00394FEA">
            <w:pPr>
              <w:spacing w:line="276" w:lineRule="auto"/>
              <w:jc w:val="center"/>
              <w:rPr>
                <w:rFonts w:ascii="Times New Roman" w:eastAsia="Times New Roman" w:hAnsi="Times New Roman"/>
                <w:b/>
                <w:bCs/>
                <w:color w:val="000000"/>
                <w:sz w:val="18"/>
                <w:szCs w:val="18"/>
                <w:lang w:val="en-US"/>
              </w:rPr>
            </w:pPr>
            <w:r w:rsidRPr="00B9565B">
              <w:rPr>
                <w:rFonts w:ascii="Times New Roman" w:eastAsia="Times New Roman" w:hAnsi="Times New Roman"/>
                <w:b/>
                <w:bCs/>
                <w:color w:val="000000"/>
                <w:sz w:val="18"/>
                <w:szCs w:val="18"/>
                <w:lang w:val="en-US"/>
              </w:rPr>
              <w:t>Chocs</w:t>
            </w:r>
            <w:r w:rsidR="002D3954">
              <w:rPr>
                <w:rFonts w:ascii="Times New Roman" w:eastAsia="Times New Roman" w:hAnsi="Times New Roman"/>
                <w:b/>
                <w:bCs/>
                <w:color w:val="000000"/>
                <w:sz w:val="18"/>
                <w:szCs w:val="18"/>
                <w:lang w:val="en-US"/>
              </w:rPr>
              <w:t xml:space="preserve"> </w:t>
            </w:r>
            <w:r w:rsidRPr="00B9565B">
              <w:rPr>
                <w:rFonts w:ascii="Times New Roman" w:eastAsia="Times New Roman" w:hAnsi="Times New Roman"/>
                <w:b/>
                <w:bCs/>
                <w:color w:val="000000"/>
                <w:sz w:val="18"/>
                <w:szCs w:val="18"/>
                <w:lang w:val="en-US"/>
              </w:rPr>
              <w:t>biophysiques</w:t>
            </w:r>
          </w:p>
        </w:tc>
      </w:tr>
      <w:tr w:rsidR="00B9565B" w:rsidRPr="00B9565B" w:rsidTr="00394FEA">
        <w:trPr>
          <w:trHeight w:val="300"/>
          <w:jc w:val="center"/>
        </w:trPr>
        <w:tc>
          <w:tcPr>
            <w:tcW w:w="5093" w:type="dxa"/>
            <w:tcBorders>
              <w:top w:val="nil"/>
              <w:left w:val="nil"/>
              <w:bottom w:val="nil"/>
              <w:right w:val="nil"/>
            </w:tcBorders>
            <w:shd w:val="clear" w:color="auto" w:fill="DAEEF3" w:themeFill="accent5" w:themeFillTint="33"/>
            <w:vAlign w:val="center"/>
            <w:hideMark/>
          </w:tcPr>
          <w:p w:rsidR="00B9565B" w:rsidRPr="00B9565B" w:rsidRDefault="00B9565B" w:rsidP="00394FEA">
            <w:pPr>
              <w:spacing w:line="276" w:lineRule="auto"/>
              <w:jc w:val="left"/>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Jamais</w:t>
            </w:r>
            <w:r w:rsidR="002D3954">
              <w:rPr>
                <w:rFonts w:ascii="Times New Roman" w:eastAsia="Times New Roman" w:hAnsi="Times New Roman"/>
                <w:color w:val="000000"/>
                <w:sz w:val="24"/>
                <w:szCs w:val="24"/>
                <w:lang w:val="en-US"/>
              </w:rPr>
              <w:t xml:space="preserve"> </w:t>
            </w:r>
            <w:r w:rsidRPr="00B9565B">
              <w:rPr>
                <w:rFonts w:ascii="Times New Roman" w:eastAsia="Times New Roman" w:hAnsi="Times New Roman"/>
                <w:color w:val="000000"/>
                <w:sz w:val="24"/>
                <w:szCs w:val="24"/>
                <w:lang w:val="en-US"/>
              </w:rPr>
              <w:t>pauvre</w:t>
            </w:r>
          </w:p>
        </w:tc>
        <w:tc>
          <w:tcPr>
            <w:tcW w:w="1160"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14,3</w:t>
            </w:r>
          </w:p>
        </w:tc>
        <w:tc>
          <w:tcPr>
            <w:tcW w:w="1377"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39,1</w:t>
            </w:r>
          </w:p>
        </w:tc>
        <w:tc>
          <w:tcPr>
            <w:tcW w:w="1377"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32,2</w:t>
            </w:r>
          </w:p>
        </w:tc>
      </w:tr>
      <w:tr w:rsidR="00B9565B" w:rsidRPr="00B9565B" w:rsidTr="00394FEA">
        <w:trPr>
          <w:trHeight w:val="345"/>
          <w:jc w:val="center"/>
        </w:trPr>
        <w:tc>
          <w:tcPr>
            <w:tcW w:w="5093" w:type="dxa"/>
            <w:tcBorders>
              <w:top w:val="nil"/>
              <w:left w:val="nil"/>
              <w:bottom w:val="nil"/>
              <w:right w:val="nil"/>
            </w:tcBorders>
            <w:shd w:val="clear" w:color="auto" w:fill="DAEEF3" w:themeFill="accent5" w:themeFillTint="33"/>
            <w:vAlign w:val="center"/>
            <w:hideMark/>
          </w:tcPr>
          <w:p w:rsidR="00B9565B" w:rsidRPr="00B9565B" w:rsidRDefault="00B9565B" w:rsidP="00394FEA">
            <w:pPr>
              <w:spacing w:line="276" w:lineRule="auto"/>
              <w:jc w:val="left"/>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Sortie de la pauvreté</w:t>
            </w:r>
          </w:p>
        </w:tc>
        <w:tc>
          <w:tcPr>
            <w:tcW w:w="1160"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14,8</w:t>
            </w:r>
          </w:p>
        </w:tc>
        <w:tc>
          <w:tcPr>
            <w:tcW w:w="1377"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40,5</w:t>
            </w:r>
          </w:p>
        </w:tc>
        <w:tc>
          <w:tcPr>
            <w:tcW w:w="1377"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35,0</w:t>
            </w:r>
          </w:p>
        </w:tc>
      </w:tr>
      <w:tr w:rsidR="00B9565B" w:rsidRPr="00B9565B" w:rsidTr="00394FEA">
        <w:trPr>
          <w:trHeight w:val="330"/>
          <w:jc w:val="center"/>
        </w:trPr>
        <w:tc>
          <w:tcPr>
            <w:tcW w:w="5093" w:type="dxa"/>
            <w:tcBorders>
              <w:top w:val="nil"/>
              <w:left w:val="nil"/>
              <w:bottom w:val="nil"/>
              <w:right w:val="nil"/>
            </w:tcBorders>
            <w:shd w:val="clear" w:color="auto" w:fill="DAEEF3" w:themeFill="accent5" w:themeFillTint="33"/>
            <w:vAlign w:val="center"/>
            <w:hideMark/>
          </w:tcPr>
          <w:p w:rsidR="00B9565B" w:rsidRPr="00B9565B" w:rsidRDefault="00B9565B" w:rsidP="00394FEA">
            <w:pPr>
              <w:spacing w:line="276" w:lineRule="auto"/>
              <w:jc w:val="left"/>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Entrée dans la pauvreté</w:t>
            </w:r>
          </w:p>
        </w:tc>
        <w:tc>
          <w:tcPr>
            <w:tcW w:w="1160"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15,0</w:t>
            </w:r>
          </w:p>
        </w:tc>
        <w:tc>
          <w:tcPr>
            <w:tcW w:w="1377"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37,9</w:t>
            </w:r>
          </w:p>
        </w:tc>
        <w:tc>
          <w:tcPr>
            <w:tcW w:w="1377" w:type="dxa"/>
            <w:tcBorders>
              <w:top w:val="nil"/>
              <w:left w:val="nil"/>
              <w:bottom w:val="nil"/>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39,4</w:t>
            </w:r>
          </w:p>
        </w:tc>
      </w:tr>
      <w:tr w:rsidR="00B9565B" w:rsidRPr="00B9565B" w:rsidTr="00394FEA">
        <w:trPr>
          <w:trHeight w:val="330"/>
          <w:jc w:val="center"/>
        </w:trPr>
        <w:tc>
          <w:tcPr>
            <w:tcW w:w="5093" w:type="dxa"/>
            <w:tcBorders>
              <w:top w:val="nil"/>
              <w:left w:val="nil"/>
              <w:bottom w:val="double" w:sz="6" w:space="0" w:color="auto"/>
              <w:right w:val="nil"/>
            </w:tcBorders>
            <w:shd w:val="clear" w:color="auto" w:fill="DAEEF3" w:themeFill="accent5" w:themeFillTint="33"/>
            <w:vAlign w:val="center"/>
            <w:hideMark/>
          </w:tcPr>
          <w:p w:rsidR="00B9565B" w:rsidRPr="00B9565B" w:rsidRDefault="00B9565B" w:rsidP="00394FEA">
            <w:pPr>
              <w:spacing w:line="276" w:lineRule="auto"/>
              <w:jc w:val="left"/>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Toujours</w:t>
            </w:r>
            <w:r w:rsidR="002D3954">
              <w:rPr>
                <w:rFonts w:ascii="Times New Roman" w:eastAsia="Times New Roman" w:hAnsi="Times New Roman"/>
                <w:color w:val="000000"/>
                <w:sz w:val="24"/>
                <w:szCs w:val="24"/>
                <w:lang w:val="en-US"/>
              </w:rPr>
              <w:t xml:space="preserve"> </w:t>
            </w:r>
            <w:r w:rsidRPr="00B9565B">
              <w:rPr>
                <w:rFonts w:ascii="Times New Roman" w:eastAsia="Times New Roman" w:hAnsi="Times New Roman"/>
                <w:color w:val="000000"/>
                <w:sz w:val="24"/>
                <w:szCs w:val="24"/>
                <w:lang w:val="en-US"/>
              </w:rPr>
              <w:t>pauvre</w:t>
            </w:r>
          </w:p>
        </w:tc>
        <w:tc>
          <w:tcPr>
            <w:tcW w:w="1160" w:type="dxa"/>
            <w:tcBorders>
              <w:top w:val="nil"/>
              <w:left w:val="nil"/>
              <w:bottom w:val="double" w:sz="6" w:space="0" w:color="auto"/>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14,9</w:t>
            </w:r>
          </w:p>
        </w:tc>
        <w:tc>
          <w:tcPr>
            <w:tcW w:w="1377" w:type="dxa"/>
            <w:tcBorders>
              <w:top w:val="nil"/>
              <w:left w:val="nil"/>
              <w:bottom w:val="double" w:sz="6" w:space="0" w:color="auto"/>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37,9</w:t>
            </w:r>
          </w:p>
        </w:tc>
        <w:tc>
          <w:tcPr>
            <w:tcW w:w="1377" w:type="dxa"/>
            <w:tcBorders>
              <w:top w:val="nil"/>
              <w:left w:val="nil"/>
              <w:bottom w:val="double" w:sz="6" w:space="0" w:color="auto"/>
              <w:right w:val="nil"/>
            </w:tcBorders>
            <w:shd w:val="clear" w:color="auto" w:fill="DAEEF3" w:themeFill="accent5" w:themeFillTint="33"/>
            <w:noWrap/>
            <w:hideMark/>
          </w:tcPr>
          <w:p w:rsidR="00B9565B" w:rsidRPr="00B9565B" w:rsidRDefault="00B9565B" w:rsidP="00394FEA">
            <w:pPr>
              <w:spacing w:line="276" w:lineRule="auto"/>
              <w:jc w:val="center"/>
              <w:rPr>
                <w:rFonts w:ascii="Times New Roman" w:eastAsia="Times New Roman" w:hAnsi="Times New Roman"/>
                <w:color w:val="000000"/>
                <w:sz w:val="24"/>
                <w:szCs w:val="24"/>
                <w:lang w:val="en-US"/>
              </w:rPr>
            </w:pPr>
            <w:r w:rsidRPr="00B9565B">
              <w:rPr>
                <w:rFonts w:ascii="Times New Roman" w:eastAsia="Times New Roman" w:hAnsi="Times New Roman"/>
                <w:color w:val="000000"/>
                <w:sz w:val="24"/>
                <w:szCs w:val="24"/>
                <w:lang w:val="en-US"/>
              </w:rPr>
              <w:t>42,7</w:t>
            </w:r>
          </w:p>
        </w:tc>
      </w:tr>
      <w:tr w:rsidR="00B9565B" w:rsidRPr="00B9565B" w:rsidTr="00394FEA">
        <w:trPr>
          <w:trHeight w:val="330"/>
          <w:jc w:val="center"/>
        </w:trPr>
        <w:tc>
          <w:tcPr>
            <w:tcW w:w="9007" w:type="dxa"/>
            <w:gridSpan w:val="4"/>
            <w:tcBorders>
              <w:top w:val="double" w:sz="6" w:space="0" w:color="auto"/>
              <w:left w:val="nil"/>
              <w:right w:val="nil"/>
            </w:tcBorders>
            <w:shd w:val="clear" w:color="auto" w:fill="DAEEF3" w:themeFill="accent5" w:themeFillTint="33"/>
            <w:vAlign w:val="center"/>
            <w:hideMark/>
          </w:tcPr>
          <w:p w:rsidR="00B9565B" w:rsidRPr="00B9565B" w:rsidRDefault="00B9565B" w:rsidP="00394FEA">
            <w:pPr>
              <w:autoSpaceDE w:val="0"/>
              <w:autoSpaceDN w:val="0"/>
              <w:adjustRightInd w:val="0"/>
              <w:spacing w:line="276" w:lineRule="auto"/>
              <w:rPr>
                <w:rFonts w:ascii="Times New Roman" w:hAnsi="Times New Roman"/>
                <w:sz w:val="20"/>
                <w:szCs w:val="20"/>
              </w:rPr>
            </w:pPr>
            <w:r w:rsidRPr="00B9565B">
              <w:rPr>
                <w:rFonts w:ascii="Times New Roman" w:hAnsi="Times New Roman"/>
                <w:sz w:val="20"/>
                <w:szCs w:val="20"/>
              </w:rPr>
              <w:t>Source : INSAE, EMICoV 2006-2010</w:t>
            </w:r>
          </w:p>
        </w:tc>
      </w:tr>
    </w:tbl>
    <w:p w:rsidR="00B9565B" w:rsidRPr="00970FA5" w:rsidRDefault="00B9565B" w:rsidP="00B9565B">
      <w:pPr>
        <w:pStyle w:val="Style2"/>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De</w:t>
      </w:r>
      <w:r w:rsidRPr="00C6722F">
        <w:rPr>
          <w:rFonts w:ascii="Times New Roman" w:hAnsi="Times New Roman"/>
          <w:sz w:val="24"/>
          <w:szCs w:val="24"/>
        </w:rPr>
        <w:t xml:space="preserve"> tout ce qui précède, </w:t>
      </w:r>
      <w:r w:rsidR="00624596">
        <w:rPr>
          <w:rFonts w:ascii="Times New Roman" w:hAnsi="Times New Roman"/>
          <w:sz w:val="24"/>
          <w:szCs w:val="24"/>
        </w:rPr>
        <w:t>il ressort une</w:t>
      </w:r>
      <w:r w:rsidRPr="00C6722F">
        <w:rPr>
          <w:rFonts w:ascii="Times New Roman" w:hAnsi="Times New Roman"/>
          <w:sz w:val="24"/>
          <w:szCs w:val="24"/>
        </w:rPr>
        <w:t xml:space="preserve"> forte vulnérabilité des ménages agricoles aux chocs biophysiques et des ménages urbains aux chocs économiques. Ces constats sont plus ou moins prononcés selon l</w:t>
      </w:r>
      <w:r w:rsidR="00624596">
        <w:rPr>
          <w:rFonts w:ascii="Times New Roman" w:hAnsi="Times New Roman"/>
          <w:sz w:val="24"/>
          <w:szCs w:val="24"/>
        </w:rPr>
        <w:t xml:space="preserve">es caractéristiques des ménages. </w:t>
      </w:r>
      <w:r w:rsidR="00052A81">
        <w:rPr>
          <w:rFonts w:ascii="Times New Roman" w:hAnsi="Times New Roman"/>
          <w:sz w:val="24"/>
          <w:szCs w:val="24"/>
        </w:rPr>
        <w:t xml:space="preserve">En outre, les </w:t>
      </w:r>
      <w:r w:rsidRPr="00AC38BA">
        <w:rPr>
          <w:rFonts w:ascii="Times New Roman" w:hAnsi="Times New Roman"/>
          <w:sz w:val="24"/>
          <w:szCs w:val="24"/>
        </w:rPr>
        <w:t xml:space="preserve">chocs biophysiques </w:t>
      </w:r>
      <w:r>
        <w:rPr>
          <w:rFonts w:ascii="Times New Roman" w:hAnsi="Times New Roman"/>
          <w:sz w:val="24"/>
          <w:szCs w:val="24"/>
        </w:rPr>
        <w:t xml:space="preserve">(inondations, sécheresse,) </w:t>
      </w:r>
      <w:r w:rsidR="00052A81">
        <w:rPr>
          <w:rFonts w:ascii="Times New Roman" w:hAnsi="Times New Roman"/>
          <w:sz w:val="24"/>
          <w:szCs w:val="24"/>
        </w:rPr>
        <w:t xml:space="preserve">semblent favoriser la persistance dans la pauvreté que les autres types de chocs qui affectent dans le même ordre les ménages selon leur état de bien-être. </w:t>
      </w:r>
    </w:p>
    <w:p w:rsidR="00ED3BCD" w:rsidRDefault="00ED3BCD" w:rsidP="00ED3BCD">
      <w:pPr>
        <w:pStyle w:val="Style2"/>
      </w:pPr>
    </w:p>
    <w:p w:rsidR="00ED3BCD" w:rsidRPr="00BE67B7" w:rsidRDefault="000A79B7" w:rsidP="00ED3BCD">
      <w:pPr>
        <w:pStyle w:val="Titre2"/>
        <w:spacing w:before="0" w:after="0" w:line="276" w:lineRule="auto"/>
        <w:rPr>
          <w:rFonts w:ascii="Times New Roman" w:hAnsi="Times New Roman"/>
          <w:i w:val="0"/>
          <w:color w:val="31849B" w:themeColor="accent5" w:themeShade="BF"/>
        </w:rPr>
      </w:pPr>
      <w:bookmarkStart w:id="97" w:name="_Toc382322932"/>
      <w:r w:rsidRPr="00BE67B7">
        <w:rPr>
          <w:rFonts w:ascii="Times New Roman" w:hAnsi="Times New Roman"/>
          <w:i w:val="0"/>
          <w:color w:val="31849B" w:themeColor="accent5" w:themeShade="BF"/>
        </w:rPr>
        <w:t>3</w:t>
      </w:r>
      <w:r w:rsidR="00ED3BCD" w:rsidRPr="00BE67B7">
        <w:rPr>
          <w:rFonts w:ascii="Times New Roman" w:hAnsi="Times New Roman"/>
          <w:i w:val="0"/>
          <w:color w:val="31849B" w:themeColor="accent5" w:themeShade="BF"/>
        </w:rPr>
        <w:t>.3</w:t>
      </w:r>
      <w:r w:rsidR="002D3954">
        <w:rPr>
          <w:rFonts w:ascii="Times New Roman" w:hAnsi="Times New Roman"/>
          <w:i w:val="0"/>
          <w:color w:val="31849B" w:themeColor="accent5" w:themeShade="BF"/>
        </w:rPr>
        <w:t xml:space="preserve"> </w:t>
      </w:r>
      <w:r w:rsidR="00907057">
        <w:rPr>
          <w:rFonts w:ascii="Times New Roman" w:hAnsi="Times New Roman"/>
          <w:i w:val="0"/>
          <w:color w:val="31849B" w:themeColor="accent5" w:themeShade="BF"/>
        </w:rPr>
        <w:t xml:space="preserve"> </w:t>
      </w:r>
      <w:r w:rsidR="00ED3BCD" w:rsidRPr="00BE67B7">
        <w:rPr>
          <w:rFonts w:ascii="Times New Roman" w:hAnsi="Times New Roman"/>
          <w:i w:val="0"/>
          <w:color w:val="31849B" w:themeColor="accent5" w:themeShade="BF"/>
        </w:rPr>
        <w:t>Stratégies d’adaptation des ménages face aux chocs</w:t>
      </w:r>
      <w:bookmarkEnd w:id="97"/>
    </w:p>
    <w:p w:rsidR="00ED3BCD" w:rsidRDefault="00ED3BCD" w:rsidP="00ED3BCD">
      <w:pPr>
        <w:autoSpaceDE w:val="0"/>
        <w:autoSpaceDN w:val="0"/>
        <w:adjustRightInd w:val="0"/>
        <w:spacing w:line="276" w:lineRule="auto"/>
        <w:rPr>
          <w:rFonts w:ascii="Times New Roman" w:hAnsi="Times New Roman"/>
          <w:sz w:val="24"/>
          <w:szCs w:val="24"/>
        </w:rPr>
      </w:pPr>
    </w:p>
    <w:p w:rsidR="00ED3BCD" w:rsidRDefault="00ED3BCD" w:rsidP="00ED3BCD">
      <w:pPr>
        <w:autoSpaceDE w:val="0"/>
        <w:autoSpaceDN w:val="0"/>
        <w:adjustRightInd w:val="0"/>
        <w:spacing w:line="276" w:lineRule="auto"/>
        <w:rPr>
          <w:rFonts w:ascii="Times New Roman" w:hAnsi="Times New Roman"/>
          <w:sz w:val="24"/>
          <w:szCs w:val="24"/>
        </w:rPr>
      </w:pPr>
      <w:r w:rsidRPr="002D05BB">
        <w:rPr>
          <w:rFonts w:ascii="Times New Roman" w:hAnsi="Times New Roman"/>
          <w:sz w:val="24"/>
          <w:szCs w:val="24"/>
        </w:rPr>
        <w:t xml:space="preserve">Pour faire face aux différents chocs sociaux, économiques et biophysiques </w:t>
      </w:r>
      <w:r w:rsidRPr="005F2485">
        <w:rPr>
          <w:rFonts w:ascii="Times New Roman" w:hAnsi="Times New Roman"/>
          <w:sz w:val="24"/>
          <w:szCs w:val="24"/>
        </w:rPr>
        <w:t>auxquels ils sont confrontés,</w:t>
      </w:r>
      <w:r w:rsidRPr="002D05BB">
        <w:rPr>
          <w:rFonts w:ascii="Times New Roman" w:hAnsi="Times New Roman"/>
          <w:sz w:val="24"/>
          <w:szCs w:val="24"/>
        </w:rPr>
        <w:t xml:space="preserve"> les ménages adoptent des stratégies diversifiées. Ils fournissent une réponse </w:t>
      </w:r>
      <w:r>
        <w:rPr>
          <w:rFonts w:ascii="Times New Roman" w:hAnsi="Times New Roman"/>
          <w:sz w:val="24"/>
          <w:szCs w:val="24"/>
        </w:rPr>
        <w:t>en fonction de leurs moyens de survie et des capacités de la communauté</w:t>
      </w:r>
      <w:r w:rsidRPr="002D05BB">
        <w:rPr>
          <w:rFonts w:ascii="Times New Roman" w:hAnsi="Times New Roman"/>
          <w:sz w:val="24"/>
          <w:szCs w:val="24"/>
        </w:rPr>
        <w:t xml:space="preserve">. Autrement dit, les stratégies adoptées par les ménages sont de plusieurs ordres et varient en fonction des ressources </w:t>
      </w:r>
      <w:r>
        <w:rPr>
          <w:rFonts w:ascii="Times New Roman" w:hAnsi="Times New Roman"/>
          <w:sz w:val="24"/>
          <w:szCs w:val="24"/>
        </w:rPr>
        <w:t>de la communauté</w:t>
      </w:r>
      <w:r w:rsidRPr="002D05BB">
        <w:rPr>
          <w:rFonts w:ascii="Times New Roman" w:hAnsi="Times New Roman"/>
          <w:sz w:val="24"/>
          <w:szCs w:val="24"/>
        </w:rPr>
        <w:t xml:space="preserve"> où vi</w:t>
      </w:r>
      <w:r>
        <w:rPr>
          <w:rFonts w:ascii="Times New Roman" w:hAnsi="Times New Roman"/>
          <w:sz w:val="24"/>
          <w:szCs w:val="24"/>
        </w:rPr>
        <w:t>vent ces derniers et de leurs propres moyens</w:t>
      </w:r>
      <w:r w:rsidRPr="002D05BB">
        <w:rPr>
          <w:rFonts w:ascii="Times New Roman" w:hAnsi="Times New Roman"/>
          <w:sz w:val="24"/>
          <w:szCs w:val="24"/>
        </w:rPr>
        <w:t>.</w:t>
      </w:r>
      <w:r w:rsidRPr="005F2485">
        <w:rPr>
          <w:rFonts w:ascii="Times New Roman" w:hAnsi="Times New Roman"/>
          <w:sz w:val="24"/>
          <w:szCs w:val="24"/>
        </w:rPr>
        <w:t xml:space="preserve"> Cette section </w:t>
      </w:r>
      <w:r w:rsidR="005B333B">
        <w:rPr>
          <w:rFonts w:ascii="Times New Roman" w:hAnsi="Times New Roman"/>
          <w:sz w:val="24"/>
          <w:szCs w:val="24"/>
        </w:rPr>
        <w:t>présente</w:t>
      </w:r>
      <w:r w:rsidRPr="005F2485">
        <w:rPr>
          <w:rFonts w:ascii="Times New Roman" w:hAnsi="Times New Roman"/>
          <w:sz w:val="24"/>
          <w:szCs w:val="24"/>
        </w:rPr>
        <w:t xml:space="preserve"> les stratégies d’adaptation des ménages</w:t>
      </w:r>
      <w:r w:rsidR="005B333B">
        <w:rPr>
          <w:rFonts w:ascii="Times New Roman" w:hAnsi="Times New Roman"/>
          <w:sz w:val="24"/>
          <w:szCs w:val="24"/>
        </w:rPr>
        <w:t xml:space="preserve"> béninois</w:t>
      </w:r>
      <w:r w:rsidRPr="005F2485">
        <w:rPr>
          <w:rFonts w:ascii="Times New Roman" w:hAnsi="Times New Roman"/>
          <w:sz w:val="24"/>
          <w:szCs w:val="24"/>
        </w:rPr>
        <w:t xml:space="preserve"> face aux chocs</w:t>
      </w:r>
      <w:r w:rsidR="005B333B">
        <w:rPr>
          <w:rFonts w:ascii="Times New Roman" w:hAnsi="Times New Roman"/>
          <w:sz w:val="24"/>
          <w:szCs w:val="24"/>
        </w:rPr>
        <w:t xml:space="preserve"> qu’ils ont subi en 2009</w:t>
      </w:r>
      <w:r>
        <w:rPr>
          <w:rFonts w:ascii="Times New Roman" w:hAnsi="Times New Roman"/>
          <w:sz w:val="24"/>
          <w:szCs w:val="24"/>
        </w:rPr>
        <w:t xml:space="preserve">. </w:t>
      </w:r>
    </w:p>
    <w:p w:rsidR="00ED3BCD" w:rsidRDefault="00ED3BCD" w:rsidP="00F55B57">
      <w:pPr>
        <w:autoSpaceDE w:val="0"/>
        <w:autoSpaceDN w:val="0"/>
        <w:adjustRightInd w:val="0"/>
        <w:spacing w:line="240" w:lineRule="auto"/>
        <w:rPr>
          <w:rFonts w:ascii="Times New Roman" w:hAnsi="Times New Roman"/>
          <w:sz w:val="24"/>
          <w:szCs w:val="24"/>
        </w:rPr>
      </w:pPr>
    </w:p>
    <w:p w:rsidR="00ED3BCD" w:rsidRDefault="001064B7" w:rsidP="00ED3BCD">
      <w:pPr>
        <w:autoSpaceDE w:val="0"/>
        <w:autoSpaceDN w:val="0"/>
        <w:adjustRightInd w:val="0"/>
        <w:spacing w:line="276" w:lineRule="auto"/>
        <w:rPr>
          <w:rFonts w:ascii="Times New Roman" w:hAnsi="Times New Roman"/>
          <w:sz w:val="24"/>
          <w:szCs w:val="24"/>
        </w:rPr>
      </w:pPr>
      <w:r w:rsidRPr="001064B7">
        <w:rPr>
          <w:rFonts w:ascii="Times New Roman" w:hAnsi="Times New Roman"/>
          <w:b/>
          <w:sz w:val="24"/>
          <w:szCs w:val="24"/>
        </w:rPr>
        <w:t>Trois stratégies sont fréquemment utilisées par les ménages pour faire face aux chocs</w:t>
      </w:r>
      <w:r w:rsidR="008327A0">
        <w:rPr>
          <w:rFonts w:ascii="Times New Roman" w:hAnsi="Times New Roman"/>
          <w:sz w:val="24"/>
          <w:szCs w:val="24"/>
        </w:rPr>
        <w:t xml:space="preserve">. Il s’agit comme le montre </w:t>
      </w:r>
      <w:r w:rsidR="00AB2605">
        <w:rPr>
          <w:rFonts w:ascii="Times New Roman" w:hAnsi="Times New Roman"/>
          <w:sz w:val="24"/>
          <w:szCs w:val="24"/>
        </w:rPr>
        <w:t>l</w:t>
      </w:r>
      <w:r w:rsidR="00ED3BCD" w:rsidRPr="005F2485">
        <w:rPr>
          <w:rFonts w:ascii="Times New Roman" w:hAnsi="Times New Roman"/>
          <w:sz w:val="24"/>
          <w:szCs w:val="24"/>
        </w:rPr>
        <w:t xml:space="preserve">e graphique ci-dessous </w:t>
      </w:r>
      <w:r w:rsidR="008327A0">
        <w:rPr>
          <w:rFonts w:ascii="Times New Roman" w:hAnsi="Times New Roman"/>
          <w:sz w:val="24"/>
          <w:szCs w:val="24"/>
        </w:rPr>
        <w:t xml:space="preserve">qui </w:t>
      </w:r>
      <w:r w:rsidR="00ED3BCD" w:rsidRPr="005F2485">
        <w:rPr>
          <w:rFonts w:ascii="Times New Roman" w:hAnsi="Times New Roman"/>
          <w:sz w:val="24"/>
          <w:szCs w:val="24"/>
        </w:rPr>
        <w:t>présente l’ensemble des stratégies prises par les ménages dans leur globalité quel que soit le type de choc</w:t>
      </w:r>
      <w:r w:rsidR="008327A0">
        <w:rPr>
          <w:rFonts w:ascii="Times New Roman" w:hAnsi="Times New Roman"/>
          <w:sz w:val="24"/>
          <w:szCs w:val="24"/>
        </w:rPr>
        <w:t xml:space="preserve"> de :</w:t>
      </w:r>
      <w:r w:rsidR="00AB2605">
        <w:rPr>
          <w:rFonts w:ascii="Times New Roman" w:hAnsi="Times New Roman"/>
          <w:sz w:val="24"/>
          <w:szCs w:val="24"/>
        </w:rPr>
        <w:t xml:space="preserve"> </w:t>
      </w:r>
      <w:r w:rsidR="00C9413C">
        <w:rPr>
          <w:rFonts w:ascii="Times New Roman" w:hAnsi="Times New Roman"/>
          <w:sz w:val="24"/>
          <w:szCs w:val="24"/>
        </w:rPr>
        <w:t xml:space="preserve">(i) </w:t>
      </w:r>
      <w:r w:rsidR="00ED3BCD">
        <w:rPr>
          <w:rFonts w:ascii="Times New Roman" w:hAnsi="Times New Roman"/>
          <w:sz w:val="24"/>
          <w:szCs w:val="24"/>
        </w:rPr>
        <w:t>consommer d</w:t>
      </w:r>
      <w:r w:rsidR="00ED3BCD" w:rsidRPr="002D05BB">
        <w:rPr>
          <w:rFonts w:ascii="Times New Roman" w:hAnsi="Times New Roman"/>
          <w:sz w:val="24"/>
          <w:szCs w:val="24"/>
        </w:rPr>
        <w:t>es aliments moins coûteux ou moins préférés</w:t>
      </w:r>
      <w:r w:rsidR="00ED3BCD">
        <w:rPr>
          <w:rFonts w:ascii="Times New Roman" w:hAnsi="Times New Roman"/>
          <w:sz w:val="24"/>
          <w:szCs w:val="24"/>
        </w:rPr>
        <w:t>,</w:t>
      </w:r>
      <w:r w:rsidR="00AB2605">
        <w:rPr>
          <w:rFonts w:ascii="Times New Roman" w:hAnsi="Times New Roman"/>
          <w:sz w:val="24"/>
          <w:szCs w:val="24"/>
        </w:rPr>
        <w:t xml:space="preserve"> </w:t>
      </w:r>
      <w:r w:rsidR="00C9413C">
        <w:rPr>
          <w:rFonts w:ascii="Times New Roman" w:hAnsi="Times New Roman"/>
          <w:sz w:val="24"/>
          <w:szCs w:val="24"/>
        </w:rPr>
        <w:t xml:space="preserve">(ii) </w:t>
      </w:r>
      <w:r w:rsidR="00ED3BCD" w:rsidRPr="002D05BB">
        <w:rPr>
          <w:rFonts w:ascii="Times New Roman" w:hAnsi="Times New Roman"/>
          <w:sz w:val="24"/>
          <w:szCs w:val="24"/>
        </w:rPr>
        <w:t>dépenser les éco</w:t>
      </w:r>
      <w:r w:rsidR="00ED3BCD">
        <w:rPr>
          <w:rFonts w:ascii="Times New Roman" w:hAnsi="Times New Roman"/>
          <w:sz w:val="24"/>
          <w:szCs w:val="24"/>
        </w:rPr>
        <w:t xml:space="preserve">nomies, </w:t>
      </w:r>
      <w:r w:rsidR="00C9413C">
        <w:rPr>
          <w:rFonts w:ascii="Times New Roman" w:hAnsi="Times New Roman"/>
          <w:sz w:val="24"/>
          <w:szCs w:val="24"/>
        </w:rPr>
        <w:t xml:space="preserve">(iii) </w:t>
      </w:r>
      <w:r w:rsidR="00ED3BCD">
        <w:rPr>
          <w:rFonts w:ascii="Times New Roman" w:hAnsi="Times New Roman"/>
          <w:sz w:val="24"/>
          <w:szCs w:val="24"/>
        </w:rPr>
        <w:t>emprunter de l’argent</w:t>
      </w:r>
      <w:r w:rsidR="00ED3BCD" w:rsidRPr="002D05BB">
        <w:rPr>
          <w:rFonts w:ascii="Times New Roman" w:hAnsi="Times New Roman"/>
          <w:sz w:val="24"/>
          <w:szCs w:val="24"/>
        </w:rPr>
        <w:t>. Viennent ensuite l’achat à crédit de nourriture, la réduction de la quantité d’aliments consommés par repas, la réduction du nombre de repas journaliers.</w:t>
      </w:r>
    </w:p>
    <w:p w:rsidR="00B9565B" w:rsidRDefault="00B9565B"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Pr="002D05BB" w:rsidRDefault="00085EB0" w:rsidP="00ED3BCD">
      <w:pPr>
        <w:autoSpaceDE w:val="0"/>
        <w:autoSpaceDN w:val="0"/>
        <w:adjustRightInd w:val="0"/>
        <w:spacing w:line="276" w:lineRule="auto"/>
        <w:rPr>
          <w:rFonts w:ascii="Times New Roman" w:hAnsi="Times New Roman"/>
          <w:sz w:val="24"/>
          <w:szCs w:val="24"/>
        </w:rPr>
      </w:pPr>
    </w:p>
    <w:tbl>
      <w:tblPr>
        <w:tblStyle w:val="Grilledutableau"/>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07057" w:rsidRPr="00907057" w:rsidTr="00907057">
        <w:trPr>
          <w:trHeight w:val="425"/>
        </w:trPr>
        <w:tc>
          <w:tcPr>
            <w:tcW w:w="9464" w:type="dxa"/>
            <w:shd w:val="clear" w:color="auto" w:fill="92CDDC" w:themeFill="accent5" w:themeFillTint="99"/>
          </w:tcPr>
          <w:p w:rsidR="00907057" w:rsidRPr="00907057" w:rsidRDefault="00907057" w:rsidP="00907057">
            <w:pPr>
              <w:spacing w:line="240" w:lineRule="auto"/>
              <w:ind w:left="-57"/>
              <w:jc w:val="left"/>
              <w:rPr>
                <w:rFonts w:ascii="Times New Roman" w:hAnsi="Times New Roman"/>
                <w:noProof/>
                <w:sz w:val="24"/>
                <w:szCs w:val="24"/>
                <w:lang w:eastAsia="fr-FR"/>
              </w:rPr>
            </w:pPr>
            <w:bookmarkStart w:id="98" w:name="_Toc369711071"/>
            <w:r w:rsidRPr="00907057">
              <w:rPr>
                <w:rFonts w:ascii="Times New Roman" w:hAnsi="Times New Roman"/>
                <w:sz w:val="24"/>
                <w:szCs w:val="24"/>
              </w:rPr>
              <w:t>Graphique 3.</w:t>
            </w:r>
            <w:r w:rsidR="00182C97" w:rsidRPr="00907057">
              <w:rPr>
                <w:rFonts w:ascii="Times New Roman" w:hAnsi="Times New Roman"/>
                <w:sz w:val="24"/>
                <w:szCs w:val="24"/>
              </w:rPr>
              <w:fldChar w:fldCharType="begin"/>
            </w:r>
            <w:r w:rsidRPr="00907057">
              <w:rPr>
                <w:rFonts w:ascii="Times New Roman" w:hAnsi="Times New Roman"/>
                <w:sz w:val="24"/>
                <w:szCs w:val="24"/>
              </w:rPr>
              <w:instrText xml:space="preserve"> SEQ Graphique_4. \* ARABIC </w:instrText>
            </w:r>
            <w:r w:rsidR="00182C97" w:rsidRPr="00907057">
              <w:rPr>
                <w:rFonts w:ascii="Times New Roman" w:hAnsi="Times New Roman"/>
                <w:sz w:val="24"/>
                <w:szCs w:val="24"/>
              </w:rPr>
              <w:fldChar w:fldCharType="separate"/>
            </w:r>
            <w:r w:rsidR="00AB1967">
              <w:rPr>
                <w:rFonts w:ascii="Times New Roman" w:hAnsi="Times New Roman"/>
                <w:noProof/>
                <w:sz w:val="24"/>
                <w:szCs w:val="24"/>
              </w:rPr>
              <w:t>3</w:t>
            </w:r>
            <w:r w:rsidR="00182C97" w:rsidRPr="00907057">
              <w:rPr>
                <w:rFonts w:ascii="Times New Roman" w:hAnsi="Times New Roman"/>
                <w:sz w:val="24"/>
                <w:szCs w:val="24"/>
              </w:rPr>
              <w:fldChar w:fldCharType="end"/>
            </w:r>
            <w:r w:rsidRPr="00907057">
              <w:rPr>
                <w:rFonts w:ascii="Times New Roman" w:hAnsi="Times New Roman"/>
                <w:sz w:val="24"/>
                <w:szCs w:val="24"/>
              </w:rPr>
              <w:t>: Stratégies adoptées par les ménages face aux chocs</w:t>
            </w:r>
            <w:bookmarkEnd w:id="98"/>
          </w:p>
        </w:tc>
      </w:tr>
      <w:tr w:rsidR="00B9565B" w:rsidTr="00907057">
        <w:tc>
          <w:tcPr>
            <w:tcW w:w="9464" w:type="dxa"/>
            <w:shd w:val="clear" w:color="auto" w:fill="DAEEF3" w:themeFill="accent5" w:themeFillTint="33"/>
          </w:tcPr>
          <w:p w:rsidR="00B9565B" w:rsidRDefault="00B9565B" w:rsidP="00394FEA">
            <w:pPr>
              <w:spacing w:before="120" w:after="120" w:line="240" w:lineRule="auto"/>
              <w:ind w:left="-57"/>
              <w:jc w:val="center"/>
            </w:pPr>
            <w:r w:rsidRPr="00FC3C4C">
              <w:rPr>
                <w:noProof/>
                <w:lang w:eastAsia="fr-FR"/>
              </w:rPr>
              <w:drawing>
                <wp:inline distT="0" distB="0" distL="0" distR="0" wp14:anchorId="6C95F900" wp14:editId="507E62EB">
                  <wp:extent cx="5867400" cy="6124575"/>
                  <wp:effectExtent l="19050" t="0" r="19050" b="0"/>
                  <wp:docPr id="84"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r w:rsidR="00B9565B" w:rsidRPr="00B9565B" w:rsidTr="00907057">
        <w:tc>
          <w:tcPr>
            <w:tcW w:w="9464" w:type="dxa"/>
            <w:shd w:val="clear" w:color="auto" w:fill="DAEEF3" w:themeFill="accent5" w:themeFillTint="33"/>
          </w:tcPr>
          <w:p w:rsidR="00B9565B" w:rsidRPr="00B9565B" w:rsidRDefault="00B9565B" w:rsidP="00394FEA">
            <w:pPr>
              <w:spacing w:line="240" w:lineRule="auto"/>
              <w:rPr>
                <w:rFonts w:ascii="Times New Roman" w:hAnsi="Times New Roman"/>
                <w:sz w:val="20"/>
                <w:szCs w:val="20"/>
              </w:rPr>
            </w:pPr>
            <w:r w:rsidRPr="00B9565B">
              <w:rPr>
                <w:rFonts w:ascii="Times New Roman" w:hAnsi="Times New Roman"/>
                <w:sz w:val="20"/>
                <w:szCs w:val="20"/>
              </w:rPr>
              <w:t>Source : INSAE, EMICoV 2010</w:t>
            </w:r>
          </w:p>
        </w:tc>
      </w:tr>
    </w:tbl>
    <w:p w:rsidR="00B9565B" w:rsidRPr="00FC3C4C" w:rsidRDefault="00B9565B" w:rsidP="00B9565B"/>
    <w:p w:rsidR="00ED3BCD" w:rsidRDefault="001064B7" w:rsidP="00ED3BCD">
      <w:pPr>
        <w:pStyle w:val="Paragraphedeliste"/>
        <w:autoSpaceDE w:val="0"/>
        <w:autoSpaceDN w:val="0"/>
        <w:adjustRightInd w:val="0"/>
        <w:spacing w:line="276" w:lineRule="auto"/>
        <w:ind w:left="91"/>
        <w:rPr>
          <w:rFonts w:ascii="Times New Roman" w:hAnsi="Times New Roman"/>
          <w:sz w:val="24"/>
          <w:szCs w:val="24"/>
        </w:rPr>
      </w:pPr>
      <w:r w:rsidRPr="001064B7">
        <w:rPr>
          <w:rFonts w:ascii="Times New Roman" w:hAnsi="Times New Roman"/>
          <w:b/>
          <w:sz w:val="24"/>
          <w:szCs w:val="24"/>
        </w:rPr>
        <w:t>Les stratégies dominantes adoptées par les ménages en fonction des types de chocs sont globalement d’ordre financier et alimentaire</w:t>
      </w:r>
      <w:r w:rsidR="00ED3BCD" w:rsidRPr="007C051D">
        <w:rPr>
          <w:rFonts w:ascii="Times New Roman" w:hAnsi="Times New Roman"/>
          <w:sz w:val="24"/>
          <w:szCs w:val="24"/>
        </w:rPr>
        <w:t>.</w:t>
      </w:r>
      <w:r w:rsidR="002D3954">
        <w:rPr>
          <w:rFonts w:ascii="Times New Roman" w:hAnsi="Times New Roman"/>
          <w:sz w:val="24"/>
          <w:szCs w:val="24"/>
        </w:rPr>
        <w:t xml:space="preserve"> </w:t>
      </w:r>
      <w:r w:rsidR="009958C0">
        <w:rPr>
          <w:rFonts w:ascii="Times New Roman" w:hAnsi="Times New Roman"/>
          <w:sz w:val="24"/>
          <w:szCs w:val="24"/>
        </w:rPr>
        <w:t>C</w:t>
      </w:r>
      <w:r w:rsidR="00452720">
        <w:rPr>
          <w:rFonts w:ascii="Times New Roman" w:hAnsi="Times New Roman"/>
          <w:sz w:val="24"/>
          <w:szCs w:val="24"/>
        </w:rPr>
        <w:t xml:space="preserve">omme le montre le graphique ci-dessous, </w:t>
      </w:r>
      <w:r w:rsidR="00ED3BCD" w:rsidRPr="007C051D">
        <w:rPr>
          <w:rFonts w:ascii="Times New Roman" w:hAnsi="Times New Roman"/>
          <w:sz w:val="24"/>
          <w:szCs w:val="24"/>
        </w:rPr>
        <w:t xml:space="preserve">pour faire face aux chocs économiques, les ménages préfèrent consommer des aliments moins </w:t>
      </w:r>
      <w:r w:rsidR="006E3DBE">
        <w:rPr>
          <w:rFonts w:ascii="Times New Roman" w:hAnsi="Times New Roman"/>
          <w:sz w:val="24"/>
          <w:szCs w:val="24"/>
        </w:rPr>
        <w:t>coûteux</w:t>
      </w:r>
      <w:r w:rsidR="006E3DBE" w:rsidRPr="007C051D">
        <w:rPr>
          <w:rFonts w:ascii="Times New Roman" w:hAnsi="Times New Roman"/>
          <w:sz w:val="24"/>
          <w:szCs w:val="24"/>
        </w:rPr>
        <w:t xml:space="preserve"> </w:t>
      </w:r>
      <w:r w:rsidR="00ED3BCD" w:rsidRPr="007C051D">
        <w:rPr>
          <w:rFonts w:ascii="Times New Roman" w:hAnsi="Times New Roman"/>
          <w:sz w:val="24"/>
          <w:szCs w:val="24"/>
        </w:rPr>
        <w:t xml:space="preserve">ou moins préférés et dépenser les économies. </w:t>
      </w:r>
      <w:r w:rsidR="00ED3BCD">
        <w:rPr>
          <w:rFonts w:ascii="Times New Roman" w:hAnsi="Times New Roman"/>
          <w:sz w:val="24"/>
          <w:szCs w:val="24"/>
        </w:rPr>
        <w:t>F</w:t>
      </w:r>
      <w:r w:rsidR="00ED3BCD" w:rsidRPr="007C051D">
        <w:rPr>
          <w:rFonts w:ascii="Times New Roman" w:hAnsi="Times New Roman"/>
          <w:sz w:val="24"/>
          <w:szCs w:val="24"/>
        </w:rPr>
        <w:t xml:space="preserve">ace aux chocs sociaux, la plupart des ménages dépensent les économies ou empruntent de l’argent ou encore consomment des aliments moins </w:t>
      </w:r>
      <w:r w:rsidR="006E3DBE" w:rsidRPr="007C051D">
        <w:rPr>
          <w:rFonts w:ascii="Times New Roman" w:hAnsi="Times New Roman"/>
          <w:sz w:val="24"/>
          <w:szCs w:val="24"/>
        </w:rPr>
        <w:t>co</w:t>
      </w:r>
      <w:r w:rsidR="006E3DBE">
        <w:rPr>
          <w:rFonts w:ascii="Times New Roman" w:hAnsi="Times New Roman"/>
          <w:sz w:val="24"/>
          <w:szCs w:val="24"/>
        </w:rPr>
        <w:t>û</w:t>
      </w:r>
      <w:r w:rsidR="006E3DBE" w:rsidRPr="007C051D">
        <w:rPr>
          <w:rFonts w:ascii="Times New Roman" w:hAnsi="Times New Roman"/>
          <w:sz w:val="24"/>
          <w:szCs w:val="24"/>
        </w:rPr>
        <w:t>teux</w:t>
      </w:r>
      <w:r w:rsidR="00ED3BCD" w:rsidRPr="007C051D">
        <w:rPr>
          <w:rFonts w:ascii="Times New Roman" w:hAnsi="Times New Roman"/>
          <w:sz w:val="24"/>
          <w:szCs w:val="24"/>
        </w:rPr>
        <w:t xml:space="preserve">. </w:t>
      </w:r>
      <w:r w:rsidR="00ED3BCD" w:rsidRPr="00311D59">
        <w:rPr>
          <w:rFonts w:ascii="Times New Roman" w:hAnsi="Times New Roman"/>
          <w:sz w:val="24"/>
          <w:szCs w:val="24"/>
        </w:rPr>
        <w:t xml:space="preserve">Les stratégies prises par les ménages pour résister aux chocs biophysiques sont la consommation des aliments moins </w:t>
      </w:r>
      <w:r w:rsidR="006E3DBE">
        <w:rPr>
          <w:rFonts w:ascii="Times New Roman" w:hAnsi="Times New Roman"/>
          <w:sz w:val="24"/>
          <w:szCs w:val="24"/>
        </w:rPr>
        <w:t>coûteux</w:t>
      </w:r>
      <w:r w:rsidR="00ED3BCD" w:rsidRPr="00311D59">
        <w:rPr>
          <w:rFonts w:ascii="Times New Roman" w:hAnsi="Times New Roman"/>
          <w:sz w:val="24"/>
          <w:szCs w:val="24"/>
        </w:rPr>
        <w:t xml:space="preserve"> ou moins préférés, la dépense des économies, l’achat de nourriture à crédit et la réduction de la quantité d’aliments consommés par repas.</w:t>
      </w:r>
      <w:r w:rsidR="004C5681">
        <w:rPr>
          <w:rFonts w:ascii="Times New Roman" w:hAnsi="Times New Roman"/>
          <w:sz w:val="24"/>
          <w:szCs w:val="24"/>
        </w:rPr>
        <w:t xml:space="preserve"> Ces stratégies </w:t>
      </w:r>
      <w:r w:rsidR="00855F9C">
        <w:rPr>
          <w:rFonts w:ascii="Times New Roman" w:hAnsi="Times New Roman"/>
          <w:sz w:val="24"/>
          <w:szCs w:val="24"/>
        </w:rPr>
        <w:t>identifiées</w:t>
      </w:r>
      <w:r w:rsidR="004C5681">
        <w:rPr>
          <w:rFonts w:ascii="Times New Roman" w:hAnsi="Times New Roman"/>
          <w:sz w:val="24"/>
          <w:szCs w:val="24"/>
        </w:rPr>
        <w:t xml:space="preserve"> restent </w:t>
      </w:r>
      <w:r w:rsidR="00855F9C">
        <w:rPr>
          <w:rFonts w:ascii="Times New Roman" w:hAnsi="Times New Roman"/>
          <w:sz w:val="24"/>
          <w:szCs w:val="24"/>
        </w:rPr>
        <w:t xml:space="preserve">toutefois </w:t>
      </w:r>
      <w:r w:rsidR="004C5681">
        <w:rPr>
          <w:rFonts w:ascii="Times New Roman" w:hAnsi="Times New Roman"/>
          <w:sz w:val="24"/>
          <w:szCs w:val="24"/>
        </w:rPr>
        <w:t xml:space="preserve">des déclarations dont l’effectivité </w:t>
      </w:r>
      <w:r w:rsidR="00F836FF">
        <w:rPr>
          <w:rFonts w:ascii="Times New Roman" w:hAnsi="Times New Roman"/>
          <w:sz w:val="24"/>
          <w:szCs w:val="24"/>
        </w:rPr>
        <w:t>ne peut être aisément vérifiée</w:t>
      </w:r>
      <w:r w:rsidR="00E066F3">
        <w:rPr>
          <w:rFonts w:ascii="Times New Roman" w:hAnsi="Times New Roman"/>
          <w:sz w:val="24"/>
          <w:szCs w:val="24"/>
        </w:rPr>
        <w:t xml:space="preserve"> encore moins l’efficacité d’une stratégie par rapport à l’autre</w:t>
      </w:r>
      <w:r w:rsidR="00F836FF">
        <w:rPr>
          <w:rFonts w:ascii="Times New Roman" w:hAnsi="Times New Roman"/>
          <w:sz w:val="24"/>
          <w:szCs w:val="24"/>
        </w:rPr>
        <w:t xml:space="preserve">. </w:t>
      </w:r>
    </w:p>
    <w:p w:rsidR="00B9565B" w:rsidRDefault="00B9565B" w:rsidP="00F55B57">
      <w:pPr>
        <w:pStyle w:val="Paragraphedeliste"/>
        <w:autoSpaceDE w:val="0"/>
        <w:autoSpaceDN w:val="0"/>
        <w:adjustRightInd w:val="0"/>
        <w:spacing w:line="240" w:lineRule="auto"/>
        <w:ind w:left="90" w:firstLine="240"/>
        <w:rPr>
          <w:rFonts w:ascii="Times New Roman" w:hAnsi="Times New Roman"/>
          <w:sz w:val="24"/>
          <w:szCs w:val="24"/>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9"/>
      </w:tblGrid>
      <w:tr w:rsidR="003D7288" w:rsidRPr="003D7288" w:rsidTr="003D7288">
        <w:tc>
          <w:tcPr>
            <w:tcW w:w="4306" w:type="dxa"/>
            <w:shd w:val="clear" w:color="auto" w:fill="92CDDC" w:themeFill="accent5" w:themeFillTint="99"/>
          </w:tcPr>
          <w:p w:rsidR="003D7288" w:rsidRPr="003D7288" w:rsidRDefault="003D7288" w:rsidP="003D7288">
            <w:pPr>
              <w:spacing w:before="120" w:after="120" w:line="240" w:lineRule="auto"/>
              <w:ind w:left="-57"/>
              <w:jc w:val="left"/>
              <w:rPr>
                <w:rFonts w:ascii="Times New Roman" w:hAnsi="Times New Roman"/>
                <w:noProof/>
                <w:sz w:val="24"/>
                <w:szCs w:val="24"/>
                <w:lang w:eastAsia="fr-FR"/>
              </w:rPr>
            </w:pPr>
            <w:bookmarkStart w:id="99" w:name="_Toc369711072"/>
            <w:r w:rsidRPr="003D7288">
              <w:rPr>
                <w:rFonts w:ascii="Times New Roman" w:hAnsi="Times New Roman"/>
                <w:sz w:val="24"/>
                <w:szCs w:val="24"/>
              </w:rPr>
              <w:t>Graphique 3.</w:t>
            </w:r>
            <w:r w:rsidR="00182C97" w:rsidRPr="003D7288">
              <w:rPr>
                <w:rFonts w:ascii="Times New Roman" w:hAnsi="Times New Roman"/>
                <w:sz w:val="24"/>
                <w:szCs w:val="24"/>
              </w:rPr>
              <w:fldChar w:fldCharType="begin"/>
            </w:r>
            <w:r w:rsidRPr="003D7288">
              <w:rPr>
                <w:rFonts w:ascii="Times New Roman" w:hAnsi="Times New Roman"/>
                <w:sz w:val="24"/>
                <w:szCs w:val="24"/>
              </w:rPr>
              <w:instrText xml:space="preserve"> SEQ Graphique_4. \* ARABIC </w:instrText>
            </w:r>
            <w:r w:rsidR="00182C97" w:rsidRPr="003D7288">
              <w:rPr>
                <w:rFonts w:ascii="Times New Roman" w:hAnsi="Times New Roman"/>
                <w:sz w:val="24"/>
                <w:szCs w:val="24"/>
              </w:rPr>
              <w:fldChar w:fldCharType="separate"/>
            </w:r>
            <w:r w:rsidR="00AB1967">
              <w:rPr>
                <w:rFonts w:ascii="Times New Roman" w:hAnsi="Times New Roman"/>
                <w:noProof/>
                <w:sz w:val="24"/>
                <w:szCs w:val="24"/>
              </w:rPr>
              <w:t>4</w:t>
            </w:r>
            <w:r w:rsidR="00182C97" w:rsidRPr="003D7288">
              <w:rPr>
                <w:rFonts w:ascii="Times New Roman" w:hAnsi="Times New Roman"/>
                <w:sz w:val="24"/>
                <w:szCs w:val="24"/>
              </w:rPr>
              <w:fldChar w:fldCharType="end"/>
            </w:r>
            <w:r w:rsidRPr="003D7288">
              <w:rPr>
                <w:rFonts w:ascii="Times New Roman" w:hAnsi="Times New Roman"/>
                <w:sz w:val="24"/>
                <w:szCs w:val="24"/>
              </w:rPr>
              <w:t>: Stratégies de réponses dominantes  selon les types de chocs</w:t>
            </w:r>
            <w:bookmarkEnd w:id="99"/>
          </w:p>
        </w:tc>
      </w:tr>
      <w:tr w:rsidR="00B9565B" w:rsidTr="003D7288">
        <w:tc>
          <w:tcPr>
            <w:tcW w:w="4306" w:type="dxa"/>
            <w:shd w:val="clear" w:color="auto" w:fill="DAEEF3" w:themeFill="accent5" w:themeFillTint="33"/>
          </w:tcPr>
          <w:p w:rsidR="00B9565B" w:rsidRDefault="00B9565B" w:rsidP="00394FEA">
            <w:pPr>
              <w:spacing w:before="120" w:after="120" w:line="240" w:lineRule="auto"/>
              <w:ind w:left="-57"/>
              <w:jc w:val="center"/>
            </w:pPr>
            <w:r w:rsidRPr="00B9565B">
              <w:rPr>
                <w:noProof/>
                <w:lang w:eastAsia="fr-FR"/>
              </w:rPr>
              <w:drawing>
                <wp:inline distT="0" distB="0" distL="0" distR="0" wp14:anchorId="1BA5BD32" wp14:editId="4057E940">
                  <wp:extent cx="5336540" cy="2962275"/>
                  <wp:effectExtent l="19050" t="0" r="16510" b="0"/>
                  <wp:docPr id="70" name="Graphique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r w:rsidR="00B9565B" w:rsidRPr="00B9565B" w:rsidTr="003D7288">
        <w:tc>
          <w:tcPr>
            <w:tcW w:w="4306" w:type="dxa"/>
            <w:shd w:val="clear" w:color="auto" w:fill="DAEEF3" w:themeFill="accent5" w:themeFillTint="33"/>
          </w:tcPr>
          <w:p w:rsidR="00B9565B" w:rsidRPr="00B9565B" w:rsidRDefault="00B9565B" w:rsidP="00394FEA">
            <w:pPr>
              <w:spacing w:line="240" w:lineRule="auto"/>
              <w:rPr>
                <w:rFonts w:ascii="Times New Roman" w:hAnsi="Times New Roman"/>
                <w:sz w:val="20"/>
                <w:szCs w:val="20"/>
              </w:rPr>
            </w:pPr>
            <w:r w:rsidRPr="00B9565B">
              <w:rPr>
                <w:rFonts w:ascii="Times New Roman" w:hAnsi="Times New Roman"/>
                <w:sz w:val="20"/>
                <w:szCs w:val="20"/>
              </w:rPr>
              <w:t>Source : INSAE, EMICoV 2010</w:t>
            </w:r>
          </w:p>
        </w:tc>
      </w:tr>
    </w:tbl>
    <w:p w:rsidR="00B9565B" w:rsidRPr="00455A3A" w:rsidRDefault="00B9565B" w:rsidP="00F55B57">
      <w:pPr>
        <w:pStyle w:val="Paragraphedeliste"/>
        <w:autoSpaceDE w:val="0"/>
        <w:autoSpaceDN w:val="0"/>
        <w:adjustRightInd w:val="0"/>
        <w:spacing w:line="240" w:lineRule="auto"/>
        <w:ind w:left="0"/>
        <w:rPr>
          <w:rFonts w:ascii="Times New Roman" w:hAnsi="Times New Roman"/>
          <w:sz w:val="24"/>
          <w:szCs w:val="24"/>
        </w:rPr>
      </w:pPr>
    </w:p>
    <w:p w:rsidR="00ED3BCD" w:rsidRPr="007847E9" w:rsidRDefault="001064B7" w:rsidP="00ED3BCD">
      <w:pPr>
        <w:autoSpaceDE w:val="0"/>
        <w:autoSpaceDN w:val="0"/>
        <w:adjustRightInd w:val="0"/>
        <w:spacing w:line="276" w:lineRule="auto"/>
        <w:rPr>
          <w:rFonts w:ascii="Times New Roman" w:hAnsi="Times New Roman"/>
          <w:sz w:val="24"/>
          <w:szCs w:val="24"/>
        </w:rPr>
      </w:pPr>
      <w:r w:rsidRPr="001064B7">
        <w:rPr>
          <w:rFonts w:ascii="Times New Roman" w:hAnsi="Times New Roman"/>
          <w:b/>
          <w:sz w:val="24"/>
          <w:szCs w:val="24"/>
        </w:rPr>
        <w:t>En plus de ces principales stratégies, les ménages adoptent des stratégies complémentaires face aux chocs</w:t>
      </w:r>
      <w:r w:rsidR="00ED3BCD" w:rsidRPr="007847E9">
        <w:rPr>
          <w:rFonts w:ascii="Times New Roman" w:hAnsi="Times New Roman"/>
          <w:sz w:val="24"/>
          <w:szCs w:val="24"/>
        </w:rPr>
        <w:t>. Pour les chocs économiques, il s’agit de réduire la quantité d’aliments consommés par repas (6,9%), emprunter de l’argent (6,7%), acheter de la nourriture à crédit (6,5%), réduire le nombre de repas par jour (6,5% également), et dans une moindre mesur</w:t>
      </w:r>
      <w:r w:rsidR="00ED3BCD">
        <w:rPr>
          <w:rFonts w:ascii="Times New Roman" w:hAnsi="Times New Roman"/>
          <w:sz w:val="24"/>
          <w:szCs w:val="24"/>
        </w:rPr>
        <w:t>e accroître le petit commerce. C</w:t>
      </w:r>
      <w:r w:rsidR="00ED3BCD" w:rsidRPr="007847E9">
        <w:rPr>
          <w:rFonts w:ascii="Times New Roman" w:hAnsi="Times New Roman"/>
          <w:sz w:val="24"/>
          <w:szCs w:val="24"/>
        </w:rPr>
        <w:t>es ménag</w:t>
      </w:r>
      <w:r w:rsidR="00ED3BCD">
        <w:rPr>
          <w:rFonts w:ascii="Times New Roman" w:hAnsi="Times New Roman"/>
          <w:sz w:val="24"/>
          <w:szCs w:val="24"/>
        </w:rPr>
        <w:t>es n’ont jamais mendié ou envoyé les enfants travaill</w:t>
      </w:r>
      <w:r w:rsidR="00931576">
        <w:rPr>
          <w:rFonts w:ascii="Times New Roman" w:hAnsi="Times New Roman"/>
          <w:sz w:val="24"/>
          <w:szCs w:val="24"/>
        </w:rPr>
        <w:t>er</w:t>
      </w:r>
      <w:r w:rsidR="00ED3BCD" w:rsidRPr="007847E9">
        <w:rPr>
          <w:rFonts w:ascii="Times New Roman" w:hAnsi="Times New Roman"/>
          <w:sz w:val="24"/>
          <w:szCs w:val="24"/>
        </w:rPr>
        <w:t xml:space="preserve"> pour de l’argent afin de fa</w:t>
      </w:r>
      <w:r w:rsidR="00ED3BCD">
        <w:rPr>
          <w:rFonts w:ascii="Times New Roman" w:hAnsi="Times New Roman"/>
          <w:sz w:val="24"/>
          <w:szCs w:val="24"/>
        </w:rPr>
        <w:t>ire face aux chocs économiques. En outre,</w:t>
      </w:r>
      <w:r w:rsidR="00ED3BCD" w:rsidRPr="007847E9">
        <w:rPr>
          <w:rFonts w:ascii="Times New Roman" w:hAnsi="Times New Roman"/>
          <w:sz w:val="24"/>
          <w:szCs w:val="24"/>
        </w:rPr>
        <w:t xml:space="preserve"> 14,4% </w:t>
      </w:r>
      <w:r w:rsidR="00ED3BCD">
        <w:rPr>
          <w:rFonts w:ascii="Times New Roman" w:hAnsi="Times New Roman"/>
          <w:sz w:val="24"/>
          <w:szCs w:val="24"/>
        </w:rPr>
        <w:t>parmi eux restent</w:t>
      </w:r>
      <w:r w:rsidR="00ED3BCD" w:rsidRPr="007847E9">
        <w:rPr>
          <w:rFonts w:ascii="Times New Roman" w:hAnsi="Times New Roman"/>
          <w:sz w:val="24"/>
          <w:szCs w:val="24"/>
        </w:rPr>
        <w:t xml:space="preserve"> passifs et 1,7% choisissent de rechercher du travail temporaire en dehors de la communauté ou réduire les dépenses de</w:t>
      </w:r>
      <w:r w:rsidR="00ED3BCD">
        <w:rPr>
          <w:rFonts w:ascii="Times New Roman" w:hAnsi="Times New Roman"/>
          <w:sz w:val="24"/>
          <w:szCs w:val="24"/>
        </w:rPr>
        <w:t xml:space="preserve"> santé</w:t>
      </w:r>
      <w:r w:rsidR="00ED3BCD" w:rsidRPr="007847E9">
        <w:rPr>
          <w:rFonts w:ascii="Times New Roman" w:hAnsi="Times New Roman"/>
          <w:sz w:val="24"/>
          <w:szCs w:val="24"/>
        </w:rPr>
        <w:t>.</w:t>
      </w:r>
    </w:p>
    <w:p w:rsidR="00ED3BCD" w:rsidRDefault="00ED3BCD" w:rsidP="00F55B57">
      <w:pPr>
        <w:autoSpaceDE w:val="0"/>
        <w:autoSpaceDN w:val="0"/>
        <w:adjustRightInd w:val="0"/>
        <w:spacing w:line="240" w:lineRule="auto"/>
        <w:rPr>
          <w:rFonts w:ascii="Times New Roman" w:hAnsi="Times New Roman"/>
          <w:sz w:val="24"/>
          <w:szCs w:val="24"/>
        </w:rPr>
      </w:pPr>
    </w:p>
    <w:p w:rsidR="00ED3BCD" w:rsidRDefault="00D822EB"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Concernant les </w:t>
      </w:r>
      <w:r w:rsidR="00ED3BCD" w:rsidRPr="002D05BB">
        <w:rPr>
          <w:rFonts w:ascii="Times New Roman" w:hAnsi="Times New Roman"/>
          <w:sz w:val="24"/>
          <w:szCs w:val="24"/>
        </w:rPr>
        <w:t>choc</w:t>
      </w:r>
      <w:r w:rsidR="00ED3BCD">
        <w:rPr>
          <w:rFonts w:ascii="Times New Roman" w:hAnsi="Times New Roman"/>
          <w:sz w:val="24"/>
          <w:szCs w:val="24"/>
        </w:rPr>
        <w:t>s biophysiques</w:t>
      </w:r>
      <w:r w:rsidR="00ED3BCD" w:rsidRPr="002D05BB">
        <w:rPr>
          <w:rFonts w:ascii="Times New Roman" w:hAnsi="Times New Roman"/>
          <w:sz w:val="24"/>
          <w:szCs w:val="24"/>
        </w:rPr>
        <w:t>, 4,5% réduisent le nombre de repas journalier</w:t>
      </w:r>
      <w:r w:rsidR="00ED3BCD">
        <w:rPr>
          <w:rFonts w:ascii="Times New Roman" w:hAnsi="Times New Roman"/>
          <w:sz w:val="24"/>
          <w:szCs w:val="24"/>
        </w:rPr>
        <w:t>s</w:t>
      </w:r>
      <w:r w:rsidR="00ED3BCD" w:rsidRPr="002D05BB">
        <w:rPr>
          <w:rFonts w:ascii="Times New Roman" w:hAnsi="Times New Roman"/>
          <w:sz w:val="24"/>
          <w:szCs w:val="24"/>
        </w:rPr>
        <w:t xml:space="preserve">, 4,4% des ménages consomment les semences de la prochaine campagne agricole, 3,8% empruntent de l’argent, 3,4% consomment des aliments sauvages et 2,8% vendent les stocks d’aliment. En particulier, dans cette catégorie, 17,7% des ménages </w:t>
      </w:r>
      <w:r w:rsidR="00ED3BCD">
        <w:rPr>
          <w:rFonts w:ascii="Times New Roman" w:hAnsi="Times New Roman"/>
          <w:sz w:val="24"/>
          <w:szCs w:val="24"/>
        </w:rPr>
        <w:t xml:space="preserve">adoptent des stratégies non </w:t>
      </w:r>
      <w:r w:rsidR="00ED3BCD" w:rsidRPr="002D05BB">
        <w:rPr>
          <w:rFonts w:ascii="Times New Roman" w:hAnsi="Times New Roman"/>
          <w:sz w:val="24"/>
          <w:szCs w:val="24"/>
        </w:rPr>
        <w:t>évoquées dans cette analyse.</w:t>
      </w:r>
      <w:r w:rsidR="00E773D0">
        <w:rPr>
          <w:rFonts w:ascii="Times New Roman" w:hAnsi="Times New Roman"/>
          <w:sz w:val="24"/>
          <w:szCs w:val="24"/>
        </w:rPr>
        <w:t xml:space="preserve"> Comme on peut le noter</w:t>
      </w:r>
      <w:r w:rsidR="006E3DBE">
        <w:rPr>
          <w:rFonts w:ascii="Times New Roman" w:hAnsi="Times New Roman"/>
          <w:sz w:val="24"/>
          <w:szCs w:val="24"/>
        </w:rPr>
        <w:t>,</w:t>
      </w:r>
      <w:r w:rsidR="00E773D0">
        <w:rPr>
          <w:rFonts w:ascii="Times New Roman" w:hAnsi="Times New Roman"/>
          <w:sz w:val="24"/>
          <w:szCs w:val="24"/>
        </w:rPr>
        <w:t xml:space="preserve"> la consommation des semences réduit la production agricole et par con</w:t>
      </w:r>
      <w:r w:rsidR="00FA1D28">
        <w:rPr>
          <w:rFonts w:ascii="Times New Roman" w:hAnsi="Times New Roman"/>
          <w:sz w:val="24"/>
          <w:szCs w:val="24"/>
        </w:rPr>
        <w:t>séquent augmente le degré de vulnérabilité des ménages qui ont adopté de telle</w:t>
      </w:r>
      <w:r w:rsidR="006E3DBE">
        <w:rPr>
          <w:rFonts w:ascii="Times New Roman" w:hAnsi="Times New Roman"/>
          <w:sz w:val="24"/>
          <w:szCs w:val="24"/>
        </w:rPr>
        <w:t>s</w:t>
      </w:r>
      <w:r w:rsidR="00FA1D28">
        <w:rPr>
          <w:rFonts w:ascii="Times New Roman" w:hAnsi="Times New Roman"/>
          <w:sz w:val="24"/>
          <w:szCs w:val="24"/>
        </w:rPr>
        <w:t xml:space="preserve"> stratégie</w:t>
      </w:r>
      <w:r w:rsidR="006E3DBE">
        <w:rPr>
          <w:rFonts w:ascii="Times New Roman" w:hAnsi="Times New Roman"/>
          <w:sz w:val="24"/>
          <w:szCs w:val="24"/>
        </w:rPr>
        <w:t>s</w:t>
      </w:r>
      <w:r w:rsidR="00FA1D28">
        <w:rPr>
          <w:rFonts w:ascii="Times New Roman" w:hAnsi="Times New Roman"/>
          <w:sz w:val="24"/>
          <w:szCs w:val="24"/>
        </w:rPr>
        <w:t xml:space="preserve"> à la</w:t>
      </w:r>
      <w:r w:rsidR="005A3070">
        <w:rPr>
          <w:rFonts w:ascii="Times New Roman" w:hAnsi="Times New Roman"/>
          <w:sz w:val="24"/>
          <w:szCs w:val="24"/>
        </w:rPr>
        <w:t xml:space="preserve"> persistance dans la </w:t>
      </w:r>
      <w:r w:rsidR="00FA1D28">
        <w:rPr>
          <w:rFonts w:ascii="Times New Roman" w:hAnsi="Times New Roman"/>
          <w:sz w:val="24"/>
          <w:szCs w:val="24"/>
        </w:rPr>
        <w:t>pauvreté</w:t>
      </w:r>
      <w:r w:rsidR="005A3070">
        <w:rPr>
          <w:rFonts w:ascii="Times New Roman" w:hAnsi="Times New Roman"/>
          <w:sz w:val="24"/>
          <w:szCs w:val="24"/>
        </w:rPr>
        <w:t xml:space="preserve">. </w:t>
      </w:r>
    </w:p>
    <w:p w:rsidR="00ED3BCD" w:rsidRPr="00F55B57" w:rsidRDefault="00ED3BCD" w:rsidP="00ED3BCD">
      <w:pPr>
        <w:autoSpaceDE w:val="0"/>
        <w:autoSpaceDN w:val="0"/>
        <w:adjustRightInd w:val="0"/>
        <w:spacing w:line="276" w:lineRule="auto"/>
        <w:rPr>
          <w:rFonts w:ascii="Times New Roman" w:hAnsi="Times New Roman"/>
          <w:sz w:val="12"/>
          <w:szCs w:val="12"/>
        </w:rPr>
      </w:pPr>
    </w:p>
    <w:p w:rsidR="00ED3BCD" w:rsidRDefault="00ED3BCD" w:rsidP="00ED3BCD">
      <w:pPr>
        <w:autoSpaceDE w:val="0"/>
        <w:autoSpaceDN w:val="0"/>
        <w:adjustRightInd w:val="0"/>
        <w:spacing w:line="276" w:lineRule="auto"/>
        <w:rPr>
          <w:rFonts w:ascii="Times New Roman" w:hAnsi="Times New Roman"/>
          <w:sz w:val="24"/>
          <w:szCs w:val="24"/>
        </w:rPr>
      </w:pPr>
      <w:r w:rsidRPr="002D05BB">
        <w:rPr>
          <w:rFonts w:ascii="Times New Roman" w:hAnsi="Times New Roman"/>
          <w:sz w:val="24"/>
          <w:szCs w:val="24"/>
        </w:rPr>
        <w:t>A l’opposé des stratégies</w:t>
      </w:r>
      <w:r>
        <w:rPr>
          <w:rFonts w:ascii="Times New Roman" w:hAnsi="Times New Roman"/>
          <w:sz w:val="24"/>
          <w:szCs w:val="24"/>
        </w:rPr>
        <w:t xml:space="preserve"> complémentaires</w:t>
      </w:r>
      <w:r w:rsidRPr="002D05BB">
        <w:rPr>
          <w:rFonts w:ascii="Times New Roman" w:hAnsi="Times New Roman"/>
          <w:sz w:val="24"/>
          <w:szCs w:val="24"/>
        </w:rPr>
        <w:t xml:space="preserve"> utilisées dans le cas des chocs économiques et biophysiques, une proportion non moins négligeable des ménages</w:t>
      </w:r>
      <w:r>
        <w:rPr>
          <w:rFonts w:ascii="Times New Roman" w:hAnsi="Times New Roman"/>
          <w:sz w:val="24"/>
          <w:szCs w:val="24"/>
        </w:rPr>
        <w:t xml:space="preserve"> soumis aux </w:t>
      </w:r>
      <w:r w:rsidRPr="002D05BB">
        <w:rPr>
          <w:rFonts w:ascii="Times New Roman" w:hAnsi="Times New Roman"/>
          <w:sz w:val="24"/>
          <w:szCs w:val="24"/>
        </w:rPr>
        <w:t xml:space="preserve">chocs sociaux </w:t>
      </w:r>
      <w:r>
        <w:rPr>
          <w:rFonts w:ascii="Times New Roman" w:hAnsi="Times New Roman"/>
          <w:sz w:val="24"/>
          <w:szCs w:val="24"/>
        </w:rPr>
        <w:t xml:space="preserve">optent pour </w:t>
      </w:r>
      <w:r w:rsidRPr="002D05BB">
        <w:rPr>
          <w:rFonts w:ascii="Times New Roman" w:hAnsi="Times New Roman"/>
          <w:sz w:val="24"/>
          <w:szCs w:val="24"/>
        </w:rPr>
        <w:t xml:space="preserve">l’achat à crédit de nourriture, la recherche d’un travail en dehors de la communauté, </w:t>
      </w:r>
      <w:r>
        <w:rPr>
          <w:rFonts w:ascii="Times New Roman" w:hAnsi="Times New Roman"/>
          <w:sz w:val="24"/>
          <w:szCs w:val="24"/>
        </w:rPr>
        <w:t>l’</w:t>
      </w:r>
      <w:r w:rsidRPr="002D05BB">
        <w:rPr>
          <w:rFonts w:ascii="Times New Roman" w:hAnsi="Times New Roman"/>
          <w:sz w:val="24"/>
          <w:szCs w:val="24"/>
        </w:rPr>
        <w:t>emprunt d</w:t>
      </w:r>
      <w:r>
        <w:rPr>
          <w:rFonts w:ascii="Times New Roman" w:hAnsi="Times New Roman"/>
          <w:sz w:val="24"/>
          <w:szCs w:val="24"/>
        </w:rPr>
        <w:t>’</w:t>
      </w:r>
      <w:r w:rsidRPr="002D05BB">
        <w:rPr>
          <w:rFonts w:ascii="Times New Roman" w:hAnsi="Times New Roman"/>
          <w:sz w:val="24"/>
          <w:szCs w:val="24"/>
        </w:rPr>
        <w:t xml:space="preserve">aliments ou </w:t>
      </w:r>
      <w:r>
        <w:rPr>
          <w:rFonts w:ascii="Times New Roman" w:hAnsi="Times New Roman"/>
          <w:sz w:val="24"/>
          <w:szCs w:val="24"/>
        </w:rPr>
        <w:t>la sollicitation</w:t>
      </w:r>
      <w:r w:rsidRPr="002D05BB">
        <w:rPr>
          <w:rFonts w:ascii="Times New Roman" w:hAnsi="Times New Roman"/>
          <w:sz w:val="24"/>
          <w:szCs w:val="24"/>
        </w:rPr>
        <w:t xml:space="preserve"> des amis (2,9%), la vente des aliments stockés et l’augmentation du petit commerce. </w:t>
      </w:r>
    </w:p>
    <w:p w:rsidR="00BE67B7" w:rsidRDefault="00BE67B7" w:rsidP="00BE67B7">
      <w:pPr>
        <w:autoSpaceDE w:val="0"/>
        <w:autoSpaceDN w:val="0"/>
        <w:adjustRightInd w:val="0"/>
        <w:spacing w:line="276" w:lineRule="auto"/>
        <w:rPr>
          <w:rFonts w:ascii="Times New Roman" w:hAnsi="Times New Roman"/>
          <w:sz w:val="24"/>
          <w:szCs w:val="24"/>
        </w:rPr>
      </w:pPr>
    </w:p>
    <w:p w:rsidR="00ED3BCD" w:rsidRPr="00BE67B7" w:rsidRDefault="000A79B7" w:rsidP="00BE67B7">
      <w:pPr>
        <w:pStyle w:val="Titre2"/>
        <w:spacing w:before="120" w:line="240" w:lineRule="auto"/>
        <w:rPr>
          <w:rFonts w:ascii="Times New Roman" w:hAnsi="Times New Roman"/>
          <w:i w:val="0"/>
          <w:color w:val="31849B" w:themeColor="accent5" w:themeShade="BF"/>
        </w:rPr>
      </w:pPr>
      <w:bookmarkStart w:id="100" w:name="_Toc382322933"/>
      <w:r w:rsidRPr="00BE67B7">
        <w:rPr>
          <w:rFonts w:ascii="Times New Roman" w:hAnsi="Times New Roman"/>
          <w:i w:val="0"/>
          <w:color w:val="31849B" w:themeColor="accent5" w:themeShade="BF"/>
        </w:rPr>
        <w:t>3</w:t>
      </w:r>
      <w:r w:rsidR="00ED3BCD" w:rsidRPr="00BE67B7">
        <w:rPr>
          <w:rFonts w:ascii="Times New Roman" w:hAnsi="Times New Roman"/>
          <w:i w:val="0"/>
          <w:color w:val="31849B" w:themeColor="accent5" w:themeShade="BF"/>
        </w:rPr>
        <w:t>.4</w:t>
      </w:r>
      <w:r w:rsidR="00390A78">
        <w:rPr>
          <w:rFonts w:ascii="Times New Roman" w:hAnsi="Times New Roman"/>
          <w:i w:val="0"/>
          <w:color w:val="31849B" w:themeColor="accent5" w:themeShade="BF"/>
        </w:rPr>
        <w:t xml:space="preserve"> </w:t>
      </w:r>
      <w:r w:rsidR="00ED3BCD" w:rsidRPr="00BE67B7">
        <w:rPr>
          <w:rFonts w:ascii="Times New Roman" w:hAnsi="Times New Roman"/>
          <w:i w:val="0"/>
          <w:color w:val="31849B" w:themeColor="accent5" w:themeShade="BF"/>
        </w:rPr>
        <w:t>Stratégies d’adaptation et mobilité dans la pauvreté</w:t>
      </w:r>
      <w:bookmarkEnd w:id="100"/>
    </w:p>
    <w:p w:rsidR="00BE67B7" w:rsidRDefault="00BE67B7" w:rsidP="00ED3BCD">
      <w:pPr>
        <w:autoSpaceDE w:val="0"/>
        <w:autoSpaceDN w:val="0"/>
        <w:adjustRightInd w:val="0"/>
        <w:spacing w:line="276" w:lineRule="auto"/>
        <w:rPr>
          <w:rFonts w:ascii="Times New Roman" w:hAnsi="Times New Roman"/>
          <w:sz w:val="24"/>
          <w:szCs w:val="24"/>
        </w:rPr>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L’intérêt de ce paragraphe est d’identifier les trois stratégies les plus usitées par les trois catégories de ménages ci-après : les ménages chroniquement pauvres, ceux qui sortent de la pauvreté et les ménages qui entrent dans la pauvreté pour se couvrir contre les risques d’un éventuel choc. </w:t>
      </w:r>
      <w:r w:rsidR="00366110">
        <w:rPr>
          <w:rFonts w:ascii="Times New Roman" w:hAnsi="Times New Roman"/>
          <w:sz w:val="24"/>
          <w:szCs w:val="24"/>
        </w:rPr>
        <w:t xml:space="preserve">Il permet de mettre en exergue le choix des stratégies en fonction du degré de vulnérabilité des ménages. </w:t>
      </w:r>
    </w:p>
    <w:p w:rsidR="00ED3BCD" w:rsidRPr="00F55B57" w:rsidRDefault="00ED3BCD" w:rsidP="00ED3BCD">
      <w:pPr>
        <w:autoSpaceDE w:val="0"/>
        <w:autoSpaceDN w:val="0"/>
        <w:adjustRightInd w:val="0"/>
        <w:spacing w:line="276" w:lineRule="auto"/>
        <w:rPr>
          <w:rFonts w:ascii="Times New Roman" w:hAnsi="Times New Roman"/>
          <w:b/>
          <w:sz w:val="12"/>
          <w:szCs w:val="12"/>
        </w:rPr>
      </w:pPr>
    </w:p>
    <w:p w:rsidR="00ED3BCD" w:rsidRPr="00867CD3" w:rsidRDefault="00ED3BCD" w:rsidP="00ED3BCD">
      <w:pPr>
        <w:autoSpaceDE w:val="0"/>
        <w:autoSpaceDN w:val="0"/>
        <w:adjustRightInd w:val="0"/>
        <w:spacing w:line="276" w:lineRule="auto"/>
        <w:rPr>
          <w:rFonts w:ascii="Times New Roman" w:hAnsi="Times New Roman"/>
          <w:sz w:val="24"/>
          <w:szCs w:val="24"/>
        </w:rPr>
      </w:pPr>
      <w:r w:rsidRPr="00867CD3">
        <w:rPr>
          <w:rFonts w:ascii="Times New Roman" w:hAnsi="Times New Roman"/>
          <w:sz w:val="24"/>
          <w:szCs w:val="24"/>
        </w:rPr>
        <w:t>L’</w:t>
      </w:r>
      <w:r>
        <w:rPr>
          <w:rFonts w:ascii="Times New Roman" w:hAnsi="Times New Roman"/>
          <w:sz w:val="24"/>
          <w:szCs w:val="24"/>
        </w:rPr>
        <w:t>analyse du tableau ci-dessou</w:t>
      </w:r>
      <w:r w:rsidRPr="00867CD3">
        <w:rPr>
          <w:rFonts w:ascii="Times New Roman" w:hAnsi="Times New Roman"/>
          <w:sz w:val="24"/>
          <w:szCs w:val="24"/>
        </w:rPr>
        <w:t>s</w:t>
      </w:r>
      <w:r>
        <w:rPr>
          <w:rFonts w:ascii="Times New Roman" w:hAnsi="Times New Roman"/>
          <w:sz w:val="24"/>
          <w:szCs w:val="24"/>
        </w:rPr>
        <w:t xml:space="preserve"> permet de mettre en évidence les stratégies dominantes adoptées par ces catégories de ménages.</w:t>
      </w:r>
    </w:p>
    <w:p w:rsidR="00ED3BCD" w:rsidRPr="00F55B57" w:rsidRDefault="00ED3BCD" w:rsidP="00ED3BCD">
      <w:pPr>
        <w:autoSpaceDE w:val="0"/>
        <w:autoSpaceDN w:val="0"/>
        <w:adjustRightInd w:val="0"/>
        <w:spacing w:line="276" w:lineRule="auto"/>
        <w:rPr>
          <w:rFonts w:ascii="Times New Roman" w:hAnsi="Times New Roman"/>
          <w:b/>
          <w:sz w:val="12"/>
          <w:szCs w:val="12"/>
        </w:rPr>
      </w:pPr>
    </w:p>
    <w:p w:rsidR="00ED3BCD" w:rsidRDefault="00ED3BCD" w:rsidP="00ED3BCD">
      <w:pPr>
        <w:autoSpaceDE w:val="0"/>
        <w:autoSpaceDN w:val="0"/>
        <w:adjustRightInd w:val="0"/>
        <w:spacing w:line="276" w:lineRule="auto"/>
        <w:rPr>
          <w:rFonts w:ascii="Times New Roman" w:hAnsi="Times New Roman"/>
          <w:sz w:val="24"/>
          <w:szCs w:val="24"/>
        </w:rPr>
      </w:pPr>
      <w:r w:rsidRPr="00B9218B">
        <w:rPr>
          <w:rFonts w:ascii="Times New Roman" w:hAnsi="Times New Roman"/>
          <w:b/>
          <w:sz w:val="24"/>
          <w:szCs w:val="24"/>
        </w:rPr>
        <w:t xml:space="preserve">Face aux </w:t>
      </w:r>
      <w:r w:rsidRPr="00B9218B">
        <w:rPr>
          <w:rFonts w:ascii="Times New Roman" w:hAnsi="Times New Roman"/>
          <w:b/>
          <w:i/>
          <w:sz w:val="24"/>
          <w:szCs w:val="24"/>
        </w:rPr>
        <w:t>chocs sociaux</w:t>
      </w:r>
      <w:r w:rsidRPr="00B9218B">
        <w:rPr>
          <w:rFonts w:ascii="Times New Roman" w:hAnsi="Times New Roman"/>
          <w:b/>
          <w:sz w:val="24"/>
          <w:szCs w:val="24"/>
        </w:rPr>
        <w:t>, les trois premières réponses apportées par les ménages dans chaque groupe sont surtout d’ordre financier</w:t>
      </w:r>
      <w:r>
        <w:rPr>
          <w:rFonts w:ascii="Times New Roman" w:hAnsi="Times New Roman"/>
          <w:sz w:val="24"/>
          <w:szCs w:val="24"/>
        </w:rPr>
        <w:t xml:space="preserve">. Elles vont de la dépense des économies à l’achat de nourriture à crédit en passant par l’emprunt d’argent et la consommation d’aliments moins </w:t>
      </w:r>
      <w:r w:rsidR="006E3DBE" w:rsidRPr="007C051D">
        <w:rPr>
          <w:rFonts w:ascii="Times New Roman" w:hAnsi="Times New Roman"/>
          <w:sz w:val="24"/>
          <w:szCs w:val="24"/>
        </w:rPr>
        <w:t>co</w:t>
      </w:r>
      <w:r w:rsidR="006E3DBE">
        <w:rPr>
          <w:rFonts w:ascii="Times New Roman" w:hAnsi="Times New Roman"/>
          <w:sz w:val="24"/>
          <w:szCs w:val="24"/>
        </w:rPr>
        <w:t>û</w:t>
      </w:r>
      <w:r w:rsidR="006E3DBE" w:rsidRPr="007C051D">
        <w:rPr>
          <w:rFonts w:ascii="Times New Roman" w:hAnsi="Times New Roman"/>
          <w:sz w:val="24"/>
          <w:szCs w:val="24"/>
        </w:rPr>
        <w:t>teux</w:t>
      </w:r>
      <w:r>
        <w:rPr>
          <w:rFonts w:ascii="Times New Roman" w:hAnsi="Times New Roman"/>
          <w:sz w:val="24"/>
          <w:szCs w:val="24"/>
        </w:rPr>
        <w:t xml:space="preserve">. Avec très peu de moyens après deux épisodes de pauvreté, les ménages chroniquement pauvres sont les seuls à recourir aux achats à crédit au titre des trois premières stratégies. </w:t>
      </w:r>
    </w:p>
    <w:p w:rsidR="00ED3BCD" w:rsidRPr="00F55B57" w:rsidRDefault="00ED3BCD" w:rsidP="00ED3BCD">
      <w:pPr>
        <w:autoSpaceDE w:val="0"/>
        <w:autoSpaceDN w:val="0"/>
        <w:adjustRightInd w:val="0"/>
        <w:spacing w:line="276" w:lineRule="auto"/>
        <w:rPr>
          <w:rFonts w:ascii="Times New Roman" w:hAnsi="Times New Roman"/>
          <w:sz w:val="12"/>
          <w:szCs w:val="12"/>
        </w:rPr>
      </w:pPr>
    </w:p>
    <w:p w:rsidR="00ED3BCD" w:rsidRDefault="00ED3BCD" w:rsidP="00ED3BCD">
      <w:pPr>
        <w:autoSpaceDE w:val="0"/>
        <w:autoSpaceDN w:val="0"/>
        <w:adjustRightInd w:val="0"/>
        <w:spacing w:line="276" w:lineRule="auto"/>
        <w:rPr>
          <w:rFonts w:ascii="Times New Roman" w:hAnsi="Times New Roman"/>
          <w:sz w:val="24"/>
          <w:szCs w:val="24"/>
        </w:rPr>
      </w:pPr>
      <w:r w:rsidRPr="00B9218B">
        <w:rPr>
          <w:rFonts w:ascii="Times New Roman" w:hAnsi="Times New Roman"/>
          <w:b/>
          <w:sz w:val="24"/>
          <w:szCs w:val="24"/>
        </w:rPr>
        <w:t xml:space="preserve">Pour faire face aux effets des </w:t>
      </w:r>
      <w:r w:rsidRPr="00B9218B">
        <w:rPr>
          <w:rFonts w:ascii="Times New Roman" w:hAnsi="Times New Roman"/>
          <w:b/>
          <w:i/>
          <w:sz w:val="24"/>
          <w:szCs w:val="24"/>
        </w:rPr>
        <w:t>chocs économiques</w:t>
      </w:r>
      <w:r w:rsidRPr="00B9218B">
        <w:rPr>
          <w:rFonts w:ascii="Times New Roman" w:hAnsi="Times New Roman"/>
          <w:b/>
          <w:sz w:val="24"/>
          <w:szCs w:val="24"/>
        </w:rPr>
        <w:t>, les ménages adoptent des stratégies plus diversifiées</w:t>
      </w:r>
      <w:r>
        <w:rPr>
          <w:rStyle w:val="Appelnotedebasdep"/>
          <w:rFonts w:ascii="Times New Roman" w:hAnsi="Times New Roman"/>
          <w:sz w:val="24"/>
          <w:szCs w:val="24"/>
        </w:rPr>
        <w:footnoteReference w:id="70"/>
      </w:r>
      <w:r>
        <w:rPr>
          <w:rFonts w:ascii="Times New Roman" w:hAnsi="Times New Roman"/>
          <w:sz w:val="24"/>
          <w:szCs w:val="24"/>
        </w:rPr>
        <w:t xml:space="preserve">. Vu que ces chocs impactent directement les capacités financières des ménages, ces derniers priorisent la dépense de leurs économies, la consommation d’aliments moins préférés ou moins </w:t>
      </w:r>
      <w:r w:rsidR="006E3DBE" w:rsidRPr="007C051D">
        <w:rPr>
          <w:rFonts w:ascii="Times New Roman" w:hAnsi="Times New Roman"/>
          <w:sz w:val="24"/>
          <w:szCs w:val="24"/>
        </w:rPr>
        <w:t>co</w:t>
      </w:r>
      <w:r w:rsidR="006E3DBE">
        <w:rPr>
          <w:rFonts w:ascii="Times New Roman" w:hAnsi="Times New Roman"/>
          <w:sz w:val="24"/>
          <w:szCs w:val="24"/>
        </w:rPr>
        <w:t>û</w:t>
      </w:r>
      <w:r w:rsidR="006E3DBE" w:rsidRPr="007C051D">
        <w:rPr>
          <w:rFonts w:ascii="Times New Roman" w:hAnsi="Times New Roman"/>
          <w:sz w:val="24"/>
          <w:szCs w:val="24"/>
        </w:rPr>
        <w:t xml:space="preserve">teux </w:t>
      </w:r>
      <w:r>
        <w:rPr>
          <w:rFonts w:ascii="Times New Roman" w:hAnsi="Times New Roman"/>
          <w:sz w:val="24"/>
          <w:szCs w:val="24"/>
        </w:rPr>
        <w:t>et l’achat de nourriture à crédit. Il faut noter que les trois premières réponses apportées à ce type de choc ne diffèrent d’un statut de mobilité à l’autre que par leur importance relative. Les ménages ayant connu au moins un épisode de pauvreté adoptent globalement les mêmes stratégies.</w:t>
      </w:r>
    </w:p>
    <w:p w:rsidR="00ED3BCD" w:rsidRPr="00F55B57" w:rsidRDefault="00ED3BCD" w:rsidP="00ED3BCD">
      <w:pPr>
        <w:autoSpaceDE w:val="0"/>
        <w:autoSpaceDN w:val="0"/>
        <w:adjustRightInd w:val="0"/>
        <w:spacing w:line="276" w:lineRule="auto"/>
        <w:rPr>
          <w:rFonts w:ascii="Times New Roman" w:hAnsi="Times New Roman"/>
          <w:b/>
          <w:sz w:val="12"/>
          <w:szCs w:val="12"/>
        </w:rPr>
      </w:pPr>
    </w:p>
    <w:p w:rsidR="00ED3BCD" w:rsidRDefault="00ED3BCD" w:rsidP="00ED3BCD">
      <w:pPr>
        <w:autoSpaceDE w:val="0"/>
        <w:autoSpaceDN w:val="0"/>
        <w:adjustRightInd w:val="0"/>
        <w:spacing w:line="276" w:lineRule="auto"/>
        <w:rPr>
          <w:rFonts w:ascii="Times New Roman" w:hAnsi="Times New Roman"/>
          <w:sz w:val="24"/>
          <w:szCs w:val="24"/>
        </w:rPr>
      </w:pPr>
      <w:r w:rsidRPr="00B9218B">
        <w:rPr>
          <w:rFonts w:ascii="Times New Roman" w:hAnsi="Times New Roman"/>
          <w:b/>
          <w:sz w:val="24"/>
          <w:szCs w:val="24"/>
        </w:rPr>
        <w:t xml:space="preserve">Les réponses aux </w:t>
      </w:r>
      <w:r w:rsidRPr="00B9218B">
        <w:rPr>
          <w:rFonts w:ascii="Times New Roman" w:hAnsi="Times New Roman"/>
          <w:b/>
          <w:i/>
          <w:sz w:val="24"/>
          <w:szCs w:val="24"/>
        </w:rPr>
        <w:t>chocs biophysiques</w:t>
      </w:r>
      <w:r w:rsidR="00390A78">
        <w:rPr>
          <w:rFonts w:ascii="Times New Roman" w:hAnsi="Times New Roman"/>
          <w:b/>
          <w:i/>
          <w:sz w:val="24"/>
          <w:szCs w:val="24"/>
        </w:rPr>
        <w:t xml:space="preserve"> </w:t>
      </w:r>
      <w:r w:rsidRPr="00B9218B">
        <w:rPr>
          <w:rFonts w:ascii="Times New Roman" w:hAnsi="Times New Roman"/>
          <w:b/>
          <w:sz w:val="24"/>
          <w:szCs w:val="24"/>
        </w:rPr>
        <w:t>sont surtout d’ordre alimentaire</w:t>
      </w:r>
      <w:r>
        <w:rPr>
          <w:rFonts w:ascii="Times New Roman" w:hAnsi="Times New Roman"/>
          <w:sz w:val="24"/>
          <w:szCs w:val="24"/>
        </w:rPr>
        <w:t xml:space="preserve">. En effet, la première réponse à ce type de choc est la consommation d’aliments moins préférés ou moins </w:t>
      </w:r>
      <w:r w:rsidR="006E3DBE" w:rsidRPr="007C051D">
        <w:rPr>
          <w:rFonts w:ascii="Times New Roman" w:hAnsi="Times New Roman"/>
          <w:sz w:val="24"/>
          <w:szCs w:val="24"/>
        </w:rPr>
        <w:t>co</w:t>
      </w:r>
      <w:r w:rsidR="006E3DBE">
        <w:rPr>
          <w:rFonts w:ascii="Times New Roman" w:hAnsi="Times New Roman"/>
          <w:sz w:val="24"/>
          <w:szCs w:val="24"/>
        </w:rPr>
        <w:t>û</w:t>
      </w:r>
      <w:r w:rsidR="006E3DBE" w:rsidRPr="007C051D">
        <w:rPr>
          <w:rFonts w:ascii="Times New Roman" w:hAnsi="Times New Roman"/>
          <w:sz w:val="24"/>
          <w:szCs w:val="24"/>
        </w:rPr>
        <w:t>teux</w:t>
      </w:r>
      <w:r>
        <w:rPr>
          <w:rFonts w:ascii="Times New Roman" w:hAnsi="Times New Roman"/>
          <w:sz w:val="24"/>
          <w:szCs w:val="24"/>
        </w:rPr>
        <w:t xml:space="preserve">. Ces chocs sont aussi les seuls à se voir opposer la réduction des quantités d’aliments consommés par repas et ceci est une constante pour les trois classes considérées. Non seulement, les ménages exposés aux chocs </w:t>
      </w:r>
      <w:r w:rsidRPr="00490D38">
        <w:rPr>
          <w:rFonts w:ascii="Times New Roman" w:hAnsi="Times New Roman"/>
          <w:sz w:val="24"/>
          <w:szCs w:val="24"/>
        </w:rPr>
        <w:t>biophysiques</w:t>
      </w:r>
      <w:r>
        <w:rPr>
          <w:rFonts w:ascii="Times New Roman" w:hAnsi="Times New Roman"/>
          <w:sz w:val="24"/>
          <w:szCs w:val="24"/>
        </w:rPr>
        <w:t xml:space="preserve"> réduisent la qualité des aliments qu’ils consomment, mais ils en réduisent aussi la quantité. Tout ceci concourt à une plus forte dégradation de leur situation à travers la faim et la malnutrition. La dépense des économies et l’achat à crédit de nourriture font aussi leur apparition au titre des trois premières stratégies face à ce choc.</w:t>
      </w: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3D7288" w:rsidRDefault="003D7288" w:rsidP="00ED3BCD">
      <w:pPr>
        <w:autoSpaceDE w:val="0"/>
        <w:autoSpaceDN w:val="0"/>
        <w:adjustRightInd w:val="0"/>
        <w:spacing w:line="276" w:lineRule="auto"/>
        <w:rPr>
          <w:rFonts w:ascii="Times New Roman" w:hAnsi="Times New Roman"/>
          <w:sz w:val="24"/>
          <w:szCs w:val="24"/>
        </w:rPr>
      </w:pPr>
    </w:p>
    <w:p w:rsidR="00085EB0" w:rsidRDefault="00085EB0" w:rsidP="00ED3BCD">
      <w:pPr>
        <w:autoSpaceDE w:val="0"/>
        <w:autoSpaceDN w:val="0"/>
        <w:adjustRightInd w:val="0"/>
        <w:spacing w:line="276" w:lineRule="auto"/>
        <w:rPr>
          <w:rFonts w:ascii="Times New Roman" w:hAnsi="Times New Roman"/>
          <w:sz w:val="24"/>
          <w:szCs w:val="24"/>
        </w:rPr>
      </w:pPr>
    </w:p>
    <w:p w:rsidR="0022201E" w:rsidRPr="00F55B57" w:rsidRDefault="0022201E" w:rsidP="00ED3BCD">
      <w:pPr>
        <w:rPr>
          <w:rFonts w:ascii="Times New Roman" w:hAnsi="Times New Roman"/>
          <w:b/>
          <w:sz w:val="12"/>
          <w:szCs w:val="12"/>
        </w:rPr>
      </w:pPr>
    </w:p>
    <w:tbl>
      <w:tblPr>
        <w:tblW w:w="9624" w:type="dxa"/>
        <w:tblInd w:w="55" w:type="dxa"/>
        <w:tblCellMar>
          <w:left w:w="70" w:type="dxa"/>
          <w:right w:w="70" w:type="dxa"/>
        </w:tblCellMar>
        <w:tblLook w:val="04A0" w:firstRow="1" w:lastRow="0" w:firstColumn="1" w:lastColumn="0" w:noHBand="0" w:noVBand="1"/>
      </w:tblPr>
      <w:tblGrid>
        <w:gridCol w:w="607"/>
        <w:gridCol w:w="3514"/>
        <w:gridCol w:w="2889"/>
        <w:gridCol w:w="2614"/>
      </w:tblGrid>
      <w:tr w:rsidR="004D3255" w:rsidRPr="00D433D8" w:rsidTr="00394FEA">
        <w:trPr>
          <w:trHeight w:val="379"/>
        </w:trPr>
        <w:tc>
          <w:tcPr>
            <w:tcW w:w="9624" w:type="dxa"/>
            <w:gridSpan w:val="4"/>
            <w:tcBorders>
              <w:left w:val="nil"/>
              <w:bottom w:val="double" w:sz="6" w:space="0" w:color="auto"/>
              <w:right w:val="nil"/>
            </w:tcBorders>
            <w:shd w:val="clear" w:color="auto" w:fill="92CDDC" w:themeFill="accent5" w:themeFillTint="99"/>
            <w:noWrap/>
            <w:vAlign w:val="center"/>
            <w:hideMark/>
          </w:tcPr>
          <w:p w:rsidR="004D3255" w:rsidRPr="00D433D8" w:rsidRDefault="00D433D8" w:rsidP="00394FEA">
            <w:pPr>
              <w:spacing w:line="240" w:lineRule="auto"/>
              <w:jc w:val="left"/>
              <w:rPr>
                <w:rFonts w:ascii="Times New Roman" w:hAnsi="Times New Roman"/>
                <w:sz w:val="24"/>
                <w:szCs w:val="24"/>
              </w:rPr>
            </w:pPr>
            <w:bookmarkStart w:id="101" w:name="_Toc369714590"/>
            <w:bookmarkStart w:id="102" w:name="_Toc369720453"/>
            <w:r w:rsidRPr="00D433D8">
              <w:rPr>
                <w:rFonts w:ascii="Times New Roman" w:hAnsi="Times New Roman"/>
                <w:sz w:val="24"/>
                <w:szCs w:val="24"/>
              </w:rPr>
              <w:t xml:space="preserve">Tableau 3. </w:t>
            </w:r>
            <w:r w:rsidR="00182C97" w:rsidRPr="00D433D8">
              <w:rPr>
                <w:rFonts w:ascii="Times New Roman" w:hAnsi="Times New Roman"/>
                <w:sz w:val="24"/>
                <w:szCs w:val="24"/>
              </w:rPr>
              <w:fldChar w:fldCharType="begin"/>
            </w:r>
            <w:r w:rsidRPr="00D433D8">
              <w:rPr>
                <w:rFonts w:ascii="Times New Roman" w:hAnsi="Times New Roman"/>
                <w:sz w:val="24"/>
                <w:szCs w:val="24"/>
              </w:rPr>
              <w:instrText xml:space="preserve"> SEQ Tableau_3. \* ARABIC </w:instrText>
            </w:r>
            <w:r w:rsidR="00182C97" w:rsidRPr="00D433D8">
              <w:rPr>
                <w:rFonts w:ascii="Times New Roman" w:hAnsi="Times New Roman"/>
                <w:sz w:val="24"/>
                <w:szCs w:val="24"/>
              </w:rPr>
              <w:fldChar w:fldCharType="separate"/>
            </w:r>
            <w:r w:rsidR="00AB1967">
              <w:rPr>
                <w:rFonts w:ascii="Times New Roman" w:hAnsi="Times New Roman"/>
                <w:noProof/>
                <w:sz w:val="24"/>
                <w:szCs w:val="24"/>
              </w:rPr>
              <w:t>3</w:t>
            </w:r>
            <w:r w:rsidR="00182C97" w:rsidRPr="00D433D8">
              <w:rPr>
                <w:rFonts w:ascii="Times New Roman" w:hAnsi="Times New Roman"/>
                <w:sz w:val="24"/>
                <w:szCs w:val="24"/>
              </w:rPr>
              <w:fldChar w:fldCharType="end"/>
            </w:r>
            <w:r w:rsidR="004D3255" w:rsidRPr="00D433D8">
              <w:rPr>
                <w:rFonts w:ascii="Times New Roman" w:hAnsi="Times New Roman"/>
                <w:sz w:val="24"/>
                <w:szCs w:val="24"/>
              </w:rPr>
              <w:t>: Stratégies d’adaptation face aux chocs et mobilité dans la pauvreté</w:t>
            </w:r>
            <w:bookmarkEnd w:id="101"/>
            <w:bookmarkEnd w:id="102"/>
          </w:p>
        </w:tc>
      </w:tr>
      <w:tr w:rsidR="004D3255" w:rsidRPr="00E70577" w:rsidTr="006E3DBE">
        <w:trPr>
          <w:trHeight w:val="262"/>
        </w:trPr>
        <w:tc>
          <w:tcPr>
            <w:tcW w:w="607" w:type="dxa"/>
            <w:tcBorders>
              <w:top w:val="double" w:sz="6"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jc w:val="left"/>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Ordre</w:t>
            </w:r>
          </w:p>
        </w:tc>
        <w:tc>
          <w:tcPr>
            <w:tcW w:w="3514" w:type="dxa"/>
            <w:tcBorders>
              <w:top w:val="double" w:sz="6"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jc w:val="left"/>
              <w:rPr>
                <w:rFonts w:ascii="Times New Roman" w:eastAsia="Times New Roman" w:hAnsi="Times New Roman"/>
                <w:b/>
                <w:color w:val="000000"/>
                <w:sz w:val="20"/>
                <w:szCs w:val="20"/>
                <w:lang w:eastAsia="fr-FR"/>
              </w:rPr>
            </w:pPr>
            <w:r w:rsidRPr="00E70577">
              <w:rPr>
                <w:rFonts w:ascii="Times New Roman" w:eastAsia="Times New Roman" w:hAnsi="Times New Roman"/>
                <w:b/>
                <w:color w:val="000000"/>
                <w:sz w:val="20"/>
                <w:szCs w:val="20"/>
                <w:lang w:eastAsia="fr-FR"/>
              </w:rPr>
              <w:t>Sociaux</w:t>
            </w:r>
          </w:p>
        </w:tc>
        <w:tc>
          <w:tcPr>
            <w:tcW w:w="2889" w:type="dxa"/>
            <w:tcBorders>
              <w:top w:val="double" w:sz="6"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jc w:val="left"/>
              <w:rPr>
                <w:rFonts w:ascii="Times New Roman" w:eastAsia="Times New Roman" w:hAnsi="Times New Roman"/>
                <w:b/>
                <w:color w:val="000000"/>
                <w:sz w:val="20"/>
                <w:szCs w:val="20"/>
                <w:lang w:eastAsia="fr-FR"/>
              </w:rPr>
            </w:pPr>
            <w:r w:rsidRPr="00E70577">
              <w:rPr>
                <w:rFonts w:ascii="Times New Roman" w:eastAsia="Times New Roman" w:hAnsi="Times New Roman"/>
                <w:b/>
                <w:color w:val="000000"/>
                <w:sz w:val="20"/>
                <w:szCs w:val="20"/>
                <w:lang w:eastAsia="fr-FR"/>
              </w:rPr>
              <w:t>Economiques</w:t>
            </w:r>
          </w:p>
        </w:tc>
        <w:tc>
          <w:tcPr>
            <w:tcW w:w="2614" w:type="dxa"/>
            <w:tcBorders>
              <w:top w:val="double" w:sz="6"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jc w:val="left"/>
              <w:rPr>
                <w:rFonts w:ascii="Times New Roman" w:eastAsia="Times New Roman" w:hAnsi="Times New Roman"/>
                <w:b/>
                <w:color w:val="000000"/>
                <w:sz w:val="20"/>
                <w:szCs w:val="20"/>
                <w:lang w:eastAsia="fr-FR"/>
              </w:rPr>
            </w:pPr>
            <w:r w:rsidRPr="00E70577">
              <w:rPr>
                <w:rFonts w:ascii="Times New Roman" w:eastAsia="Times New Roman" w:hAnsi="Times New Roman"/>
                <w:b/>
                <w:color w:val="000000"/>
                <w:sz w:val="20"/>
                <w:szCs w:val="20"/>
                <w:lang w:eastAsia="fr-FR"/>
              </w:rPr>
              <w:t>Biologiques</w:t>
            </w:r>
          </w:p>
        </w:tc>
      </w:tr>
      <w:tr w:rsidR="004D3255" w:rsidRPr="00E70577" w:rsidTr="006E3DBE">
        <w:trPr>
          <w:trHeight w:val="233"/>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b/>
                <w:bCs/>
                <w:color w:val="000000"/>
                <w:sz w:val="20"/>
                <w:szCs w:val="20"/>
                <w:lang w:eastAsia="fr-FR"/>
              </w:rPr>
            </w:pPr>
            <w:r w:rsidRPr="00E70577">
              <w:rPr>
                <w:rFonts w:ascii="Times New Roman" w:eastAsia="Times New Roman" w:hAnsi="Times New Roman"/>
                <w:b/>
                <w:bCs/>
                <w:color w:val="000000"/>
                <w:sz w:val="20"/>
                <w:szCs w:val="20"/>
                <w:lang w:eastAsia="fr-FR"/>
              </w:rPr>
              <w:t>Ménages sortis de la pauvreté</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1</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(23.4%)</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(15.5%)</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(25.0%)</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2</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Emprunter de l'argent (14.0%)</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(14.9%)</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(12.6%)</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3</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(08.4%)</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Acheter de la nourriture à crédit (07.3%)</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Réduire la quantité d'aliments consommés par repas (07.0%)</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b/>
                <w:bCs/>
                <w:color w:val="000000"/>
                <w:sz w:val="20"/>
                <w:szCs w:val="20"/>
                <w:lang w:eastAsia="fr-FR"/>
              </w:rPr>
            </w:pPr>
            <w:r w:rsidRPr="00E70577">
              <w:rPr>
                <w:rFonts w:ascii="Times New Roman" w:eastAsia="Times New Roman" w:hAnsi="Times New Roman"/>
                <w:b/>
                <w:bCs/>
                <w:color w:val="000000"/>
                <w:sz w:val="20"/>
                <w:szCs w:val="20"/>
                <w:lang w:eastAsia="fr-FR"/>
              </w:rPr>
              <w:t>Ménages entrés dans la pauvreté</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1</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(23.2%)</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(13.9%)</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(23.3%)</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2</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Emprunter de l'argent (15.4%)</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(13.4%)</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Réduire la quantité d'aliments consommés par repas (10.4%)</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3</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(06.8%)</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Acheter de la nourriture à crédit (08.5%)</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(10.3%)</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b/>
                <w:bCs/>
                <w:color w:val="000000"/>
                <w:sz w:val="20"/>
                <w:szCs w:val="20"/>
                <w:lang w:eastAsia="fr-FR"/>
              </w:rPr>
            </w:pPr>
            <w:r w:rsidRPr="00E70577">
              <w:rPr>
                <w:rFonts w:ascii="Times New Roman" w:eastAsia="Times New Roman" w:hAnsi="Times New Roman"/>
                <w:b/>
                <w:bCs/>
                <w:color w:val="000000"/>
                <w:sz w:val="20"/>
                <w:szCs w:val="20"/>
                <w:lang w:eastAsia="fr-FR"/>
              </w:rPr>
              <w:t>Ménages chroniquement pauvres</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1</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Emprunter de l'argent (20.9%)</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(11.4%)</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(19.3%)</w:t>
            </w:r>
          </w:p>
        </w:tc>
      </w:tr>
      <w:tr w:rsidR="004D3255" w:rsidRPr="00E70577" w:rsidTr="006E3DBE">
        <w:trPr>
          <w:trHeight w:val="340"/>
        </w:trPr>
        <w:tc>
          <w:tcPr>
            <w:tcW w:w="607"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2</w:t>
            </w:r>
          </w:p>
        </w:tc>
        <w:tc>
          <w:tcPr>
            <w:tcW w:w="35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Dépenser les économies (15.4%)</w:t>
            </w:r>
          </w:p>
        </w:tc>
        <w:tc>
          <w:tcPr>
            <w:tcW w:w="2889"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Acheter de la nourriture à crédit (11.4%)</w:t>
            </w:r>
          </w:p>
        </w:tc>
        <w:tc>
          <w:tcPr>
            <w:tcW w:w="2614" w:type="dxa"/>
            <w:tcBorders>
              <w:top w:val="single" w:sz="8" w:space="0" w:color="auto"/>
              <w:left w:val="nil"/>
              <w:bottom w:val="single" w:sz="8"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Acheter de la nourriture à crédit (10.2%)</w:t>
            </w:r>
          </w:p>
        </w:tc>
      </w:tr>
      <w:tr w:rsidR="004D3255" w:rsidRPr="00E70577" w:rsidTr="006E3DBE">
        <w:trPr>
          <w:trHeight w:val="340"/>
        </w:trPr>
        <w:tc>
          <w:tcPr>
            <w:tcW w:w="607" w:type="dxa"/>
            <w:tcBorders>
              <w:top w:val="single" w:sz="8" w:space="0" w:color="auto"/>
              <w:left w:val="nil"/>
              <w:bottom w:val="double" w:sz="6"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3</w:t>
            </w:r>
          </w:p>
        </w:tc>
        <w:tc>
          <w:tcPr>
            <w:tcW w:w="3514" w:type="dxa"/>
            <w:tcBorders>
              <w:top w:val="single" w:sz="8" w:space="0" w:color="auto"/>
              <w:left w:val="nil"/>
              <w:bottom w:val="double" w:sz="6"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Acheter de la nourriture à crédit (06.6%)</w:t>
            </w:r>
          </w:p>
        </w:tc>
        <w:tc>
          <w:tcPr>
            <w:tcW w:w="2889" w:type="dxa"/>
            <w:tcBorders>
              <w:top w:val="single" w:sz="8" w:space="0" w:color="auto"/>
              <w:left w:val="nil"/>
              <w:bottom w:val="double" w:sz="6"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 xml:space="preserve">Consommer des aliments moins </w:t>
            </w:r>
            <w:r w:rsidR="006E3DBE">
              <w:rPr>
                <w:rFonts w:ascii="Times New Roman" w:eastAsia="Times New Roman" w:hAnsi="Times New Roman"/>
                <w:color w:val="000000"/>
                <w:sz w:val="20"/>
                <w:szCs w:val="20"/>
                <w:lang w:eastAsia="fr-FR"/>
              </w:rPr>
              <w:t>coûteux</w:t>
            </w:r>
            <w:r w:rsidRPr="00E70577">
              <w:rPr>
                <w:rFonts w:ascii="Times New Roman" w:eastAsia="Times New Roman" w:hAnsi="Times New Roman"/>
                <w:color w:val="000000"/>
                <w:sz w:val="20"/>
                <w:szCs w:val="20"/>
                <w:lang w:eastAsia="fr-FR"/>
              </w:rPr>
              <w:t xml:space="preserve"> ou moins préférés (10.3%)</w:t>
            </w:r>
          </w:p>
        </w:tc>
        <w:tc>
          <w:tcPr>
            <w:tcW w:w="2614" w:type="dxa"/>
            <w:tcBorders>
              <w:top w:val="single" w:sz="8" w:space="0" w:color="auto"/>
              <w:left w:val="nil"/>
              <w:bottom w:val="double" w:sz="6" w:space="0" w:color="auto"/>
              <w:right w:val="nil"/>
            </w:tcBorders>
            <w:shd w:val="clear" w:color="auto" w:fill="DAEEF3" w:themeFill="accent5" w:themeFillTint="33"/>
            <w:noWrap/>
            <w:vAlign w:val="bottom"/>
            <w:hideMark/>
          </w:tcPr>
          <w:p w:rsidR="004D3255" w:rsidRPr="00E70577" w:rsidRDefault="004D3255" w:rsidP="00394FEA">
            <w:pPr>
              <w:spacing w:line="240" w:lineRule="auto"/>
              <w:rPr>
                <w:rFonts w:ascii="Times New Roman" w:eastAsia="Times New Roman" w:hAnsi="Times New Roman"/>
                <w:color w:val="000000"/>
                <w:sz w:val="20"/>
                <w:szCs w:val="20"/>
                <w:lang w:eastAsia="fr-FR"/>
              </w:rPr>
            </w:pPr>
            <w:r w:rsidRPr="00E70577">
              <w:rPr>
                <w:rFonts w:ascii="Times New Roman" w:eastAsia="Times New Roman" w:hAnsi="Times New Roman"/>
                <w:color w:val="000000"/>
                <w:sz w:val="20"/>
                <w:szCs w:val="20"/>
                <w:lang w:eastAsia="fr-FR"/>
              </w:rPr>
              <w:t>Réduire la quantité d'aliments consommés par repas (09.4%)</w:t>
            </w:r>
          </w:p>
        </w:tc>
      </w:tr>
      <w:tr w:rsidR="004D3255" w:rsidRPr="00E70577" w:rsidTr="00394FEA">
        <w:trPr>
          <w:trHeight w:val="262"/>
        </w:trPr>
        <w:tc>
          <w:tcPr>
            <w:tcW w:w="9624" w:type="dxa"/>
            <w:gridSpan w:val="4"/>
            <w:tcBorders>
              <w:top w:val="double" w:sz="6" w:space="0" w:color="auto"/>
              <w:left w:val="nil"/>
              <w:right w:val="nil"/>
            </w:tcBorders>
            <w:shd w:val="clear" w:color="auto" w:fill="DAEEF3" w:themeFill="accent5" w:themeFillTint="33"/>
            <w:noWrap/>
            <w:vAlign w:val="bottom"/>
            <w:hideMark/>
          </w:tcPr>
          <w:p w:rsidR="004D3255" w:rsidRPr="002A38C8" w:rsidRDefault="004D3255" w:rsidP="00394FEA">
            <w:pPr>
              <w:spacing w:line="276" w:lineRule="auto"/>
              <w:rPr>
                <w:rFonts w:ascii="Times New Roman" w:hAnsi="Times New Roman"/>
                <w:sz w:val="24"/>
                <w:szCs w:val="24"/>
              </w:rPr>
            </w:pPr>
            <w:r>
              <w:rPr>
                <w:rFonts w:ascii="Times New Roman" w:hAnsi="Times New Roman"/>
                <w:sz w:val="24"/>
                <w:szCs w:val="24"/>
              </w:rPr>
              <w:t>Source : INSAE, 2013</w:t>
            </w:r>
          </w:p>
        </w:tc>
      </w:tr>
    </w:tbl>
    <w:p w:rsidR="00ED3BCD" w:rsidRDefault="00ED3BCD" w:rsidP="00F55B57">
      <w:pPr>
        <w:spacing w:line="240" w:lineRule="auto"/>
        <w:ind w:firstLine="220"/>
      </w:pPr>
    </w:p>
    <w:p w:rsidR="00F55B57" w:rsidRDefault="00F55B57" w:rsidP="00F55B57">
      <w:pPr>
        <w:spacing w:line="240" w:lineRule="auto"/>
        <w:ind w:firstLine="220"/>
      </w:pPr>
    </w:p>
    <w:p w:rsidR="008C2AF2" w:rsidRPr="00BE67B7" w:rsidRDefault="000A79B7" w:rsidP="0058364C">
      <w:pPr>
        <w:autoSpaceDE w:val="0"/>
        <w:autoSpaceDN w:val="0"/>
        <w:adjustRightInd w:val="0"/>
        <w:spacing w:line="276" w:lineRule="auto"/>
        <w:rPr>
          <w:rFonts w:ascii="Times New Roman" w:hAnsi="Times New Roman"/>
          <w:b/>
          <w:color w:val="31849B" w:themeColor="accent5" w:themeShade="BF"/>
          <w:sz w:val="28"/>
          <w:szCs w:val="28"/>
        </w:rPr>
      </w:pPr>
      <w:r w:rsidRPr="00BE67B7">
        <w:rPr>
          <w:rFonts w:ascii="Times New Roman" w:hAnsi="Times New Roman"/>
          <w:b/>
          <w:color w:val="31849B" w:themeColor="accent5" w:themeShade="BF"/>
          <w:sz w:val="28"/>
          <w:szCs w:val="28"/>
        </w:rPr>
        <w:t>3</w:t>
      </w:r>
      <w:r w:rsidR="001064B7" w:rsidRPr="00BE67B7">
        <w:rPr>
          <w:rFonts w:ascii="Times New Roman" w:hAnsi="Times New Roman"/>
          <w:b/>
          <w:color w:val="31849B" w:themeColor="accent5" w:themeShade="BF"/>
          <w:sz w:val="28"/>
          <w:szCs w:val="28"/>
        </w:rPr>
        <w:t>.5</w:t>
      </w:r>
      <w:r w:rsidR="00390A78">
        <w:rPr>
          <w:rFonts w:ascii="Times New Roman" w:hAnsi="Times New Roman"/>
          <w:b/>
          <w:color w:val="31849B" w:themeColor="accent5" w:themeShade="BF"/>
          <w:sz w:val="28"/>
          <w:szCs w:val="28"/>
        </w:rPr>
        <w:t xml:space="preserve"> </w:t>
      </w:r>
      <w:r w:rsidR="003C211F" w:rsidRPr="00BE67B7">
        <w:rPr>
          <w:rFonts w:ascii="Times New Roman" w:hAnsi="Times New Roman"/>
          <w:b/>
          <w:color w:val="31849B" w:themeColor="accent5" w:themeShade="BF"/>
          <w:sz w:val="28"/>
          <w:szCs w:val="28"/>
        </w:rPr>
        <w:t>Adéquation</w:t>
      </w:r>
      <w:r w:rsidR="001064B7" w:rsidRPr="00BE67B7">
        <w:rPr>
          <w:rFonts w:ascii="Times New Roman" w:hAnsi="Times New Roman"/>
          <w:b/>
          <w:color w:val="31849B" w:themeColor="accent5" w:themeShade="BF"/>
          <w:sz w:val="28"/>
          <w:szCs w:val="28"/>
        </w:rPr>
        <w:t xml:space="preserve"> des stratégies de gestion des chocs</w:t>
      </w:r>
    </w:p>
    <w:p w:rsidR="008C2AF2" w:rsidRPr="008A7937" w:rsidRDefault="008C2AF2" w:rsidP="0058364C">
      <w:pPr>
        <w:autoSpaceDE w:val="0"/>
        <w:autoSpaceDN w:val="0"/>
        <w:adjustRightInd w:val="0"/>
        <w:spacing w:line="276" w:lineRule="auto"/>
        <w:rPr>
          <w:rFonts w:ascii="Times New Roman" w:hAnsi="Times New Roman"/>
          <w:sz w:val="24"/>
          <w:szCs w:val="24"/>
        </w:rPr>
      </w:pPr>
    </w:p>
    <w:p w:rsidR="008A7937" w:rsidRPr="008A7937" w:rsidRDefault="001064B7" w:rsidP="008A7937">
      <w:pPr>
        <w:autoSpaceDE w:val="0"/>
        <w:autoSpaceDN w:val="0"/>
        <w:adjustRightInd w:val="0"/>
        <w:spacing w:line="276" w:lineRule="auto"/>
        <w:rPr>
          <w:rFonts w:ascii="Times New Roman" w:hAnsi="Times New Roman"/>
          <w:sz w:val="24"/>
          <w:szCs w:val="24"/>
        </w:rPr>
      </w:pPr>
      <w:r w:rsidRPr="001064B7">
        <w:rPr>
          <w:rFonts w:ascii="Times New Roman" w:hAnsi="Times New Roman"/>
          <w:sz w:val="24"/>
          <w:szCs w:val="24"/>
        </w:rPr>
        <w:t xml:space="preserve">Cette analyse est focalisée sur l’impact de la principale initiative prise par le ménage pour </w:t>
      </w:r>
      <w:r w:rsidR="00931576">
        <w:rPr>
          <w:rFonts w:ascii="Times New Roman" w:hAnsi="Times New Roman"/>
          <w:sz w:val="24"/>
          <w:szCs w:val="24"/>
        </w:rPr>
        <w:t xml:space="preserve">faire </w:t>
      </w:r>
      <w:r w:rsidRPr="001064B7">
        <w:rPr>
          <w:rFonts w:ascii="Times New Roman" w:hAnsi="Times New Roman"/>
          <w:sz w:val="24"/>
          <w:szCs w:val="24"/>
        </w:rPr>
        <w:t xml:space="preserve">face aux diminutions de revenu ou perte de biens à cause  </w:t>
      </w:r>
      <w:r w:rsidR="00931576">
        <w:rPr>
          <w:rFonts w:ascii="Times New Roman" w:hAnsi="Times New Roman"/>
          <w:sz w:val="24"/>
          <w:szCs w:val="24"/>
        </w:rPr>
        <w:t>du</w:t>
      </w:r>
      <w:r w:rsidR="00931576" w:rsidRPr="001064B7">
        <w:rPr>
          <w:rFonts w:ascii="Times New Roman" w:hAnsi="Times New Roman"/>
          <w:sz w:val="24"/>
          <w:szCs w:val="24"/>
        </w:rPr>
        <w:t xml:space="preserve"> </w:t>
      </w:r>
      <w:r w:rsidRPr="001064B7">
        <w:rPr>
          <w:rFonts w:ascii="Times New Roman" w:hAnsi="Times New Roman"/>
          <w:sz w:val="24"/>
          <w:szCs w:val="24"/>
        </w:rPr>
        <w:t>choc.</w:t>
      </w:r>
      <w:r w:rsidR="008A7937">
        <w:rPr>
          <w:rFonts w:ascii="Times New Roman" w:hAnsi="Times New Roman"/>
          <w:sz w:val="24"/>
          <w:szCs w:val="24"/>
        </w:rPr>
        <w:t xml:space="preserve"> Elle porte sur les ménages ayant déclaré avoir subi une diminution </w:t>
      </w:r>
      <w:r w:rsidR="00C743CC">
        <w:rPr>
          <w:rFonts w:ascii="Times New Roman" w:hAnsi="Times New Roman"/>
          <w:sz w:val="24"/>
          <w:szCs w:val="24"/>
        </w:rPr>
        <w:t>de leur</w:t>
      </w:r>
      <w:r w:rsidR="00C743CC" w:rsidRPr="008A7937">
        <w:rPr>
          <w:rFonts w:ascii="Times New Roman" w:hAnsi="Times New Roman"/>
          <w:sz w:val="24"/>
          <w:szCs w:val="24"/>
        </w:rPr>
        <w:t xml:space="preserve"> capacité à produire ou à acheter des vivres pour la consommation pendant une période de temps (sans compter la période de soudure)</w:t>
      </w:r>
      <w:r w:rsidR="00C743CC">
        <w:rPr>
          <w:rFonts w:ascii="Times New Roman" w:hAnsi="Times New Roman"/>
          <w:sz w:val="24"/>
          <w:szCs w:val="24"/>
        </w:rPr>
        <w:t>.</w:t>
      </w:r>
    </w:p>
    <w:p w:rsidR="008A7937" w:rsidRPr="00F55B57" w:rsidRDefault="008A7937" w:rsidP="0058364C">
      <w:pPr>
        <w:autoSpaceDE w:val="0"/>
        <w:autoSpaceDN w:val="0"/>
        <w:adjustRightInd w:val="0"/>
        <w:spacing w:line="276" w:lineRule="auto"/>
        <w:rPr>
          <w:rFonts w:ascii="Times New Roman" w:hAnsi="Times New Roman"/>
          <w:sz w:val="12"/>
          <w:szCs w:val="12"/>
        </w:rPr>
      </w:pPr>
    </w:p>
    <w:p w:rsidR="00582FCD" w:rsidRPr="00582FCD" w:rsidRDefault="002955F9" w:rsidP="00582FCD">
      <w:pPr>
        <w:autoSpaceDE w:val="0"/>
        <w:autoSpaceDN w:val="0"/>
        <w:adjustRightInd w:val="0"/>
        <w:spacing w:line="276" w:lineRule="auto"/>
        <w:rPr>
          <w:rFonts w:ascii="Times New Roman" w:hAnsi="Times New Roman"/>
          <w:sz w:val="24"/>
          <w:szCs w:val="24"/>
        </w:rPr>
      </w:pPr>
      <w:r>
        <w:rPr>
          <w:rFonts w:ascii="Times New Roman" w:hAnsi="Times New Roman"/>
          <w:b/>
          <w:sz w:val="24"/>
          <w:szCs w:val="24"/>
        </w:rPr>
        <w:t>L</w:t>
      </w:r>
      <w:r w:rsidR="001064B7" w:rsidRPr="001064B7">
        <w:rPr>
          <w:rFonts w:ascii="Times New Roman" w:hAnsi="Times New Roman"/>
          <w:b/>
          <w:sz w:val="24"/>
          <w:szCs w:val="24"/>
        </w:rPr>
        <w:t>’impact des stratégies de gestion de risque adoptées par les ménages sur leur capacité à se relever de la diminution du revenu ou des biens suite aux chocs est largement partiel</w:t>
      </w:r>
      <w:r w:rsidR="001064B7" w:rsidRPr="001064B7">
        <w:rPr>
          <w:rFonts w:ascii="Times New Roman" w:hAnsi="Times New Roman"/>
          <w:sz w:val="24"/>
          <w:szCs w:val="24"/>
        </w:rPr>
        <w:t>.</w:t>
      </w:r>
      <w:r w:rsidR="00390A78">
        <w:rPr>
          <w:rFonts w:ascii="Times New Roman" w:hAnsi="Times New Roman"/>
          <w:sz w:val="24"/>
          <w:szCs w:val="24"/>
        </w:rPr>
        <w:t xml:space="preserve"> </w:t>
      </w:r>
      <w:r w:rsidR="001064B7" w:rsidRPr="001064B7">
        <w:rPr>
          <w:rFonts w:ascii="Times New Roman" w:hAnsi="Times New Roman"/>
          <w:sz w:val="24"/>
          <w:szCs w:val="24"/>
        </w:rPr>
        <w:t>La proportion de ménages ayant déclaré partiel le relèvement de la diminution de revenu ou de biens après avoir subi un choc est plus important</w:t>
      </w:r>
      <w:r w:rsidR="006E3DBE">
        <w:rPr>
          <w:rFonts w:ascii="Times New Roman" w:hAnsi="Times New Roman"/>
          <w:sz w:val="24"/>
          <w:szCs w:val="24"/>
        </w:rPr>
        <w:t>e</w:t>
      </w:r>
      <w:r w:rsidR="001064B7" w:rsidRPr="001064B7">
        <w:rPr>
          <w:rFonts w:ascii="Times New Roman" w:hAnsi="Times New Roman"/>
          <w:sz w:val="24"/>
          <w:szCs w:val="24"/>
        </w:rPr>
        <w:t xml:space="preserve"> que ceux qui ont déclaré être entièrement remis de la diminution du revenu ou des biens engendrés par l’exposition aux chocs. Cette proportion est relativement plus élevée </w:t>
      </w:r>
      <w:r w:rsidR="006E3DBE">
        <w:rPr>
          <w:rFonts w:ascii="Times New Roman" w:hAnsi="Times New Roman"/>
          <w:sz w:val="24"/>
          <w:szCs w:val="24"/>
        </w:rPr>
        <w:t xml:space="preserve">pour </w:t>
      </w:r>
      <w:r w:rsidR="001064B7" w:rsidRPr="001064B7">
        <w:rPr>
          <w:rFonts w:ascii="Times New Roman" w:hAnsi="Times New Roman"/>
          <w:sz w:val="24"/>
          <w:szCs w:val="24"/>
        </w:rPr>
        <w:t xml:space="preserve">les </w:t>
      </w:r>
      <w:r>
        <w:rPr>
          <w:rFonts w:ascii="Times New Roman" w:hAnsi="Times New Roman"/>
          <w:sz w:val="24"/>
          <w:szCs w:val="24"/>
        </w:rPr>
        <w:t>chocs biophysiques</w:t>
      </w:r>
      <w:r w:rsidR="001064B7" w:rsidRPr="001064B7">
        <w:rPr>
          <w:rFonts w:ascii="Times New Roman" w:hAnsi="Times New Roman"/>
          <w:sz w:val="24"/>
          <w:szCs w:val="24"/>
        </w:rPr>
        <w:t xml:space="preserve"> et</w:t>
      </w:r>
      <w:r>
        <w:rPr>
          <w:rFonts w:ascii="Times New Roman" w:hAnsi="Times New Roman"/>
          <w:sz w:val="24"/>
          <w:szCs w:val="24"/>
        </w:rPr>
        <w:t xml:space="preserve"> économiques</w:t>
      </w:r>
      <w:r w:rsidR="001064B7" w:rsidRPr="001064B7">
        <w:rPr>
          <w:rFonts w:ascii="Times New Roman" w:hAnsi="Times New Roman"/>
          <w:sz w:val="24"/>
          <w:szCs w:val="24"/>
        </w:rPr>
        <w:t xml:space="preserve">. </w:t>
      </w:r>
      <w:r>
        <w:rPr>
          <w:rFonts w:ascii="Times New Roman" w:hAnsi="Times New Roman"/>
          <w:sz w:val="24"/>
          <w:szCs w:val="24"/>
        </w:rPr>
        <w:t>Ceci montre le caractère limité</w:t>
      </w:r>
      <w:r w:rsidR="001064B7" w:rsidRPr="001064B7">
        <w:rPr>
          <w:rFonts w:ascii="Times New Roman" w:hAnsi="Times New Roman"/>
          <w:sz w:val="24"/>
          <w:szCs w:val="24"/>
        </w:rPr>
        <w:t xml:space="preserve"> et peu efficace</w:t>
      </w:r>
      <w:r>
        <w:rPr>
          <w:rFonts w:ascii="Times New Roman" w:hAnsi="Times New Roman"/>
          <w:sz w:val="24"/>
          <w:szCs w:val="24"/>
        </w:rPr>
        <w:t xml:space="preserve"> des stratégies adoptées par les ménages pour faire</w:t>
      </w:r>
      <w:r w:rsidR="006E3DBE">
        <w:rPr>
          <w:rFonts w:ascii="Times New Roman" w:hAnsi="Times New Roman"/>
          <w:sz w:val="24"/>
          <w:szCs w:val="24"/>
        </w:rPr>
        <w:t xml:space="preserve"> face</w:t>
      </w:r>
      <w:r>
        <w:rPr>
          <w:rFonts w:ascii="Times New Roman" w:hAnsi="Times New Roman"/>
          <w:sz w:val="24"/>
          <w:szCs w:val="24"/>
        </w:rPr>
        <w:t xml:space="preserve"> aux chocs et laisse présager d’une part, de l</w:t>
      </w:r>
      <w:r w:rsidR="001064B7" w:rsidRPr="001064B7">
        <w:rPr>
          <w:rFonts w:ascii="Times New Roman" w:hAnsi="Times New Roman"/>
          <w:sz w:val="24"/>
          <w:szCs w:val="24"/>
        </w:rPr>
        <w:t xml:space="preserve">eur </w:t>
      </w:r>
      <w:r>
        <w:rPr>
          <w:rFonts w:ascii="Times New Roman" w:hAnsi="Times New Roman"/>
          <w:sz w:val="24"/>
          <w:szCs w:val="24"/>
        </w:rPr>
        <w:t>effe</w:t>
      </w:r>
      <w:r w:rsidR="001064B7" w:rsidRPr="001064B7">
        <w:rPr>
          <w:rFonts w:ascii="Times New Roman" w:hAnsi="Times New Roman"/>
          <w:sz w:val="24"/>
          <w:szCs w:val="24"/>
        </w:rPr>
        <w:t xml:space="preserve">t de très court terme </w:t>
      </w:r>
      <w:r w:rsidR="00B235F4">
        <w:rPr>
          <w:rFonts w:ascii="Times New Roman" w:hAnsi="Times New Roman"/>
          <w:sz w:val="24"/>
          <w:szCs w:val="24"/>
        </w:rPr>
        <w:t xml:space="preserve"> et d’autre part, de la nécessité </w:t>
      </w:r>
      <w:r w:rsidR="00DF3479">
        <w:rPr>
          <w:rFonts w:ascii="Times New Roman" w:hAnsi="Times New Roman"/>
          <w:sz w:val="24"/>
          <w:szCs w:val="24"/>
        </w:rPr>
        <w:t>pour ces derniers, de</w:t>
      </w:r>
      <w:r w:rsidR="00390A78">
        <w:rPr>
          <w:rFonts w:ascii="Times New Roman" w:hAnsi="Times New Roman"/>
          <w:sz w:val="24"/>
          <w:szCs w:val="24"/>
        </w:rPr>
        <w:t xml:space="preserve"> </w:t>
      </w:r>
      <w:r w:rsidR="001064B7" w:rsidRPr="001064B7">
        <w:rPr>
          <w:rFonts w:ascii="Times New Roman" w:hAnsi="Times New Roman"/>
          <w:sz w:val="24"/>
          <w:szCs w:val="24"/>
        </w:rPr>
        <w:t xml:space="preserve">disposer et </w:t>
      </w:r>
      <w:r w:rsidR="00DF3479">
        <w:rPr>
          <w:rFonts w:ascii="Times New Roman" w:hAnsi="Times New Roman"/>
          <w:sz w:val="24"/>
          <w:szCs w:val="24"/>
        </w:rPr>
        <w:t>d’</w:t>
      </w:r>
      <w:r w:rsidR="001064B7" w:rsidRPr="001064B7">
        <w:rPr>
          <w:rFonts w:ascii="Times New Roman" w:hAnsi="Times New Roman"/>
          <w:sz w:val="24"/>
          <w:szCs w:val="24"/>
        </w:rPr>
        <w:t>utiliser des instruments appropriés pour gérer efficacement le</w:t>
      </w:r>
      <w:r w:rsidR="00390A78">
        <w:rPr>
          <w:rFonts w:ascii="Times New Roman" w:hAnsi="Times New Roman"/>
          <w:sz w:val="24"/>
          <w:szCs w:val="24"/>
        </w:rPr>
        <w:t xml:space="preserve"> </w:t>
      </w:r>
      <w:r w:rsidR="001064B7" w:rsidRPr="001064B7">
        <w:rPr>
          <w:rFonts w:ascii="Times New Roman" w:hAnsi="Times New Roman"/>
          <w:sz w:val="24"/>
          <w:szCs w:val="24"/>
        </w:rPr>
        <w:t>risque sous quelque forme qu’il se présente</w:t>
      </w:r>
      <w:r w:rsidR="007D347D">
        <w:rPr>
          <w:rFonts w:ascii="Times New Roman" w:hAnsi="Times New Roman"/>
          <w:sz w:val="24"/>
          <w:szCs w:val="24"/>
        </w:rPr>
        <w:t xml:space="preserve"> au regard de leur degré de vulnérabilité</w:t>
      </w:r>
      <w:r w:rsidR="00943D66">
        <w:rPr>
          <w:rFonts w:ascii="Times New Roman" w:hAnsi="Times New Roman"/>
          <w:sz w:val="24"/>
          <w:szCs w:val="24"/>
        </w:rPr>
        <w:t xml:space="preserve"> élevé</w:t>
      </w:r>
      <w:r w:rsidR="00943D66">
        <w:rPr>
          <w:rStyle w:val="Appelnotedebasdep"/>
          <w:rFonts w:ascii="Times New Roman" w:hAnsi="Times New Roman"/>
          <w:sz w:val="24"/>
          <w:szCs w:val="24"/>
        </w:rPr>
        <w:footnoteReference w:id="71"/>
      </w:r>
      <w:r w:rsidR="00582FCD">
        <w:rPr>
          <w:rFonts w:ascii="Times New Roman" w:hAnsi="Times New Roman"/>
          <w:sz w:val="24"/>
          <w:szCs w:val="24"/>
        </w:rPr>
        <w:t xml:space="preserve">. </w:t>
      </w:r>
      <w:r w:rsidR="001064B7" w:rsidRPr="001064B7">
        <w:rPr>
          <w:rFonts w:ascii="Times New Roman" w:hAnsi="Times New Roman"/>
          <w:sz w:val="24"/>
          <w:szCs w:val="24"/>
        </w:rPr>
        <w:t xml:space="preserve"> Ces instruments </w:t>
      </w:r>
      <w:r w:rsidR="0061708A">
        <w:rPr>
          <w:rFonts w:ascii="Times New Roman" w:hAnsi="Times New Roman"/>
          <w:sz w:val="24"/>
          <w:szCs w:val="24"/>
        </w:rPr>
        <w:t>sont supposés</w:t>
      </w:r>
      <w:r w:rsidR="001064B7" w:rsidRPr="001064B7">
        <w:rPr>
          <w:rFonts w:ascii="Times New Roman" w:hAnsi="Times New Roman"/>
          <w:sz w:val="24"/>
          <w:szCs w:val="24"/>
        </w:rPr>
        <w:t xml:space="preserve"> </w:t>
      </w:r>
      <w:r w:rsidR="006E3DBE">
        <w:rPr>
          <w:rFonts w:ascii="Times New Roman" w:hAnsi="Times New Roman"/>
          <w:sz w:val="24"/>
          <w:szCs w:val="24"/>
        </w:rPr>
        <w:t>accroî</w:t>
      </w:r>
      <w:r w:rsidR="006E3DBE" w:rsidRPr="001064B7">
        <w:rPr>
          <w:rFonts w:ascii="Times New Roman" w:hAnsi="Times New Roman"/>
          <w:sz w:val="24"/>
          <w:szCs w:val="24"/>
        </w:rPr>
        <w:t>t</w:t>
      </w:r>
      <w:r w:rsidR="006E3DBE">
        <w:rPr>
          <w:rFonts w:ascii="Times New Roman" w:hAnsi="Times New Roman"/>
          <w:sz w:val="24"/>
          <w:szCs w:val="24"/>
        </w:rPr>
        <w:t>re</w:t>
      </w:r>
      <w:r w:rsidR="006E3DBE" w:rsidRPr="001064B7">
        <w:rPr>
          <w:rFonts w:ascii="Times New Roman" w:hAnsi="Times New Roman"/>
          <w:sz w:val="24"/>
          <w:szCs w:val="24"/>
        </w:rPr>
        <w:t xml:space="preserve"> </w:t>
      </w:r>
      <w:r w:rsidR="001064B7" w:rsidRPr="001064B7">
        <w:rPr>
          <w:rFonts w:ascii="Times New Roman" w:hAnsi="Times New Roman"/>
          <w:sz w:val="24"/>
          <w:szCs w:val="24"/>
        </w:rPr>
        <w:t>le bien-être des individus et de la société à un moment précis (analyse</w:t>
      </w:r>
      <w:r w:rsidR="00390A78">
        <w:rPr>
          <w:rFonts w:ascii="Times New Roman" w:hAnsi="Times New Roman"/>
          <w:sz w:val="24"/>
          <w:szCs w:val="24"/>
        </w:rPr>
        <w:t xml:space="preserve"> </w:t>
      </w:r>
      <w:r>
        <w:rPr>
          <w:rFonts w:ascii="Times New Roman" w:hAnsi="Times New Roman"/>
          <w:sz w:val="24"/>
          <w:szCs w:val="24"/>
        </w:rPr>
        <w:t>statique) ; ii) contribue</w:t>
      </w:r>
      <w:r w:rsidR="0061708A">
        <w:rPr>
          <w:rFonts w:ascii="Times New Roman" w:hAnsi="Times New Roman"/>
          <w:sz w:val="24"/>
          <w:szCs w:val="24"/>
        </w:rPr>
        <w:t xml:space="preserve">r </w:t>
      </w:r>
      <w:r w:rsidR="001064B7" w:rsidRPr="001064B7">
        <w:rPr>
          <w:rFonts w:ascii="Times New Roman" w:hAnsi="Times New Roman"/>
          <w:sz w:val="24"/>
          <w:szCs w:val="24"/>
        </w:rPr>
        <w:t>au développement et à la croissance économiques</w:t>
      </w:r>
      <w:r w:rsidR="00390A78">
        <w:rPr>
          <w:rFonts w:ascii="Times New Roman" w:hAnsi="Times New Roman"/>
          <w:sz w:val="24"/>
          <w:szCs w:val="24"/>
        </w:rPr>
        <w:t xml:space="preserve"> </w:t>
      </w:r>
      <w:r w:rsidR="001064B7" w:rsidRPr="001064B7">
        <w:rPr>
          <w:rFonts w:ascii="Times New Roman" w:hAnsi="Times New Roman"/>
          <w:sz w:val="24"/>
          <w:szCs w:val="24"/>
        </w:rPr>
        <w:t>dans le</w:t>
      </w:r>
      <w:r w:rsidR="00390A78">
        <w:rPr>
          <w:rFonts w:ascii="Times New Roman" w:hAnsi="Times New Roman"/>
          <w:sz w:val="24"/>
          <w:szCs w:val="24"/>
        </w:rPr>
        <w:t xml:space="preserve"> </w:t>
      </w:r>
      <w:r w:rsidR="001064B7" w:rsidRPr="001064B7">
        <w:rPr>
          <w:rFonts w:ascii="Times New Roman" w:hAnsi="Times New Roman"/>
          <w:sz w:val="24"/>
          <w:szCs w:val="24"/>
        </w:rPr>
        <w:t xml:space="preserve">temps (analyse dynamique) ; et iii) </w:t>
      </w:r>
      <w:r w:rsidR="0061708A">
        <w:rPr>
          <w:rFonts w:ascii="Times New Roman" w:hAnsi="Times New Roman"/>
          <w:sz w:val="24"/>
          <w:szCs w:val="24"/>
        </w:rPr>
        <w:t>être</w:t>
      </w:r>
      <w:r w:rsidR="001064B7" w:rsidRPr="001064B7">
        <w:rPr>
          <w:rFonts w:ascii="Times New Roman" w:hAnsi="Times New Roman"/>
          <w:sz w:val="24"/>
          <w:szCs w:val="24"/>
        </w:rPr>
        <w:t xml:space="preserve"> des facteurs essentiels d’une réduction réelle et</w:t>
      </w:r>
      <w:r w:rsidR="00390A78">
        <w:rPr>
          <w:rFonts w:ascii="Times New Roman" w:hAnsi="Times New Roman"/>
          <w:sz w:val="24"/>
          <w:szCs w:val="24"/>
        </w:rPr>
        <w:t xml:space="preserve"> </w:t>
      </w:r>
      <w:r w:rsidR="001064B7" w:rsidRPr="001064B7">
        <w:rPr>
          <w:rFonts w:ascii="Times New Roman" w:hAnsi="Times New Roman"/>
          <w:sz w:val="24"/>
          <w:szCs w:val="24"/>
        </w:rPr>
        <w:t>durable de la pauvreté</w:t>
      </w:r>
      <w:r w:rsidR="00DF3479">
        <w:rPr>
          <w:rFonts w:ascii="Times New Roman" w:hAnsi="Times New Roman"/>
          <w:sz w:val="24"/>
          <w:szCs w:val="24"/>
        </w:rPr>
        <w:t xml:space="preserve"> (</w:t>
      </w:r>
      <w:r w:rsidR="001064B7" w:rsidRPr="001064B7">
        <w:rPr>
          <w:rFonts w:ascii="Times New Roman" w:hAnsi="Times New Roman"/>
          <w:sz w:val="24"/>
          <w:szCs w:val="24"/>
        </w:rPr>
        <w:t xml:space="preserve">Holzmann, R et </w:t>
      </w:r>
      <w:r w:rsidR="00390A78" w:rsidRPr="001064B7">
        <w:rPr>
          <w:rFonts w:ascii="Times New Roman" w:hAnsi="Times New Roman"/>
          <w:sz w:val="24"/>
          <w:szCs w:val="24"/>
        </w:rPr>
        <w:t>J</w:t>
      </w:r>
      <w:r w:rsidR="00390A78">
        <w:rPr>
          <w:rFonts w:ascii="Times New Roman" w:hAnsi="Times New Roman"/>
          <w:sz w:val="24"/>
          <w:szCs w:val="24"/>
        </w:rPr>
        <w:t>o</w:t>
      </w:r>
      <w:r w:rsidR="00390A78" w:rsidRPr="001064B7">
        <w:rPr>
          <w:rFonts w:ascii="Times New Roman" w:hAnsi="Times New Roman"/>
          <w:sz w:val="24"/>
          <w:szCs w:val="24"/>
        </w:rPr>
        <w:t>rgensen</w:t>
      </w:r>
      <w:r w:rsidR="001064B7" w:rsidRPr="001064B7">
        <w:rPr>
          <w:rFonts w:ascii="Times New Roman" w:hAnsi="Times New Roman"/>
          <w:sz w:val="24"/>
          <w:szCs w:val="24"/>
        </w:rPr>
        <w:t xml:space="preserve">, S, 2000). </w:t>
      </w:r>
    </w:p>
    <w:p w:rsidR="00582FCD" w:rsidRPr="00582FCD" w:rsidRDefault="00582FCD" w:rsidP="0058364C">
      <w:pPr>
        <w:autoSpaceDE w:val="0"/>
        <w:autoSpaceDN w:val="0"/>
        <w:adjustRightInd w:val="0"/>
        <w:spacing w:line="276" w:lineRule="auto"/>
        <w:rPr>
          <w:rFonts w:ascii="Times New Roman" w:hAnsi="Times New Roman"/>
          <w:sz w:val="24"/>
          <w:szCs w:val="24"/>
        </w:rPr>
      </w:pPr>
    </w:p>
    <w:tbl>
      <w:tblPr>
        <w:tblW w:w="9153" w:type="dxa"/>
        <w:tblInd w:w="56" w:type="dxa"/>
        <w:tblCellMar>
          <w:left w:w="70" w:type="dxa"/>
          <w:right w:w="70" w:type="dxa"/>
        </w:tblCellMar>
        <w:tblLook w:val="04A0" w:firstRow="1" w:lastRow="0" w:firstColumn="1" w:lastColumn="0" w:noHBand="0" w:noVBand="1"/>
      </w:tblPr>
      <w:tblGrid>
        <w:gridCol w:w="1507"/>
        <w:gridCol w:w="3154"/>
        <w:gridCol w:w="879"/>
        <w:gridCol w:w="1411"/>
        <w:gridCol w:w="1313"/>
        <w:gridCol w:w="889"/>
      </w:tblGrid>
      <w:tr w:rsidR="00394FEA" w:rsidRPr="00D433D8" w:rsidTr="00394FEA">
        <w:trPr>
          <w:trHeight w:val="543"/>
        </w:trPr>
        <w:tc>
          <w:tcPr>
            <w:tcW w:w="9153" w:type="dxa"/>
            <w:gridSpan w:val="6"/>
            <w:tcBorders>
              <w:left w:val="nil"/>
              <w:bottom w:val="double" w:sz="4" w:space="0" w:color="auto"/>
              <w:right w:val="nil"/>
            </w:tcBorders>
            <w:shd w:val="clear" w:color="auto" w:fill="92CDDC" w:themeFill="accent5" w:themeFillTint="99"/>
            <w:noWrap/>
            <w:vAlign w:val="bottom"/>
            <w:hideMark/>
          </w:tcPr>
          <w:p w:rsidR="00394FEA" w:rsidRPr="00D433D8" w:rsidRDefault="00D433D8" w:rsidP="00394FEA">
            <w:pPr>
              <w:spacing w:line="240" w:lineRule="auto"/>
              <w:rPr>
                <w:rFonts w:ascii="Times New Roman" w:eastAsia="Times New Roman" w:hAnsi="Times New Roman"/>
                <w:color w:val="000000"/>
                <w:sz w:val="24"/>
                <w:szCs w:val="24"/>
                <w:lang w:eastAsia="fr-FR"/>
              </w:rPr>
            </w:pPr>
            <w:bookmarkStart w:id="103" w:name="_Toc369714591"/>
            <w:bookmarkStart w:id="104" w:name="_Toc369720454"/>
            <w:r w:rsidRPr="00D433D8">
              <w:rPr>
                <w:rFonts w:ascii="Times New Roman" w:hAnsi="Times New Roman"/>
                <w:sz w:val="24"/>
                <w:szCs w:val="24"/>
              </w:rPr>
              <w:t>Tableau 3.</w:t>
            </w:r>
            <w:r w:rsidR="00182C97" w:rsidRPr="00D433D8">
              <w:rPr>
                <w:rFonts w:ascii="Times New Roman" w:hAnsi="Times New Roman"/>
                <w:sz w:val="24"/>
                <w:szCs w:val="24"/>
              </w:rPr>
              <w:fldChar w:fldCharType="begin"/>
            </w:r>
            <w:r w:rsidRPr="00D433D8">
              <w:rPr>
                <w:rFonts w:ascii="Times New Roman" w:hAnsi="Times New Roman"/>
                <w:sz w:val="24"/>
                <w:szCs w:val="24"/>
              </w:rPr>
              <w:instrText xml:space="preserve"> SEQ Tableau_3. \* ARABIC </w:instrText>
            </w:r>
            <w:r w:rsidR="00182C97" w:rsidRPr="00D433D8">
              <w:rPr>
                <w:rFonts w:ascii="Times New Roman" w:hAnsi="Times New Roman"/>
                <w:sz w:val="24"/>
                <w:szCs w:val="24"/>
              </w:rPr>
              <w:fldChar w:fldCharType="separate"/>
            </w:r>
            <w:r w:rsidR="00AB1967">
              <w:rPr>
                <w:rFonts w:ascii="Times New Roman" w:hAnsi="Times New Roman"/>
                <w:noProof/>
                <w:sz w:val="24"/>
                <w:szCs w:val="24"/>
              </w:rPr>
              <w:t>4</w:t>
            </w:r>
            <w:r w:rsidR="00182C97" w:rsidRPr="00D433D8">
              <w:rPr>
                <w:rFonts w:ascii="Times New Roman" w:hAnsi="Times New Roman"/>
                <w:sz w:val="24"/>
                <w:szCs w:val="24"/>
              </w:rPr>
              <w:fldChar w:fldCharType="end"/>
            </w:r>
            <w:r w:rsidR="00394FEA" w:rsidRPr="00D433D8">
              <w:rPr>
                <w:rFonts w:ascii="Times New Roman" w:hAnsi="Times New Roman"/>
                <w:sz w:val="24"/>
                <w:szCs w:val="24"/>
              </w:rPr>
              <w:t>: Proportion des mé</w:t>
            </w:r>
            <w:r w:rsidR="00394FEA" w:rsidRPr="00D433D8">
              <w:rPr>
                <w:rFonts w:ascii="Times New Roman" w:eastAsia="Times New Roman" w:hAnsi="Times New Roman"/>
                <w:color w:val="000000"/>
                <w:sz w:val="24"/>
                <w:szCs w:val="24"/>
                <w:lang w:eastAsia="fr-FR"/>
              </w:rPr>
              <w:t>nages ayant pu se relever de la diminution de leur  revenu après les chocs selon les stratégies de gestion de risque adoptées  (%)</w:t>
            </w:r>
            <w:bookmarkEnd w:id="103"/>
            <w:bookmarkEnd w:id="104"/>
          </w:p>
        </w:tc>
      </w:tr>
      <w:tr w:rsidR="00FF0D57" w:rsidRPr="00FF0D57" w:rsidTr="00394FEA">
        <w:trPr>
          <w:trHeight w:val="543"/>
        </w:trPr>
        <w:tc>
          <w:tcPr>
            <w:tcW w:w="1507" w:type="dxa"/>
            <w:tcBorders>
              <w:top w:val="double" w:sz="4" w:space="0" w:color="auto"/>
              <w:left w:val="nil"/>
              <w:bottom w:val="single" w:sz="4" w:space="0" w:color="auto"/>
              <w:right w:val="nil"/>
            </w:tcBorders>
            <w:shd w:val="clear" w:color="auto" w:fill="DAEEF3" w:themeFill="accent5" w:themeFillTint="33"/>
            <w:noWrap/>
            <w:vAlign w:val="bottom"/>
            <w:hideMark/>
          </w:tcPr>
          <w:p w:rsidR="00FF0D57" w:rsidRPr="00FF0D57" w:rsidRDefault="00FF0D57" w:rsidP="00FF0D57">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 </w:t>
            </w:r>
          </w:p>
        </w:tc>
        <w:tc>
          <w:tcPr>
            <w:tcW w:w="3154" w:type="dxa"/>
            <w:tcBorders>
              <w:top w:val="double" w:sz="4" w:space="0" w:color="auto"/>
              <w:left w:val="nil"/>
              <w:bottom w:val="single" w:sz="4" w:space="0" w:color="auto"/>
              <w:right w:val="nil"/>
            </w:tcBorders>
            <w:shd w:val="clear" w:color="auto" w:fill="DAEEF3" w:themeFill="accent5" w:themeFillTint="33"/>
            <w:noWrap/>
            <w:vAlign w:val="bottom"/>
            <w:hideMark/>
          </w:tcPr>
          <w:p w:rsidR="00FF0D57" w:rsidRPr="00FF0D57" w:rsidRDefault="00FF0D57" w:rsidP="00FF0D57">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 </w:t>
            </w:r>
          </w:p>
        </w:tc>
        <w:tc>
          <w:tcPr>
            <w:tcW w:w="879" w:type="dxa"/>
            <w:tcBorders>
              <w:top w:val="double" w:sz="4" w:space="0" w:color="auto"/>
              <w:left w:val="nil"/>
              <w:bottom w:val="single" w:sz="4" w:space="0" w:color="auto"/>
              <w:right w:val="nil"/>
            </w:tcBorders>
            <w:shd w:val="clear" w:color="auto" w:fill="DAEEF3" w:themeFill="accent5" w:themeFillTint="33"/>
            <w:vAlign w:val="bottom"/>
            <w:hideMark/>
          </w:tcPr>
          <w:p w:rsidR="00FF0D57" w:rsidRPr="00FF0D57" w:rsidRDefault="00FF0D57" w:rsidP="00FF0D57">
            <w:pPr>
              <w:spacing w:line="240" w:lineRule="auto"/>
              <w:jc w:val="center"/>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 xml:space="preserve">Pas du tout (1) </w:t>
            </w:r>
          </w:p>
        </w:tc>
        <w:tc>
          <w:tcPr>
            <w:tcW w:w="1411" w:type="dxa"/>
            <w:tcBorders>
              <w:top w:val="double" w:sz="4" w:space="0" w:color="auto"/>
              <w:left w:val="nil"/>
              <w:bottom w:val="single" w:sz="4" w:space="0" w:color="auto"/>
              <w:right w:val="nil"/>
            </w:tcBorders>
            <w:shd w:val="clear" w:color="auto" w:fill="DAEEF3" w:themeFill="accent5" w:themeFillTint="33"/>
            <w:vAlign w:val="bottom"/>
            <w:hideMark/>
          </w:tcPr>
          <w:p w:rsidR="00FF0D57" w:rsidRPr="00FF0D57" w:rsidRDefault="00FF0D57" w:rsidP="00FF0D57">
            <w:pPr>
              <w:spacing w:line="240" w:lineRule="auto"/>
              <w:jc w:val="center"/>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Partiellement (2)</w:t>
            </w:r>
          </w:p>
        </w:tc>
        <w:tc>
          <w:tcPr>
            <w:tcW w:w="1313" w:type="dxa"/>
            <w:tcBorders>
              <w:top w:val="double" w:sz="4" w:space="0" w:color="auto"/>
              <w:left w:val="nil"/>
              <w:bottom w:val="single" w:sz="4" w:space="0" w:color="auto"/>
              <w:right w:val="nil"/>
            </w:tcBorders>
            <w:shd w:val="clear" w:color="auto" w:fill="DAEEF3" w:themeFill="accent5" w:themeFillTint="33"/>
            <w:vAlign w:val="bottom"/>
            <w:hideMark/>
          </w:tcPr>
          <w:p w:rsidR="00FF0D57" w:rsidRPr="00FF0D57" w:rsidRDefault="00FF0D57" w:rsidP="00FF0D57">
            <w:pPr>
              <w:spacing w:line="240" w:lineRule="auto"/>
              <w:jc w:val="center"/>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Entièrement (3)</w:t>
            </w:r>
          </w:p>
        </w:tc>
        <w:tc>
          <w:tcPr>
            <w:tcW w:w="889" w:type="dxa"/>
            <w:tcBorders>
              <w:top w:val="double" w:sz="4" w:space="0" w:color="auto"/>
              <w:left w:val="nil"/>
              <w:bottom w:val="single" w:sz="4" w:space="0" w:color="auto"/>
              <w:right w:val="nil"/>
            </w:tcBorders>
            <w:shd w:val="clear" w:color="auto" w:fill="DAEEF3" w:themeFill="accent5" w:themeFillTint="33"/>
            <w:vAlign w:val="bottom"/>
            <w:hideMark/>
          </w:tcPr>
          <w:p w:rsidR="00FF0D57" w:rsidRPr="00FF0D57" w:rsidRDefault="00FF0D57" w:rsidP="00FF0D57">
            <w:pPr>
              <w:spacing w:line="240" w:lineRule="auto"/>
              <w:jc w:val="center"/>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Total (2)+(3)</w:t>
            </w:r>
          </w:p>
        </w:tc>
      </w:tr>
      <w:tr w:rsidR="00FF0D57" w:rsidRPr="00FF0D57" w:rsidTr="00F55B57">
        <w:trPr>
          <w:trHeight w:val="340"/>
        </w:trPr>
        <w:tc>
          <w:tcPr>
            <w:tcW w:w="1507" w:type="dxa"/>
            <w:tcBorders>
              <w:top w:val="single" w:sz="4" w:space="0" w:color="auto"/>
              <w:left w:val="nil"/>
              <w:bottom w:val="nil"/>
              <w:right w:val="nil"/>
            </w:tcBorders>
            <w:shd w:val="clear" w:color="auto" w:fill="DAEEF3" w:themeFill="accent5" w:themeFillTint="33"/>
            <w:noWrap/>
            <w:hideMark/>
          </w:tcPr>
          <w:p w:rsidR="00FF0D57" w:rsidRPr="00FF0D57" w:rsidRDefault="00FF0D57" w:rsidP="00394FEA">
            <w:pPr>
              <w:spacing w:line="240" w:lineRule="auto"/>
              <w:jc w:val="left"/>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 xml:space="preserve">Chocs sociaux </w:t>
            </w:r>
          </w:p>
        </w:tc>
        <w:tc>
          <w:tcPr>
            <w:tcW w:w="3154" w:type="dxa"/>
            <w:tcBorders>
              <w:top w:val="single" w:sz="4" w:space="0" w:color="auto"/>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 xml:space="preserve">consommer des aliments moins </w:t>
            </w:r>
            <w:r w:rsidR="006E3DBE">
              <w:rPr>
                <w:rFonts w:ascii="Times New Roman" w:eastAsia="Times New Roman" w:hAnsi="Times New Roman"/>
                <w:color w:val="000000"/>
                <w:lang w:eastAsia="fr-FR"/>
              </w:rPr>
              <w:t>coûteux</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44,95</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48,04</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7,01</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55,05</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dépenser les économies</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26,08</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57,76</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16,16</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73,92</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emprunter de l'argent</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31,42</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57,77</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10,81</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68,58</w:t>
            </w:r>
          </w:p>
        </w:tc>
      </w:tr>
      <w:tr w:rsidR="00FF0D57" w:rsidRPr="00FF0D57" w:rsidTr="00F55B57">
        <w:trPr>
          <w:trHeight w:val="340"/>
        </w:trPr>
        <w:tc>
          <w:tcPr>
            <w:tcW w:w="1507" w:type="dxa"/>
            <w:tcBorders>
              <w:top w:val="nil"/>
              <w:left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p>
        </w:tc>
        <w:tc>
          <w:tcPr>
            <w:tcW w:w="3154" w:type="dxa"/>
            <w:tcBorders>
              <w:top w:val="nil"/>
              <w:left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acheter de la nourriture à crédit</w:t>
            </w:r>
          </w:p>
        </w:tc>
        <w:tc>
          <w:tcPr>
            <w:tcW w:w="879"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38,13</w:t>
            </w:r>
          </w:p>
        </w:tc>
        <w:tc>
          <w:tcPr>
            <w:tcW w:w="1411"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53,24</w:t>
            </w:r>
          </w:p>
        </w:tc>
        <w:tc>
          <w:tcPr>
            <w:tcW w:w="1313"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8,63</w:t>
            </w:r>
          </w:p>
        </w:tc>
        <w:tc>
          <w:tcPr>
            <w:tcW w:w="889"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61,87</w:t>
            </w:r>
          </w:p>
        </w:tc>
      </w:tr>
      <w:tr w:rsidR="00FF0D57" w:rsidRPr="00394FEA" w:rsidTr="00F55B57">
        <w:trPr>
          <w:trHeight w:val="225"/>
        </w:trPr>
        <w:tc>
          <w:tcPr>
            <w:tcW w:w="1507"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b/>
                <w:bCs/>
                <w:color w:val="000000"/>
                <w:sz w:val="10"/>
                <w:szCs w:val="1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color w:val="000000"/>
                <w:sz w:val="10"/>
                <w:szCs w:val="10"/>
                <w:lang w:eastAsia="fr-FR"/>
              </w:rPr>
            </w:pPr>
          </w:p>
        </w:tc>
        <w:tc>
          <w:tcPr>
            <w:tcW w:w="879"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color w:val="000000"/>
                <w:sz w:val="10"/>
                <w:szCs w:val="10"/>
                <w:lang w:eastAsia="fr-FR"/>
              </w:rPr>
            </w:pPr>
          </w:p>
        </w:tc>
        <w:tc>
          <w:tcPr>
            <w:tcW w:w="1411"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color w:val="000000"/>
                <w:sz w:val="10"/>
                <w:szCs w:val="10"/>
                <w:lang w:eastAsia="fr-FR"/>
              </w:rPr>
            </w:pPr>
          </w:p>
        </w:tc>
        <w:tc>
          <w:tcPr>
            <w:tcW w:w="1313"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color w:val="000000"/>
                <w:sz w:val="10"/>
                <w:szCs w:val="10"/>
                <w:lang w:eastAsia="fr-FR"/>
              </w:rPr>
            </w:pPr>
          </w:p>
        </w:tc>
        <w:tc>
          <w:tcPr>
            <w:tcW w:w="889"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color w:val="000000"/>
                <w:sz w:val="10"/>
                <w:szCs w:val="10"/>
                <w:lang w:eastAsia="fr-FR"/>
              </w:rPr>
            </w:pP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Chocs économiques</w:t>
            </w: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 xml:space="preserve">consommer des aliments moins </w:t>
            </w:r>
            <w:r w:rsidR="006E3DBE">
              <w:rPr>
                <w:rFonts w:ascii="Times New Roman" w:eastAsia="Times New Roman" w:hAnsi="Times New Roman"/>
                <w:color w:val="000000"/>
                <w:lang w:eastAsia="fr-FR"/>
              </w:rPr>
              <w:t>coûteux</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28,89</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67,44</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3,67</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71,11</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dépenser les économie</w:t>
            </w:r>
            <w:r>
              <w:rPr>
                <w:rFonts w:ascii="Times New Roman" w:eastAsia="Times New Roman" w:hAnsi="Times New Roman"/>
                <w:color w:val="000000"/>
                <w:lang w:eastAsia="fr-FR"/>
              </w:rPr>
              <w:t>s</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24,97</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67,20</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7,83</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75,03</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CE79B0" w:rsidRDefault="00CE79B0" w:rsidP="00394FEA">
            <w:pPr>
              <w:pStyle w:val="ColorfulList-Accent11"/>
              <w:rPr>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acheter de la nourriture à crédit</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43,02</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54,23</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2,75</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56,98</w:t>
            </w:r>
          </w:p>
        </w:tc>
      </w:tr>
      <w:tr w:rsidR="00FF0D57" w:rsidRPr="00FF0D57" w:rsidTr="00F55B57">
        <w:trPr>
          <w:trHeight w:val="340"/>
        </w:trPr>
        <w:tc>
          <w:tcPr>
            <w:tcW w:w="1507" w:type="dxa"/>
            <w:tcBorders>
              <w:top w:val="nil"/>
              <w:left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p>
        </w:tc>
        <w:tc>
          <w:tcPr>
            <w:tcW w:w="3154" w:type="dxa"/>
            <w:tcBorders>
              <w:top w:val="nil"/>
              <w:left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réduire la quantité d'aliments consommés</w:t>
            </w:r>
          </w:p>
        </w:tc>
        <w:tc>
          <w:tcPr>
            <w:tcW w:w="879"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23,71</w:t>
            </w:r>
          </w:p>
        </w:tc>
        <w:tc>
          <w:tcPr>
            <w:tcW w:w="1411"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67,14</w:t>
            </w:r>
          </w:p>
        </w:tc>
        <w:tc>
          <w:tcPr>
            <w:tcW w:w="1313"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9,14</w:t>
            </w:r>
          </w:p>
        </w:tc>
        <w:tc>
          <w:tcPr>
            <w:tcW w:w="889" w:type="dxa"/>
            <w:tcBorders>
              <w:top w:val="nil"/>
              <w:left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76,29</w:t>
            </w:r>
          </w:p>
        </w:tc>
      </w:tr>
      <w:tr w:rsidR="00FF0D57" w:rsidRPr="00394FEA" w:rsidTr="004E39D9">
        <w:trPr>
          <w:trHeight w:val="227"/>
        </w:trPr>
        <w:tc>
          <w:tcPr>
            <w:tcW w:w="1507"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b/>
                <w:bCs/>
                <w:color w:val="000000"/>
                <w:sz w:val="10"/>
                <w:szCs w:val="1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394FEA" w:rsidRDefault="00FF0D57" w:rsidP="00394FEA">
            <w:pPr>
              <w:spacing w:line="240" w:lineRule="auto"/>
              <w:jc w:val="left"/>
              <w:rPr>
                <w:rFonts w:ascii="Times New Roman" w:eastAsia="Times New Roman" w:hAnsi="Times New Roman"/>
                <w:color w:val="000000"/>
                <w:sz w:val="10"/>
                <w:szCs w:val="10"/>
                <w:lang w:eastAsia="fr-FR"/>
              </w:rPr>
            </w:pPr>
          </w:p>
        </w:tc>
        <w:tc>
          <w:tcPr>
            <w:tcW w:w="879" w:type="dxa"/>
            <w:tcBorders>
              <w:top w:val="nil"/>
              <w:left w:val="nil"/>
              <w:bottom w:val="nil"/>
              <w:right w:val="nil"/>
            </w:tcBorders>
            <w:shd w:val="clear" w:color="auto" w:fill="DAEEF3" w:themeFill="accent5" w:themeFillTint="33"/>
            <w:noWrap/>
            <w:vAlign w:val="center"/>
            <w:hideMark/>
          </w:tcPr>
          <w:p w:rsidR="00CE79B0" w:rsidRPr="00394FEA" w:rsidRDefault="00CE79B0" w:rsidP="00394FEA">
            <w:pPr>
              <w:spacing w:line="240" w:lineRule="auto"/>
              <w:jc w:val="left"/>
              <w:rPr>
                <w:rFonts w:ascii="Times New Roman" w:eastAsia="Times New Roman" w:hAnsi="Times New Roman"/>
                <w:color w:val="000000"/>
                <w:sz w:val="10"/>
                <w:szCs w:val="10"/>
                <w:lang w:eastAsia="fr-FR"/>
              </w:rPr>
            </w:pPr>
          </w:p>
        </w:tc>
        <w:tc>
          <w:tcPr>
            <w:tcW w:w="1411" w:type="dxa"/>
            <w:tcBorders>
              <w:top w:val="nil"/>
              <w:left w:val="nil"/>
              <w:bottom w:val="nil"/>
              <w:right w:val="nil"/>
            </w:tcBorders>
            <w:shd w:val="clear" w:color="auto" w:fill="DAEEF3" w:themeFill="accent5" w:themeFillTint="33"/>
            <w:noWrap/>
            <w:vAlign w:val="center"/>
            <w:hideMark/>
          </w:tcPr>
          <w:p w:rsidR="00CE79B0" w:rsidRPr="00394FEA" w:rsidRDefault="00CE79B0" w:rsidP="00394FEA">
            <w:pPr>
              <w:spacing w:line="240" w:lineRule="auto"/>
              <w:jc w:val="left"/>
              <w:rPr>
                <w:rFonts w:ascii="Times New Roman" w:eastAsia="Times New Roman" w:hAnsi="Times New Roman"/>
                <w:color w:val="000000"/>
                <w:sz w:val="10"/>
                <w:szCs w:val="10"/>
                <w:lang w:eastAsia="fr-FR"/>
              </w:rPr>
            </w:pPr>
          </w:p>
        </w:tc>
        <w:tc>
          <w:tcPr>
            <w:tcW w:w="1313" w:type="dxa"/>
            <w:tcBorders>
              <w:top w:val="nil"/>
              <w:left w:val="nil"/>
              <w:bottom w:val="nil"/>
              <w:right w:val="nil"/>
            </w:tcBorders>
            <w:shd w:val="clear" w:color="auto" w:fill="DAEEF3" w:themeFill="accent5" w:themeFillTint="33"/>
            <w:noWrap/>
            <w:vAlign w:val="center"/>
            <w:hideMark/>
          </w:tcPr>
          <w:p w:rsidR="00CE79B0" w:rsidRPr="00394FEA" w:rsidRDefault="00CE79B0" w:rsidP="00394FEA">
            <w:pPr>
              <w:spacing w:line="240" w:lineRule="auto"/>
              <w:jc w:val="left"/>
              <w:rPr>
                <w:rFonts w:ascii="Times New Roman" w:eastAsia="Times New Roman" w:hAnsi="Times New Roman"/>
                <w:color w:val="000000"/>
                <w:sz w:val="10"/>
                <w:szCs w:val="10"/>
                <w:lang w:eastAsia="fr-FR"/>
              </w:rPr>
            </w:pPr>
          </w:p>
        </w:tc>
        <w:tc>
          <w:tcPr>
            <w:tcW w:w="889" w:type="dxa"/>
            <w:tcBorders>
              <w:top w:val="nil"/>
              <w:left w:val="nil"/>
              <w:bottom w:val="nil"/>
              <w:right w:val="nil"/>
            </w:tcBorders>
            <w:shd w:val="clear" w:color="auto" w:fill="DAEEF3" w:themeFill="accent5" w:themeFillTint="33"/>
            <w:noWrap/>
            <w:vAlign w:val="center"/>
            <w:hideMark/>
          </w:tcPr>
          <w:p w:rsidR="00CE79B0" w:rsidRPr="00394FEA" w:rsidRDefault="00CE79B0" w:rsidP="00394FEA">
            <w:pPr>
              <w:spacing w:line="240" w:lineRule="auto"/>
              <w:jc w:val="left"/>
              <w:rPr>
                <w:rFonts w:ascii="Times New Roman" w:eastAsia="Times New Roman" w:hAnsi="Times New Roman"/>
                <w:color w:val="000000"/>
                <w:sz w:val="10"/>
                <w:szCs w:val="10"/>
                <w:lang w:eastAsia="fr-FR"/>
              </w:rPr>
            </w:pP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b/>
                <w:bCs/>
                <w:color w:val="000000"/>
                <w:lang w:eastAsia="fr-FR"/>
              </w:rPr>
            </w:pPr>
            <w:r w:rsidRPr="00FF0D57">
              <w:rPr>
                <w:rFonts w:ascii="Times New Roman" w:eastAsia="Times New Roman" w:hAnsi="Times New Roman"/>
                <w:b/>
                <w:bCs/>
                <w:color w:val="000000"/>
                <w:lang w:eastAsia="fr-FR"/>
              </w:rPr>
              <w:t>Chocs biophysiques</w:t>
            </w: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 xml:space="preserve">consommer des aliments moins </w:t>
            </w:r>
            <w:r w:rsidR="006E3DBE">
              <w:rPr>
                <w:rFonts w:ascii="Times New Roman" w:eastAsia="Times New Roman" w:hAnsi="Times New Roman"/>
                <w:color w:val="000000"/>
                <w:lang w:eastAsia="fr-FR"/>
              </w:rPr>
              <w:t>coûteux</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32,70</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62,35</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4,95</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67,30</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dépenser les économies</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23,84</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64,73</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11,43</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76,16</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acheter de la nourriture à crédit</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24,86</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70,06</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5,08</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75,14</w:t>
            </w:r>
          </w:p>
        </w:tc>
      </w:tr>
      <w:tr w:rsidR="00FF0D57" w:rsidRPr="00FF0D57" w:rsidTr="00F55B57">
        <w:trPr>
          <w:trHeight w:val="340"/>
        </w:trPr>
        <w:tc>
          <w:tcPr>
            <w:tcW w:w="1507"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p>
        </w:tc>
        <w:tc>
          <w:tcPr>
            <w:tcW w:w="3154" w:type="dxa"/>
            <w:tcBorders>
              <w:top w:val="nil"/>
              <w:left w:val="nil"/>
              <w:bottom w:val="nil"/>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réduire la quantité d'aliments consommés</w:t>
            </w:r>
          </w:p>
        </w:tc>
        <w:tc>
          <w:tcPr>
            <w:tcW w:w="87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34,91</w:t>
            </w:r>
          </w:p>
        </w:tc>
        <w:tc>
          <w:tcPr>
            <w:tcW w:w="1411"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58,62</w:t>
            </w:r>
          </w:p>
        </w:tc>
        <w:tc>
          <w:tcPr>
            <w:tcW w:w="1313"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6,47</w:t>
            </w:r>
          </w:p>
        </w:tc>
        <w:tc>
          <w:tcPr>
            <w:tcW w:w="889" w:type="dxa"/>
            <w:tcBorders>
              <w:top w:val="nil"/>
              <w:left w:val="nil"/>
              <w:bottom w:val="nil"/>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65,09</w:t>
            </w:r>
          </w:p>
        </w:tc>
      </w:tr>
      <w:tr w:rsidR="00FF0D57" w:rsidRPr="00FF0D57" w:rsidTr="00F55B57">
        <w:trPr>
          <w:trHeight w:val="340"/>
        </w:trPr>
        <w:tc>
          <w:tcPr>
            <w:tcW w:w="1507" w:type="dxa"/>
            <w:tcBorders>
              <w:top w:val="nil"/>
              <w:left w:val="nil"/>
              <w:bottom w:val="double" w:sz="4" w:space="0" w:color="auto"/>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 </w:t>
            </w:r>
          </w:p>
        </w:tc>
        <w:tc>
          <w:tcPr>
            <w:tcW w:w="3154" w:type="dxa"/>
            <w:tcBorders>
              <w:top w:val="nil"/>
              <w:left w:val="nil"/>
              <w:bottom w:val="double" w:sz="4" w:space="0" w:color="auto"/>
              <w:right w:val="nil"/>
            </w:tcBorders>
            <w:shd w:val="clear" w:color="auto" w:fill="DAEEF3" w:themeFill="accent5" w:themeFillTint="33"/>
            <w:noWrap/>
            <w:vAlign w:val="center"/>
            <w:hideMark/>
          </w:tcPr>
          <w:p w:rsidR="00FF0D57" w:rsidRPr="00FF0D57" w:rsidRDefault="00FF0D57" w:rsidP="00394FEA">
            <w:pPr>
              <w:spacing w:line="240" w:lineRule="auto"/>
              <w:jc w:val="left"/>
              <w:rPr>
                <w:rFonts w:ascii="Times New Roman" w:eastAsia="Times New Roman" w:hAnsi="Times New Roman"/>
                <w:color w:val="000000"/>
                <w:lang w:eastAsia="fr-FR"/>
              </w:rPr>
            </w:pPr>
            <w:r w:rsidRPr="00FF0D57">
              <w:rPr>
                <w:rFonts w:ascii="Times New Roman" w:eastAsia="Times New Roman" w:hAnsi="Times New Roman"/>
                <w:color w:val="000000"/>
                <w:lang w:eastAsia="fr-FR"/>
              </w:rPr>
              <w:t>consommer les semence</w:t>
            </w:r>
            <w:r>
              <w:rPr>
                <w:rFonts w:ascii="Times New Roman" w:eastAsia="Times New Roman" w:hAnsi="Times New Roman"/>
                <w:color w:val="000000"/>
                <w:lang w:eastAsia="fr-FR"/>
              </w:rPr>
              <w:t>s</w:t>
            </w:r>
          </w:p>
        </w:tc>
        <w:tc>
          <w:tcPr>
            <w:tcW w:w="879" w:type="dxa"/>
            <w:tcBorders>
              <w:top w:val="nil"/>
              <w:left w:val="nil"/>
              <w:bottom w:val="double" w:sz="4" w:space="0" w:color="auto"/>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27,03</w:t>
            </w:r>
          </w:p>
        </w:tc>
        <w:tc>
          <w:tcPr>
            <w:tcW w:w="1411" w:type="dxa"/>
            <w:tcBorders>
              <w:top w:val="nil"/>
              <w:left w:val="nil"/>
              <w:bottom w:val="double" w:sz="4" w:space="0" w:color="auto"/>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65,95</w:t>
            </w:r>
          </w:p>
        </w:tc>
        <w:tc>
          <w:tcPr>
            <w:tcW w:w="1313" w:type="dxa"/>
            <w:tcBorders>
              <w:top w:val="nil"/>
              <w:left w:val="nil"/>
              <w:bottom w:val="double" w:sz="4" w:space="0" w:color="auto"/>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7,03</w:t>
            </w:r>
          </w:p>
        </w:tc>
        <w:tc>
          <w:tcPr>
            <w:tcW w:w="889" w:type="dxa"/>
            <w:tcBorders>
              <w:top w:val="nil"/>
              <w:left w:val="nil"/>
              <w:bottom w:val="double" w:sz="4" w:space="0" w:color="auto"/>
              <w:right w:val="nil"/>
            </w:tcBorders>
            <w:shd w:val="clear" w:color="auto" w:fill="DAEEF3" w:themeFill="accent5" w:themeFillTint="33"/>
            <w:noWrap/>
            <w:vAlign w:val="bottom"/>
            <w:hideMark/>
          </w:tcPr>
          <w:p w:rsidR="00CE79B0" w:rsidRDefault="00FF0D57">
            <w:pPr>
              <w:spacing w:line="240" w:lineRule="auto"/>
              <w:jc w:val="center"/>
              <w:rPr>
                <w:rFonts w:ascii="Times New Roman" w:eastAsia="Times New Roman" w:hAnsi="Times New Roman"/>
                <w:color w:val="000000"/>
                <w:lang w:eastAsia="fr-FR"/>
              </w:rPr>
            </w:pPr>
            <w:r w:rsidRPr="00FF0D57">
              <w:rPr>
                <w:rFonts w:ascii="Times New Roman" w:eastAsia="Times New Roman" w:hAnsi="Times New Roman"/>
                <w:color w:val="000000"/>
                <w:lang w:eastAsia="fr-FR"/>
              </w:rPr>
              <w:t>72,97</w:t>
            </w:r>
          </w:p>
        </w:tc>
      </w:tr>
      <w:tr w:rsidR="00394FEA" w:rsidRPr="00FF0D57" w:rsidTr="00394FEA">
        <w:trPr>
          <w:trHeight w:val="278"/>
        </w:trPr>
        <w:tc>
          <w:tcPr>
            <w:tcW w:w="9153" w:type="dxa"/>
            <w:gridSpan w:val="6"/>
            <w:tcBorders>
              <w:top w:val="double" w:sz="4" w:space="0" w:color="auto"/>
              <w:left w:val="nil"/>
              <w:right w:val="nil"/>
            </w:tcBorders>
            <w:shd w:val="clear" w:color="auto" w:fill="DAEEF3" w:themeFill="accent5" w:themeFillTint="33"/>
            <w:noWrap/>
            <w:vAlign w:val="bottom"/>
            <w:hideMark/>
          </w:tcPr>
          <w:p w:rsidR="00394FEA" w:rsidRPr="00FF0D57" w:rsidRDefault="00394FEA" w:rsidP="00394FEA">
            <w:pPr>
              <w:spacing w:line="240" w:lineRule="auto"/>
              <w:rPr>
                <w:rFonts w:ascii="Times New Roman" w:eastAsia="Times New Roman" w:hAnsi="Times New Roman"/>
                <w:color w:val="000000"/>
                <w:lang w:eastAsia="fr-FR"/>
              </w:rPr>
            </w:pPr>
            <w:r>
              <w:rPr>
                <w:rFonts w:ascii="Times New Roman" w:eastAsia="Times New Roman" w:hAnsi="Times New Roman"/>
                <w:color w:val="000000"/>
                <w:lang w:eastAsia="fr-FR"/>
              </w:rPr>
              <w:t>Source : INSAE, 2013</w:t>
            </w:r>
          </w:p>
        </w:tc>
      </w:tr>
    </w:tbl>
    <w:p w:rsidR="00CE79B0" w:rsidRDefault="00CE79B0">
      <w:pPr>
        <w:spacing w:line="240" w:lineRule="auto"/>
        <w:rPr>
          <w:rFonts w:ascii="Times New Roman" w:hAnsi="Times New Roman"/>
        </w:rPr>
      </w:pPr>
    </w:p>
    <w:p w:rsidR="00CE79B0" w:rsidRDefault="00CE79B0">
      <w:pPr>
        <w:rPr>
          <w:rFonts w:ascii="Times New Roman" w:hAnsi="Times New Roman"/>
        </w:rPr>
      </w:pPr>
    </w:p>
    <w:p w:rsidR="00F25038" w:rsidRDefault="00F25038">
      <w:pPr>
        <w:rPr>
          <w:rFonts w:ascii="Times New Roman" w:hAnsi="Times New Roman"/>
        </w:rPr>
      </w:pPr>
    </w:p>
    <w:p w:rsidR="00F25038" w:rsidRDefault="00F25038">
      <w:pPr>
        <w:rPr>
          <w:rFonts w:ascii="Times New Roman" w:hAnsi="Times New Roman"/>
        </w:rPr>
      </w:pPr>
    </w:p>
    <w:p w:rsidR="006E1600" w:rsidRDefault="006E1600">
      <w:pPr>
        <w:rPr>
          <w:rFonts w:ascii="Times New Roman" w:hAnsi="Times New Roman"/>
        </w:rPr>
      </w:pPr>
    </w:p>
    <w:p w:rsidR="006E1600" w:rsidRDefault="006E1600">
      <w:pPr>
        <w:rPr>
          <w:rFonts w:ascii="Times New Roman" w:hAnsi="Times New Roman"/>
        </w:rPr>
      </w:pPr>
    </w:p>
    <w:p w:rsidR="00F25038" w:rsidRDefault="00F25038">
      <w:pPr>
        <w:rPr>
          <w:rFonts w:ascii="Times New Roman" w:hAnsi="Times New Roman"/>
        </w:rPr>
      </w:pPr>
    </w:p>
    <w:p w:rsidR="00F25038" w:rsidRDefault="00F25038">
      <w:pPr>
        <w:rPr>
          <w:rFonts w:ascii="Times New Roman" w:hAnsi="Times New Roman"/>
        </w:rPr>
      </w:pPr>
    </w:p>
    <w:p w:rsidR="00ED3BCD" w:rsidRPr="00BE67B7" w:rsidRDefault="000A79B7" w:rsidP="00F55B57">
      <w:pPr>
        <w:pStyle w:val="Titre2"/>
        <w:spacing w:before="120" w:after="0" w:line="240" w:lineRule="auto"/>
        <w:rPr>
          <w:rFonts w:ascii="Times New Roman" w:hAnsi="Times New Roman"/>
          <w:i w:val="0"/>
          <w:color w:val="31849B" w:themeColor="accent5" w:themeShade="BF"/>
        </w:rPr>
      </w:pPr>
      <w:bookmarkStart w:id="105" w:name="_Toc382322934"/>
      <w:r w:rsidRPr="00BE67B7">
        <w:rPr>
          <w:rFonts w:ascii="Times New Roman" w:hAnsi="Times New Roman"/>
          <w:i w:val="0"/>
          <w:color w:val="31849B" w:themeColor="accent5" w:themeShade="BF"/>
        </w:rPr>
        <w:t>3</w:t>
      </w:r>
      <w:r w:rsidR="00DA738D" w:rsidRPr="00BE67B7">
        <w:rPr>
          <w:rFonts w:ascii="Times New Roman" w:hAnsi="Times New Roman"/>
          <w:i w:val="0"/>
          <w:color w:val="31849B" w:themeColor="accent5" w:themeShade="BF"/>
        </w:rPr>
        <w:t>.6</w:t>
      </w:r>
      <w:r w:rsidR="00390A78">
        <w:rPr>
          <w:rFonts w:ascii="Times New Roman" w:hAnsi="Times New Roman"/>
          <w:i w:val="0"/>
          <w:color w:val="31849B" w:themeColor="accent5" w:themeShade="BF"/>
        </w:rPr>
        <w:t xml:space="preserve"> </w:t>
      </w:r>
      <w:r w:rsidR="003D7288">
        <w:rPr>
          <w:rFonts w:ascii="Times New Roman" w:hAnsi="Times New Roman"/>
          <w:i w:val="0"/>
          <w:color w:val="31849B" w:themeColor="accent5" w:themeShade="BF"/>
        </w:rPr>
        <w:t xml:space="preserve"> </w:t>
      </w:r>
      <w:r w:rsidR="00ED3BCD" w:rsidRPr="00BE67B7">
        <w:rPr>
          <w:rFonts w:ascii="Times New Roman" w:hAnsi="Times New Roman"/>
          <w:i w:val="0"/>
          <w:color w:val="31849B" w:themeColor="accent5" w:themeShade="BF"/>
        </w:rPr>
        <w:t>Conclusion</w:t>
      </w:r>
      <w:bookmarkEnd w:id="105"/>
    </w:p>
    <w:p w:rsidR="00ED3BCD" w:rsidRPr="004E39D9" w:rsidRDefault="00ED3BCD" w:rsidP="00ED3BCD">
      <w:pPr>
        <w:autoSpaceDE w:val="0"/>
        <w:autoSpaceDN w:val="0"/>
        <w:adjustRightInd w:val="0"/>
        <w:spacing w:line="276" w:lineRule="auto"/>
        <w:rPr>
          <w:rFonts w:ascii="Times New Roman" w:hAnsi="Times New Roman"/>
          <w:sz w:val="16"/>
          <w:szCs w:val="16"/>
        </w:rPr>
      </w:pPr>
    </w:p>
    <w:p w:rsidR="004E39D9" w:rsidRPr="004E39D9" w:rsidRDefault="004E39D9" w:rsidP="00ED3BCD">
      <w:pPr>
        <w:autoSpaceDE w:val="0"/>
        <w:autoSpaceDN w:val="0"/>
        <w:adjustRightInd w:val="0"/>
        <w:spacing w:line="276" w:lineRule="auto"/>
        <w:rPr>
          <w:rFonts w:ascii="Times New Roman" w:hAnsi="Times New Roman"/>
          <w:sz w:val="16"/>
          <w:szCs w:val="16"/>
        </w:rPr>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Ce chapitre</w:t>
      </w:r>
      <w:r w:rsidRPr="00E364EC">
        <w:rPr>
          <w:rFonts w:ascii="Times New Roman" w:hAnsi="Times New Roman"/>
          <w:sz w:val="24"/>
          <w:szCs w:val="24"/>
        </w:rPr>
        <w:t xml:space="preserve"> présente </w:t>
      </w:r>
      <w:r>
        <w:rPr>
          <w:rFonts w:ascii="Times New Roman" w:hAnsi="Times New Roman"/>
          <w:sz w:val="24"/>
          <w:szCs w:val="24"/>
        </w:rPr>
        <w:t>la prévalence des principaux chocs</w:t>
      </w:r>
      <w:r w:rsidRPr="00E364EC">
        <w:rPr>
          <w:rFonts w:ascii="Times New Roman" w:hAnsi="Times New Roman"/>
          <w:sz w:val="24"/>
          <w:szCs w:val="24"/>
        </w:rPr>
        <w:t xml:space="preserve"> subis</w:t>
      </w:r>
      <w:r>
        <w:rPr>
          <w:rFonts w:ascii="Times New Roman" w:hAnsi="Times New Roman"/>
          <w:sz w:val="24"/>
          <w:szCs w:val="24"/>
        </w:rPr>
        <w:t xml:space="preserve"> et les stratégies d’adaptation des ménages, en particulier selon la mobilité dans les états de bien-être. </w:t>
      </w:r>
    </w:p>
    <w:p w:rsidR="00ED3BCD" w:rsidRPr="004E39D9" w:rsidRDefault="00ED3BCD" w:rsidP="00ED3BCD">
      <w:pPr>
        <w:spacing w:line="276" w:lineRule="auto"/>
        <w:rPr>
          <w:sz w:val="24"/>
          <w:szCs w:val="24"/>
        </w:rPr>
      </w:pPr>
    </w:p>
    <w:p w:rsidR="00ED3BCD" w:rsidRDefault="00ED3BCD" w:rsidP="00ED3BCD">
      <w:pPr>
        <w:spacing w:line="276" w:lineRule="auto"/>
        <w:rPr>
          <w:rFonts w:ascii="Times New Roman" w:hAnsi="Times New Roman"/>
          <w:sz w:val="24"/>
          <w:szCs w:val="24"/>
        </w:rPr>
      </w:pPr>
      <w:r w:rsidRPr="00A24830">
        <w:rPr>
          <w:rFonts w:ascii="Times New Roman" w:hAnsi="Times New Roman"/>
          <w:sz w:val="24"/>
          <w:szCs w:val="24"/>
        </w:rPr>
        <w:t>Au plan national en 20</w:t>
      </w:r>
      <w:r w:rsidR="0058364C">
        <w:rPr>
          <w:rFonts w:ascii="Times New Roman" w:hAnsi="Times New Roman"/>
          <w:sz w:val="24"/>
          <w:szCs w:val="24"/>
        </w:rPr>
        <w:t>09</w:t>
      </w:r>
      <w:r w:rsidRPr="00A24830">
        <w:rPr>
          <w:rFonts w:ascii="Times New Roman" w:hAnsi="Times New Roman"/>
          <w:sz w:val="24"/>
          <w:szCs w:val="24"/>
        </w:rPr>
        <w:t xml:space="preserve">, 61,8% des ménages ont subi des chocs, tous types confondus. </w:t>
      </w:r>
      <w:r>
        <w:rPr>
          <w:rFonts w:ascii="Times New Roman" w:hAnsi="Times New Roman"/>
          <w:sz w:val="24"/>
          <w:szCs w:val="24"/>
        </w:rPr>
        <w:t>De façon spécifique, on retrouve par ordre d’importance, les</w:t>
      </w:r>
      <w:r w:rsidRPr="00A24830">
        <w:rPr>
          <w:rFonts w:ascii="Times New Roman" w:hAnsi="Times New Roman"/>
          <w:color w:val="231F20"/>
          <w:sz w:val="24"/>
          <w:szCs w:val="24"/>
        </w:rPr>
        <w:t xml:space="preserve"> chocs économiques </w:t>
      </w:r>
      <w:r>
        <w:rPr>
          <w:rFonts w:ascii="Times New Roman" w:hAnsi="Times New Roman"/>
          <w:color w:val="231F20"/>
          <w:sz w:val="24"/>
          <w:szCs w:val="24"/>
        </w:rPr>
        <w:t xml:space="preserve">(41,7%) suivis des </w:t>
      </w:r>
      <w:r w:rsidRPr="002D05BB">
        <w:rPr>
          <w:rFonts w:ascii="Times New Roman" w:hAnsi="Times New Roman"/>
          <w:color w:val="231F20"/>
          <w:sz w:val="24"/>
          <w:szCs w:val="24"/>
        </w:rPr>
        <w:t xml:space="preserve">chocs biophysiques </w:t>
      </w:r>
      <w:r>
        <w:rPr>
          <w:rFonts w:ascii="Times New Roman" w:hAnsi="Times New Roman"/>
          <w:color w:val="231F20"/>
          <w:sz w:val="24"/>
          <w:szCs w:val="24"/>
        </w:rPr>
        <w:t>(</w:t>
      </w:r>
      <w:r w:rsidRPr="002D05BB">
        <w:rPr>
          <w:rFonts w:ascii="Times New Roman" w:hAnsi="Times New Roman"/>
          <w:color w:val="231F20"/>
          <w:sz w:val="24"/>
          <w:szCs w:val="24"/>
        </w:rPr>
        <w:t>31,9%</w:t>
      </w:r>
      <w:r>
        <w:rPr>
          <w:rFonts w:ascii="Times New Roman" w:hAnsi="Times New Roman"/>
          <w:color w:val="231F20"/>
          <w:sz w:val="24"/>
          <w:szCs w:val="24"/>
        </w:rPr>
        <w:t>)  et sociaux (</w:t>
      </w:r>
      <w:r w:rsidRPr="002D05BB">
        <w:rPr>
          <w:rFonts w:ascii="Times New Roman" w:hAnsi="Times New Roman"/>
          <w:color w:val="231F20"/>
          <w:sz w:val="24"/>
          <w:szCs w:val="24"/>
        </w:rPr>
        <w:t>14,3%</w:t>
      </w:r>
      <w:r>
        <w:rPr>
          <w:rFonts w:ascii="Times New Roman" w:hAnsi="Times New Roman"/>
          <w:color w:val="231F20"/>
          <w:sz w:val="24"/>
          <w:szCs w:val="24"/>
        </w:rPr>
        <w:t>).</w:t>
      </w:r>
      <w:r w:rsidR="006E3DBE">
        <w:rPr>
          <w:rFonts w:ascii="Times New Roman" w:hAnsi="Times New Roman"/>
          <w:color w:val="231F20"/>
          <w:sz w:val="24"/>
          <w:szCs w:val="24"/>
        </w:rPr>
        <w:t xml:space="preserve"> </w:t>
      </w:r>
      <w:r w:rsidRPr="00A24830">
        <w:rPr>
          <w:rFonts w:ascii="Times New Roman" w:hAnsi="Times New Roman"/>
          <w:sz w:val="24"/>
          <w:szCs w:val="24"/>
        </w:rPr>
        <w:t>Les chocs idiosyncratiques</w:t>
      </w:r>
      <w:r>
        <w:rPr>
          <w:rFonts w:ascii="Times New Roman" w:hAnsi="Times New Roman"/>
          <w:sz w:val="24"/>
          <w:szCs w:val="24"/>
        </w:rPr>
        <w:t xml:space="preserve"> se </w:t>
      </w:r>
      <w:r w:rsidRPr="00A24830">
        <w:rPr>
          <w:rFonts w:ascii="Times New Roman" w:hAnsi="Times New Roman"/>
          <w:sz w:val="24"/>
          <w:szCs w:val="24"/>
        </w:rPr>
        <w:t>sont</w:t>
      </w:r>
      <w:r>
        <w:rPr>
          <w:rFonts w:ascii="Times New Roman" w:hAnsi="Times New Roman"/>
          <w:sz w:val="24"/>
          <w:szCs w:val="24"/>
        </w:rPr>
        <w:t xml:space="preserve"> avérés</w:t>
      </w:r>
      <w:r w:rsidRPr="00A24830">
        <w:rPr>
          <w:rFonts w:ascii="Times New Roman" w:hAnsi="Times New Roman"/>
          <w:sz w:val="24"/>
          <w:szCs w:val="24"/>
        </w:rPr>
        <w:t xml:space="preserve"> moins importants que les chocs covariants</w:t>
      </w:r>
      <w:r>
        <w:rPr>
          <w:rFonts w:ascii="Times New Roman" w:hAnsi="Times New Roman"/>
          <w:sz w:val="24"/>
          <w:szCs w:val="24"/>
        </w:rPr>
        <w:t xml:space="preserve"> : </w:t>
      </w:r>
      <w:r w:rsidRPr="00F12743">
        <w:rPr>
          <w:rFonts w:ascii="Times New Roman" w:hAnsi="Times New Roman"/>
          <w:sz w:val="24"/>
          <w:szCs w:val="24"/>
        </w:rPr>
        <w:t xml:space="preserve">les premiers représentent le quart des chocs subis (25,4%), alors que </w:t>
      </w:r>
      <w:r>
        <w:rPr>
          <w:rFonts w:ascii="Times New Roman" w:hAnsi="Times New Roman"/>
          <w:sz w:val="24"/>
          <w:szCs w:val="24"/>
        </w:rPr>
        <w:t xml:space="preserve">les seconds comptent pour 73,3%. </w:t>
      </w:r>
      <w:r w:rsidR="00FF5CAE">
        <w:rPr>
          <w:rFonts w:ascii="Times New Roman" w:hAnsi="Times New Roman"/>
          <w:sz w:val="24"/>
          <w:szCs w:val="24"/>
        </w:rPr>
        <w:t>Ces derniers (inondation et sécheresse)   comptent pour les plus récurrents.</w:t>
      </w:r>
    </w:p>
    <w:p w:rsidR="00ED3BCD" w:rsidRPr="00F55B57" w:rsidRDefault="00ED3BCD" w:rsidP="00ED3BCD">
      <w:pPr>
        <w:spacing w:line="276" w:lineRule="auto"/>
        <w:rPr>
          <w:rFonts w:ascii="Times New Roman" w:hAnsi="Times New Roman"/>
          <w:sz w:val="12"/>
          <w:szCs w:val="12"/>
        </w:rPr>
      </w:pPr>
    </w:p>
    <w:p w:rsidR="00ED3BCD" w:rsidRPr="00D56B46"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L’analyse de la prévalence de ces chocs selon le milieu de résidence révèle que l</w:t>
      </w:r>
      <w:r w:rsidRPr="00D56B46">
        <w:rPr>
          <w:rFonts w:ascii="Times New Roman" w:hAnsi="Times New Roman"/>
          <w:sz w:val="24"/>
          <w:szCs w:val="24"/>
        </w:rPr>
        <w:t xml:space="preserve">es chocs biophysiques </w:t>
      </w:r>
      <w:r>
        <w:rPr>
          <w:rFonts w:ascii="Times New Roman" w:hAnsi="Times New Roman"/>
          <w:sz w:val="24"/>
          <w:szCs w:val="24"/>
        </w:rPr>
        <w:t>sont plus prépondérants en milieu rural</w:t>
      </w:r>
      <w:r w:rsidR="0058364C">
        <w:rPr>
          <w:rFonts w:ascii="Times New Roman" w:hAnsi="Times New Roman"/>
          <w:sz w:val="24"/>
          <w:szCs w:val="24"/>
        </w:rPr>
        <w:t xml:space="preserve">, ce qui pourrait </w:t>
      </w:r>
      <w:r w:rsidR="003505CE">
        <w:rPr>
          <w:rFonts w:ascii="Times New Roman" w:hAnsi="Times New Roman"/>
          <w:sz w:val="24"/>
          <w:szCs w:val="24"/>
        </w:rPr>
        <w:t xml:space="preserve">impacter sur le rendement agricole et contribuer à une </w:t>
      </w:r>
      <w:r w:rsidR="00072628">
        <w:rPr>
          <w:rFonts w:ascii="Times New Roman" w:hAnsi="Times New Roman"/>
          <w:sz w:val="24"/>
          <w:szCs w:val="24"/>
        </w:rPr>
        <w:t>érosion</w:t>
      </w:r>
      <w:r w:rsidR="00390A78">
        <w:rPr>
          <w:rFonts w:ascii="Times New Roman" w:hAnsi="Times New Roman"/>
          <w:sz w:val="24"/>
          <w:szCs w:val="24"/>
        </w:rPr>
        <w:t xml:space="preserve"> </w:t>
      </w:r>
      <w:r w:rsidR="003505CE">
        <w:rPr>
          <w:rFonts w:ascii="Times New Roman" w:hAnsi="Times New Roman"/>
          <w:sz w:val="24"/>
          <w:szCs w:val="24"/>
        </w:rPr>
        <w:t>des ressources des ménages</w:t>
      </w:r>
      <w:r>
        <w:rPr>
          <w:rFonts w:ascii="Times New Roman" w:hAnsi="Times New Roman"/>
          <w:sz w:val="24"/>
          <w:szCs w:val="24"/>
        </w:rPr>
        <w:t>. La situation inverse est notée en ce qui concerne les chocs économiques. En particulier</w:t>
      </w:r>
      <w:r w:rsidRPr="002D05BB">
        <w:rPr>
          <w:rFonts w:ascii="Times New Roman" w:hAnsi="Times New Roman"/>
          <w:sz w:val="24"/>
          <w:szCs w:val="24"/>
        </w:rPr>
        <w:t xml:space="preserve"> Cotonou, la plus grande ville du pays enregistre une prévalence des chocs économiques </w:t>
      </w:r>
      <w:r>
        <w:rPr>
          <w:rFonts w:ascii="Times New Roman" w:hAnsi="Times New Roman"/>
          <w:sz w:val="24"/>
          <w:szCs w:val="24"/>
        </w:rPr>
        <w:t>pour plus de la</w:t>
      </w:r>
      <w:r w:rsidRPr="002D05BB">
        <w:rPr>
          <w:rFonts w:ascii="Times New Roman" w:hAnsi="Times New Roman"/>
          <w:sz w:val="24"/>
          <w:szCs w:val="24"/>
        </w:rPr>
        <w:t xml:space="preserve"> moitié des ménages qui y vivent</w:t>
      </w:r>
      <w:r>
        <w:rPr>
          <w:rFonts w:ascii="Times New Roman" w:hAnsi="Times New Roman"/>
          <w:sz w:val="24"/>
          <w:szCs w:val="24"/>
        </w:rPr>
        <w:t>. En outre, l’analyse révèle que les</w:t>
      </w:r>
      <w:r w:rsidRPr="00D56B46">
        <w:rPr>
          <w:rFonts w:ascii="Times New Roman" w:hAnsi="Times New Roman"/>
          <w:sz w:val="24"/>
          <w:szCs w:val="24"/>
        </w:rPr>
        <w:t xml:space="preserve"> départements au sud du Bénin ont été plus touchés par l’ensemble des chocs que ceux du nord.</w:t>
      </w:r>
    </w:p>
    <w:p w:rsidR="00ED3BCD" w:rsidRPr="004E39D9" w:rsidRDefault="00ED3BCD" w:rsidP="00ED3BCD">
      <w:pPr>
        <w:spacing w:line="276" w:lineRule="auto"/>
        <w:rPr>
          <w:rFonts w:ascii="Times New Roman" w:hAnsi="Times New Roman"/>
          <w:sz w:val="24"/>
          <w:szCs w:val="24"/>
        </w:rPr>
      </w:pPr>
    </w:p>
    <w:p w:rsidR="00ED3BCD" w:rsidRDefault="00A17682" w:rsidP="00ED3BCD">
      <w:pPr>
        <w:spacing w:line="276" w:lineRule="auto"/>
      </w:pPr>
      <w:r>
        <w:rPr>
          <w:rFonts w:ascii="Times New Roman" w:hAnsi="Times New Roman"/>
          <w:sz w:val="24"/>
          <w:szCs w:val="24"/>
        </w:rPr>
        <w:t xml:space="preserve">Par ailleurs, les résultats montrent que </w:t>
      </w:r>
      <w:r w:rsidR="00ED3BCD" w:rsidRPr="00F105AD">
        <w:rPr>
          <w:rFonts w:ascii="Times New Roman" w:hAnsi="Times New Roman"/>
          <w:sz w:val="24"/>
          <w:szCs w:val="24"/>
        </w:rPr>
        <w:t>les chocs biophysiques affectent</w:t>
      </w:r>
      <w:r w:rsidR="00D27476">
        <w:rPr>
          <w:rFonts w:ascii="Times New Roman" w:hAnsi="Times New Roman"/>
          <w:sz w:val="24"/>
          <w:szCs w:val="24"/>
        </w:rPr>
        <w:t xml:space="preserve"> l</w:t>
      </w:r>
      <w:r w:rsidR="00D27476" w:rsidRPr="005844E8">
        <w:rPr>
          <w:rFonts w:ascii="Times New Roman" w:hAnsi="Times New Roman"/>
          <w:sz w:val="24"/>
          <w:szCs w:val="24"/>
        </w:rPr>
        <w:t xml:space="preserve">es groupes de ménages selon leurs moyens de survie. </w:t>
      </w:r>
      <w:r w:rsidR="00D27476">
        <w:rPr>
          <w:rFonts w:ascii="Times New Roman" w:hAnsi="Times New Roman"/>
          <w:sz w:val="24"/>
          <w:szCs w:val="24"/>
        </w:rPr>
        <w:t xml:space="preserve">En effet, </w:t>
      </w:r>
      <w:r w:rsidR="00970F28">
        <w:rPr>
          <w:rFonts w:ascii="Times New Roman" w:hAnsi="Times New Roman"/>
          <w:sz w:val="24"/>
          <w:szCs w:val="24"/>
        </w:rPr>
        <w:t>c</w:t>
      </w:r>
      <w:r w:rsidR="00D27476">
        <w:rPr>
          <w:rFonts w:ascii="Times New Roman" w:hAnsi="Times New Roman"/>
          <w:sz w:val="24"/>
          <w:szCs w:val="24"/>
        </w:rPr>
        <w:t xml:space="preserve">es chocs affectent </w:t>
      </w:r>
      <w:r w:rsidR="00ED3BCD" w:rsidRPr="00F105AD">
        <w:rPr>
          <w:rFonts w:ascii="Times New Roman" w:hAnsi="Times New Roman"/>
          <w:sz w:val="24"/>
          <w:szCs w:val="24"/>
        </w:rPr>
        <w:t xml:space="preserve"> proportionnellement plus de ménages moins nantis</w:t>
      </w:r>
      <w:r w:rsidR="00ED3BCD">
        <w:rPr>
          <w:rFonts w:ascii="Times New Roman" w:hAnsi="Times New Roman"/>
          <w:sz w:val="24"/>
          <w:szCs w:val="24"/>
        </w:rPr>
        <w:t xml:space="preserve"> lorsqu’on considère le niveau de vie monétaire et les ménages pauvres transitoires (entrée dans la pauvreté) et pauvr</w:t>
      </w:r>
      <w:r w:rsidR="007970E5">
        <w:rPr>
          <w:rFonts w:ascii="Times New Roman" w:hAnsi="Times New Roman"/>
          <w:sz w:val="24"/>
          <w:szCs w:val="24"/>
        </w:rPr>
        <w:t>es chroniques (toujours pauvre</w:t>
      </w:r>
      <w:r w:rsidR="00ED3BCD">
        <w:rPr>
          <w:rFonts w:ascii="Times New Roman" w:hAnsi="Times New Roman"/>
          <w:sz w:val="24"/>
          <w:szCs w:val="24"/>
        </w:rPr>
        <w:t xml:space="preserve">) lorsqu’on considère la mobilité dans les différentes classes de richesse. </w:t>
      </w:r>
    </w:p>
    <w:p w:rsidR="00A17682" w:rsidRPr="004E39D9" w:rsidRDefault="00A17682" w:rsidP="00ED3BCD">
      <w:pPr>
        <w:spacing w:line="276" w:lineRule="auto"/>
        <w:rPr>
          <w:rFonts w:ascii="Times New Roman" w:hAnsi="Times New Roman"/>
          <w:sz w:val="24"/>
          <w:szCs w:val="24"/>
        </w:rPr>
      </w:pPr>
    </w:p>
    <w:p w:rsidR="00ED3BCD" w:rsidRDefault="00ED3BCD" w:rsidP="00ED3BCD">
      <w:pPr>
        <w:spacing w:line="276" w:lineRule="auto"/>
        <w:rPr>
          <w:rFonts w:ascii="Times New Roman" w:hAnsi="Times New Roman"/>
          <w:sz w:val="24"/>
          <w:szCs w:val="24"/>
        </w:rPr>
      </w:pPr>
      <w:r>
        <w:rPr>
          <w:rFonts w:ascii="Times New Roman" w:hAnsi="Times New Roman"/>
          <w:sz w:val="24"/>
          <w:szCs w:val="24"/>
        </w:rPr>
        <w:t>Pour faire face à ces chocs, les</w:t>
      </w:r>
      <w:r w:rsidRPr="002D05BB">
        <w:rPr>
          <w:rFonts w:ascii="Times New Roman" w:hAnsi="Times New Roman"/>
          <w:sz w:val="24"/>
          <w:szCs w:val="24"/>
        </w:rPr>
        <w:t xml:space="preserve"> stratégies</w:t>
      </w:r>
      <w:r>
        <w:rPr>
          <w:rFonts w:ascii="Times New Roman" w:hAnsi="Times New Roman"/>
          <w:sz w:val="24"/>
          <w:szCs w:val="24"/>
        </w:rPr>
        <w:t xml:space="preserve"> adoptées par les ménages </w:t>
      </w:r>
      <w:r w:rsidRPr="007C051D">
        <w:rPr>
          <w:rFonts w:ascii="Times New Roman" w:hAnsi="Times New Roman"/>
          <w:sz w:val="24"/>
          <w:szCs w:val="24"/>
        </w:rPr>
        <w:t>sont globalement d’ordre financier et alimentaire</w:t>
      </w:r>
      <w:r>
        <w:rPr>
          <w:rFonts w:ascii="Times New Roman" w:hAnsi="Times New Roman"/>
          <w:sz w:val="24"/>
          <w:szCs w:val="24"/>
        </w:rPr>
        <w:t xml:space="preserve">. Prioritairement, il s’agit de : </w:t>
      </w:r>
      <w:r w:rsidR="00022796">
        <w:rPr>
          <w:rFonts w:ascii="Times New Roman" w:hAnsi="Times New Roman"/>
          <w:sz w:val="24"/>
          <w:szCs w:val="24"/>
        </w:rPr>
        <w:t xml:space="preserve">(i)  </w:t>
      </w:r>
      <w:r>
        <w:rPr>
          <w:rFonts w:ascii="Times New Roman" w:hAnsi="Times New Roman"/>
          <w:sz w:val="24"/>
          <w:szCs w:val="24"/>
        </w:rPr>
        <w:t>consommer d</w:t>
      </w:r>
      <w:r w:rsidRPr="002D05BB">
        <w:rPr>
          <w:rFonts w:ascii="Times New Roman" w:hAnsi="Times New Roman"/>
          <w:sz w:val="24"/>
          <w:szCs w:val="24"/>
        </w:rPr>
        <w:t>es aliments moins coûteux ou moins préférés</w:t>
      </w:r>
      <w:r>
        <w:rPr>
          <w:rFonts w:ascii="Times New Roman" w:hAnsi="Times New Roman"/>
          <w:sz w:val="24"/>
          <w:szCs w:val="24"/>
        </w:rPr>
        <w:t>,</w:t>
      </w:r>
      <w:r w:rsidR="009A6F1D">
        <w:rPr>
          <w:rFonts w:ascii="Times New Roman" w:hAnsi="Times New Roman"/>
          <w:sz w:val="24"/>
          <w:szCs w:val="24"/>
        </w:rPr>
        <w:t xml:space="preserve"> </w:t>
      </w:r>
      <w:r w:rsidR="00022796">
        <w:rPr>
          <w:rFonts w:ascii="Times New Roman" w:hAnsi="Times New Roman"/>
          <w:sz w:val="24"/>
          <w:szCs w:val="24"/>
        </w:rPr>
        <w:t xml:space="preserve">(ii) </w:t>
      </w:r>
      <w:r w:rsidRPr="002D05BB">
        <w:rPr>
          <w:rFonts w:ascii="Times New Roman" w:hAnsi="Times New Roman"/>
          <w:sz w:val="24"/>
          <w:szCs w:val="24"/>
        </w:rPr>
        <w:t>dépenser les éco</w:t>
      </w:r>
      <w:r>
        <w:rPr>
          <w:rFonts w:ascii="Times New Roman" w:hAnsi="Times New Roman"/>
          <w:sz w:val="24"/>
          <w:szCs w:val="24"/>
        </w:rPr>
        <w:t>nomies et</w:t>
      </w:r>
      <w:r w:rsidR="00022796">
        <w:rPr>
          <w:rFonts w:ascii="Times New Roman" w:hAnsi="Times New Roman"/>
          <w:sz w:val="24"/>
          <w:szCs w:val="24"/>
        </w:rPr>
        <w:t xml:space="preserve"> (iii)</w:t>
      </w:r>
      <w:r>
        <w:rPr>
          <w:rFonts w:ascii="Times New Roman" w:hAnsi="Times New Roman"/>
          <w:sz w:val="24"/>
          <w:szCs w:val="24"/>
        </w:rPr>
        <w:t xml:space="preserve"> emprunter de l’argent</w:t>
      </w:r>
      <w:r w:rsidRPr="002D05BB">
        <w:rPr>
          <w:rFonts w:ascii="Times New Roman" w:hAnsi="Times New Roman"/>
          <w:sz w:val="24"/>
          <w:szCs w:val="24"/>
        </w:rPr>
        <w:t xml:space="preserve">. </w:t>
      </w:r>
      <w:r w:rsidR="001962D3">
        <w:rPr>
          <w:rFonts w:ascii="Times New Roman" w:hAnsi="Times New Roman"/>
          <w:sz w:val="24"/>
          <w:szCs w:val="24"/>
        </w:rPr>
        <w:t xml:space="preserve">De façon spécifique, </w:t>
      </w:r>
      <w:r w:rsidRPr="007C051D">
        <w:rPr>
          <w:rFonts w:ascii="Times New Roman" w:hAnsi="Times New Roman"/>
          <w:sz w:val="24"/>
          <w:szCs w:val="24"/>
        </w:rPr>
        <w:t xml:space="preserve"> pour faire face aux chocs économiques, les ménages préfèrent consommer des aliments moins </w:t>
      </w:r>
      <w:r w:rsidR="006E3DBE">
        <w:rPr>
          <w:rFonts w:ascii="Times New Roman" w:hAnsi="Times New Roman"/>
          <w:sz w:val="24"/>
          <w:szCs w:val="24"/>
        </w:rPr>
        <w:t>coûteux</w:t>
      </w:r>
      <w:r w:rsidRPr="007C051D">
        <w:rPr>
          <w:rFonts w:ascii="Times New Roman" w:hAnsi="Times New Roman"/>
          <w:sz w:val="24"/>
          <w:szCs w:val="24"/>
        </w:rPr>
        <w:t xml:space="preserve"> ou moins préférés et dépenser les économies. </w:t>
      </w:r>
      <w:r>
        <w:rPr>
          <w:rFonts w:ascii="Times New Roman" w:hAnsi="Times New Roman"/>
          <w:sz w:val="24"/>
          <w:szCs w:val="24"/>
        </w:rPr>
        <w:t>F</w:t>
      </w:r>
      <w:r w:rsidRPr="007C051D">
        <w:rPr>
          <w:rFonts w:ascii="Times New Roman" w:hAnsi="Times New Roman"/>
          <w:sz w:val="24"/>
          <w:szCs w:val="24"/>
        </w:rPr>
        <w:t xml:space="preserve">ace aux chocs sociaux, la plupart des ménages dépensent les économies ou empruntent de l’argent ou encore consomment des aliments moins </w:t>
      </w:r>
      <w:r w:rsidR="006E3DBE">
        <w:rPr>
          <w:rFonts w:ascii="Times New Roman" w:hAnsi="Times New Roman"/>
          <w:sz w:val="24"/>
          <w:szCs w:val="24"/>
        </w:rPr>
        <w:t>coûteux</w:t>
      </w:r>
      <w:r w:rsidRPr="007C051D">
        <w:rPr>
          <w:rFonts w:ascii="Times New Roman" w:hAnsi="Times New Roman"/>
          <w:sz w:val="24"/>
          <w:szCs w:val="24"/>
        </w:rPr>
        <w:t xml:space="preserve">. </w:t>
      </w:r>
      <w:r>
        <w:rPr>
          <w:rFonts w:ascii="Times New Roman" w:hAnsi="Times New Roman"/>
          <w:sz w:val="24"/>
          <w:szCs w:val="24"/>
        </w:rPr>
        <w:t xml:space="preserve">En ce qui concerne les </w:t>
      </w:r>
      <w:r w:rsidRPr="00311D59">
        <w:rPr>
          <w:rFonts w:ascii="Times New Roman" w:hAnsi="Times New Roman"/>
          <w:sz w:val="24"/>
          <w:szCs w:val="24"/>
        </w:rPr>
        <w:t>chocs biophysiques</w:t>
      </w:r>
      <w:r>
        <w:rPr>
          <w:rFonts w:ascii="Times New Roman" w:hAnsi="Times New Roman"/>
          <w:sz w:val="24"/>
          <w:szCs w:val="24"/>
        </w:rPr>
        <w:t xml:space="preserve">, les stratégies portent sur </w:t>
      </w:r>
      <w:r w:rsidRPr="00311D59">
        <w:rPr>
          <w:rFonts w:ascii="Times New Roman" w:hAnsi="Times New Roman"/>
          <w:sz w:val="24"/>
          <w:szCs w:val="24"/>
        </w:rPr>
        <w:t xml:space="preserve">la consommation des aliments moins </w:t>
      </w:r>
      <w:r w:rsidR="006E3DBE">
        <w:rPr>
          <w:rFonts w:ascii="Times New Roman" w:hAnsi="Times New Roman"/>
          <w:sz w:val="24"/>
          <w:szCs w:val="24"/>
        </w:rPr>
        <w:t>coûteux</w:t>
      </w:r>
      <w:r w:rsidRPr="00311D59">
        <w:rPr>
          <w:rFonts w:ascii="Times New Roman" w:hAnsi="Times New Roman"/>
          <w:sz w:val="24"/>
          <w:szCs w:val="24"/>
        </w:rPr>
        <w:t xml:space="preserve"> ou moins préférés, la dépense des économies, l’achat de nourriture à crédit et la réduction de la quantité d’aliments consommés par repas.</w:t>
      </w:r>
    </w:p>
    <w:p w:rsidR="00ED3BCD" w:rsidRDefault="00ED3BCD" w:rsidP="00ED3BCD">
      <w:pPr>
        <w:spacing w:line="276" w:lineRule="auto"/>
      </w:pPr>
    </w:p>
    <w:p w:rsidR="00ED3BCD" w:rsidRDefault="00ED3BCD" w:rsidP="00ED3BCD">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En considérant les ménages selon la mobilité dans les états de bien-être, il ressort que : </w:t>
      </w:r>
    </w:p>
    <w:p w:rsidR="00ED3BCD" w:rsidRPr="00AF0508" w:rsidRDefault="00ED3BCD" w:rsidP="00ED3BCD">
      <w:pPr>
        <w:autoSpaceDE w:val="0"/>
        <w:autoSpaceDN w:val="0"/>
        <w:adjustRightInd w:val="0"/>
        <w:spacing w:line="276" w:lineRule="auto"/>
        <w:rPr>
          <w:rFonts w:ascii="Times New Roman" w:hAnsi="Times New Roman"/>
          <w:sz w:val="24"/>
          <w:szCs w:val="24"/>
        </w:rPr>
      </w:pPr>
    </w:p>
    <w:p w:rsidR="00ED3BCD" w:rsidRPr="00AF0508" w:rsidRDefault="00ED3BCD" w:rsidP="00930D19">
      <w:pPr>
        <w:pStyle w:val="Paragraphedeliste"/>
        <w:numPr>
          <w:ilvl w:val="0"/>
          <w:numId w:val="17"/>
        </w:numPr>
        <w:autoSpaceDE w:val="0"/>
        <w:autoSpaceDN w:val="0"/>
        <w:adjustRightInd w:val="0"/>
        <w:spacing w:line="276" w:lineRule="auto"/>
        <w:rPr>
          <w:rFonts w:ascii="Times New Roman" w:hAnsi="Times New Roman"/>
          <w:sz w:val="24"/>
          <w:szCs w:val="24"/>
        </w:rPr>
      </w:pPr>
      <w:r w:rsidRPr="00AF0508">
        <w:rPr>
          <w:rFonts w:ascii="Times New Roman" w:hAnsi="Times New Roman"/>
          <w:sz w:val="24"/>
          <w:szCs w:val="24"/>
        </w:rPr>
        <w:t xml:space="preserve">Face aux </w:t>
      </w:r>
      <w:r w:rsidRPr="00AF0508">
        <w:rPr>
          <w:rFonts w:ascii="Times New Roman" w:hAnsi="Times New Roman"/>
          <w:i/>
          <w:sz w:val="24"/>
          <w:szCs w:val="24"/>
        </w:rPr>
        <w:t>chocs sociaux</w:t>
      </w:r>
      <w:r w:rsidRPr="00AF0508">
        <w:rPr>
          <w:rFonts w:ascii="Times New Roman" w:hAnsi="Times New Roman"/>
          <w:sz w:val="24"/>
          <w:szCs w:val="24"/>
        </w:rPr>
        <w:t xml:space="preserve">, les trois premières réponses apportées par les ménages </w:t>
      </w:r>
      <w:r>
        <w:rPr>
          <w:rFonts w:ascii="Times New Roman" w:hAnsi="Times New Roman"/>
          <w:sz w:val="24"/>
          <w:szCs w:val="24"/>
        </w:rPr>
        <w:t>quel</w:t>
      </w:r>
      <w:r w:rsidR="006E3DBE">
        <w:rPr>
          <w:rFonts w:ascii="Times New Roman" w:hAnsi="Times New Roman"/>
          <w:sz w:val="24"/>
          <w:szCs w:val="24"/>
        </w:rPr>
        <w:t>le</w:t>
      </w:r>
      <w:r>
        <w:rPr>
          <w:rFonts w:ascii="Times New Roman" w:hAnsi="Times New Roman"/>
          <w:sz w:val="24"/>
          <w:szCs w:val="24"/>
        </w:rPr>
        <w:t xml:space="preserve"> que soit leur classe d’appartenance </w:t>
      </w:r>
      <w:r w:rsidRPr="00AF0508">
        <w:rPr>
          <w:rFonts w:ascii="Times New Roman" w:hAnsi="Times New Roman"/>
          <w:sz w:val="24"/>
          <w:szCs w:val="24"/>
        </w:rPr>
        <w:t xml:space="preserve">sont surtout d’ordre financier. Elles vont de la dépense des économies à l’achat de nourriture à crédit en passant par l’emprunt d’argent et la consommation d’aliments moins </w:t>
      </w:r>
      <w:r w:rsidR="006E3DBE">
        <w:rPr>
          <w:rFonts w:ascii="Times New Roman" w:hAnsi="Times New Roman"/>
          <w:sz w:val="24"/>
          <w:szCs w:val="24"/>
        </w:rPr>
        <w:t>coûteux</w:t>
      </w:r>
      <w:r w:rsidRPr="00AF0508">
        <w:rPr>
          <w:rFonts w:ascii="Times New Roman" w:hAnsi="Times New Roman"/>
          <w:sz w:val="24"/>
          <w:szCs w:val="24"/>
        </w:rPr>
        <w:t xml:space="preserve">. </w:t>
      </w:r>
      <w:r>
        <w:rPr>
          <w:rFonts w:ascii="Times New Roman" w:hAnsi="Times New Roman"/>
          <w:sz w:val="24"/>
          <w:szCs w:val="24"/>
        </w:rPr>
        <w:t>En particulier, a</w:t>
      </w:r>
      <w:r w:rsidRPr="00AF0508">
        <w:rPr>
          <w:rFonts w:ascii="Times New Roman" w:hAnsi="Times New Roman"/>
          <w:sz w:val="24"/>
          <w:szCs w:val="24"/>
        </w:rPr>
        <w:t xml:space="preserve">vec très peu de moyens après deux épisodes de pauvreté, les ménages chroniquement pauvres sont les seuls à recourir aux achats à crédit au titre des trois premières stratégies. </w:t>
      </w:r>
    </w:p>
    <w:p w:rsidR="00ED3BCD" w:rsidRDefault="00ED3BCD" w:rsidP="00ED3BCD">
      <w:pPr>
        <w:autoSpaceDE w:val="0"/>
        <w:autoSpaceDN w:val="0"/>
        <w:adjustRightInd w:val="0"/>
        <w:spacing w:line="276" w:lineRule="auto"/>
        <w:rPr>
          <w:rFonts w:ascii="Times New Roman" w:hAnsi="Times New Roman"/>
          <w:sz w:val="24"/>
          <w:szCs w:val="24"/>
        </w:rPr>
      </w:pPr>
    </w:p>
    <w:p w:rsidR="00ED3BCD" w:rsidRPr="00AF0508" w:rsidRDefault="00ED3BCD" w:rsidP="00930D19">
      <w:pPr>
        <w:pStyle w:val="Paragraphedeliste"/>
        <w:numPr>
          <w:ilvl w:val="0"/>
          <w:numId w:val="17"/>
        </w:numPr>
        <w:autoSpaceDE w:val="0"/>
        <w:autoSpaceDN w:val="0"/>
        <w:adjustRightInd w:val="0"/>
        <w:spacing w:line="276" w:lineRule="auto"/>
        <w:rPr>
          <w:rFonts w:ascii="Times New Roman" w:hAnsi="Times New Roman"/>
          <w:sz w:val="24"/>
          <w:szCs w:val="24"/>
        </w:rPr>
      </w:pPr>
      <w:r w:rsidRPr="00AF0508">
        <w:rPr>
          <w:rFonts w:ascii="Times New Roman" w:hAnsi="Times New Roman"/>
          <w:sz w:val="24"/>
          <w:szCs w:val="24"/>
        </w:rPr>
        <w:t xml:space="preserve">Face aux effets des </w:t>
      </w:r>
      <w:r w:rsidRPr="00AF0508">
        <w:rPr>
          <w:rFonts w:ascii="Times New Roman" w:hAnsi="Times New Roman"/>
          <w:i/>
          <w:sz w:val="24"/>
          <w:szCs w:val="24"/>
        </w:rPr>
        <w:t>chocs économiques</w:t>
      </w:r>
      <w:r w:rsidRPr="00AF0508">
        <w:rPr>
          <w:rFonts w:ascii="Times New Roman" w:hAnsi="Times New Roman"/>
          <w:sz w:val="24"/>
          <w:szCs w:val="24"/>
        </w:rPr>
        <w:t>, les ménages adoptent des stratégies plus diversifiées</w:t>
      </w:r>
      <w:r w:rsidRPr="00AF0508">
        <w:rPr>
          <w:rStyle w:val="Appelnotedebasdep"/>
          <w:rFonts w:ascii="Times New Roman" w:hAnsi="Times New Roman"/>
          <w:sz w:val="24"/>
          <w:szCs w:val="24"/>
        </w:rPr>
        <w:footnoteReference w:id="72"/>
      </w:r>
      <w:r w:rsidRPr="00AF0508">
        <w:rPr>
          <w:rFonts w:ascii="Times New Roman" w:hAnsi="Times New Roman"/>
          <w:sz w:val="24"/>
          <w:szCs w:val="24"/>
        </w:rPr>
        <w:t xml:space="preserve">. </w:t>
      </w:r>
      <w:r>
        <w:rPr>
          <w:rFonts w:ascii="Times New Roman" w:hAnsi="Times New Roman"/>
          <w:sz w:val="24"/>
          <w:szCs w:val="24"/>
        </w:rPr>
        <w:t xml:space="preserve">Les ménages optent pour </w:t>
      </w:r>
      <w:r w:rsidRPr="00AF0508">
        <w:rPr>
          <w:rFonts w:ascii="Times New Roman" w:hAnsi="Times New Roman"/>
          <w:sz w:val="24"/>
          <w:szCs w:val="24"/>
        </w:rPr>
        <w:t>la dépense de leurs économies, la consommation d’alim</w:t>
      </w:r>
      <w:r>
        <w:rPr>
          <w:rFonts w:ascii="Times New Roman" w:hAnsi="Times New Roman"/>
          <w:sz w:val="24"/>
          <w:szCs w:val="24"/>
        </w:rPr>
        <w:t>ents moins préférés ou moins coû</w:t>
      </w:r>
      <w:r w:rsidRPr="00AF0508">
        <w:rPr>
          <w:rFonts w:ascii="Times New Roman" w:hAnsi="Times New Roman"/>
          <w:sz w:val="24"/>
          <w:szCs w:val="24"/>
        </w:rPr>
        <w:t xml:space="preserve">teux et l’achat de nourriture à crédit. </w:t>
      </w:r>
    </w:p>
    <w:p w:rsidR="00ED3BCD" w:rsidRPr="00B9218B" w:rsidRDefault="00ED3BCD" w:rsidP="00ED3BCD">
      <w:pPr>
        <w:autoSpaceDE w:val="0"/>
        <w:autoSpaceDN w:val="0"/>
        <w:adjustRightInd w:val="0"/>
        <w:spacing w:line="276" w:lineRule="auto"/>
        <w:rPr>
          <w:rFonts w:ascii="Times New Roman" w:hAnsi="Times New Roman"/>
          <w:b/>
          <w:sz w:val="24"/>
          <w:szCs w:val="24"/>
        </w:rPr>
      </w:pPr>
    </w:p>
    <w:p w:rsidR="00ED3BCD" w:rsidRDefault="00ED3BCD" w:rsidP="00930D19">
      <w:pPr>
        <w:pStyle w:val="Paragraphedeliste"/>
        <w:numPr>
          <w:ilvl w:val="0"/>
          <w:numId w:val="17"/>
        </w:numPr>
        <w:autoSpaceDE w:val="0"/>
        <w:autoSpaceDN w:val="0"/>
        <w:adjustRightInd w:val="0"/>
        <w:spacing w:line="276" w:lineRule="auto"/>
      </w:pPr>
      <w:r w:rsidRPr="00AF0508">
        <w:rPr>
          <w:rFonts w:ascii="Times New Roman" w:hAnsi="Times New Roman"/>
          <w:sz w:val="24"/>
          <w:szCs w:val="24"/>
        </w:rPr>
        <w:t xml:space="preserve">Face aux chocs biophysiques, les principales stratégies adoptées sont surtout d’ordre alimentaire. </w:t>
      </w:r>
      <w:r>
        <w:rPr>
          <w:rFonts w:ascii="Times New Roman" w:hAnsi="Times New Roman"/>
          <w:sz w:val="24"/>
          <w:szCs w:val="24"/>
        </w:rPr>
        <w:t xml:space="preserve">Elles portent sur </w:t>
      </w:r>
      <w:r w:rsidRPr="00AF0508">
        <w:rPr>
          <w:rFonts w:ascii="Times New Roman" w:hAnsi="Times New Roman"/>
          <w:sz w:val="24"/>
          <w:szCs w:val="24"/>
        </w:rPr>
        <w:t xml:space="preserve">la consommation d’aliments moins préférés ou moins </w:t>
      </w:r>
      <w:r w:rsidR="006E3DBE">
        <w:rPr>
          <w:rFonts w:ascii="Times New Roman" w:hAnsi="Times New Roman"/>
          <w:sz w:val="24"/>
          <w:szCs w:val="24"/>
        </w:rPr>
        <w:t>coûteux</w:t>
      </w:r>
      <w:r>
        <w:rPr>
          <w:rFonts w:ascii="Times New Roman" w:hAnsi="Times New Roman"/>
          <w:sz w:val="24"/>
          <w:szCs w:val="24"/>
        </w:rPr>
        <w:t xml:space="preserve">, </w:t>
      </w:r>
      <w:r w:rsidRPr="00AF0508">
        <w:rPr>
          <w:rFonts w:ascii="Times New Roman" w:hAnsi="Times New Roman"/>
          <w:sz w:val="24"/>
          <w:szCs w:val="24"/>
        </w:rPr>
        <w:t>l’achat à crédit de nourriture</w:t>
      </w:r>
      <w:r>
        <w:rPr>
          <w:rFonts w:ascii="Times New Roman" w:hAnsi="Times New Roman"/>
          <w:sz w:val="24"/>
          <w:szCs w:val="24"/>
        </w:rPr>
        <w:t xml:space="preserve"> et la réduction de la quantité d’aliments consommés par repas. </w:t>
      </w:r>
    </w:p>
    <w:p w:rsidR="00ED3BCD" w:rsidRDefault="00ED3BCD" w:rsidP="00ED3BCD"/>
    <w:p w:rsidR="00740DB4" w:rsidRPr="00740DB4" w:rsidRDefault="002507B6">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En général, les stratégies de </w:t>
      </w:r>
      <w:r w:rsidR="001064B7" w:rsidRPr="001064B7">
        <w:rPr>
          <w:rFonts w:ascii="Times New Roman" w:hAnsi="Times New Roman"/>
          <w:sz w:val="24"/>
          <w:szCs w:val="24"/>
        </w:rPr>
        <w:t>gestion de risque adoptées par les ménages</w:t>
      </w:r>
      <w:r w:rsidR="00390A78">
        <w:rPr>
          <w:rFonts w:ascii="Times New Roman" w:hAnsi="Times New Roman"/>
          <w:sz w:val="24"/>
          <w:szCs w:val="24"/>
        </w:rPr>
        <w:t xml:space="preserve"> </w:t>
      </w:r>
      <w:r>
        <w:rPr>
          <w:rFonts w:ascii="Times New Roman" w:hAnsi="Times New Roman"/>
          <w:sz w:val="24"/>
          <w:szCs w:val="24"/>
        </w:rPr>
        <w:t>pour faire face aux chocs qu’ils ont subis se sont avérées très limitées, ce qui suggère que les stratégies endogènes ne sont pas adéquates</w:t>
      </w:r>
      <w:r w:rsidR="005F2595">
        <w:rPr>
          <w:rFonts w:ascii="Times New Roman" w:hAnsi="Times New Roman"/>
          <w:sz w:val="24"/>
          <w:szCs w:val="24"/>
        </w:rPr>
        <w:t xml:space="preserve"> pour maintenir ou </w:t>
      </w:r>
      <w:r w:rsidR="005F761A">
        <w:rPr>
          <w:rFonts w:ascii="Times New Roman" w:hAnsi="Times New Roman"/>
          <w:sz w:val="24"/>
          <w:szCs w:val="24"/>
        </w:rPr>
        <w:t xml:space="preserve">accroître </w:t>
      </w:r>
      <w:r w:rsidR="005F2595">
        <w:rPr>
          <w:rFonts w:ascii="Times New Roman" w:hAnsi="Times New Roman"/>
          <w:sz w:val="24"/>
          <w:szCs w:val="24"/>
        </w:rPr>
        <w:t>le bien-être des ménages pauvres.</w:t>
      </w:r>
    </w:p>
    <w:p w:rsidR="002507B6" w:rsidRPr="002000AD" w:rsidRDefault="002507B6" w:rsidP="002507B6"/>
    <w:p w:rsidR="00ED3BCD" w:rsidRPr="004B2BBA" w:rsidRDefault="00ED3BCD" w:rsidP="00ED3BCD">
      <w:pPr>
        <w:pStyle w:val="Paragraphedeliste"/>
        <w:autoSpaceDE w:val="0"/>
        <w:autoSpaceDN w:val="0"/>
        <w:adjustRightInd w:val="0"/>
        <w:spacing w:line="276" w:lineRule="auto"/>
        <w:ind w:left="0"/>
        <w:rPr>
          <w:rFonts w:ascii="Times New Roman" w:hAnsi="Times New Roman"/>
          <w:sz w:val="24"/>
          <w:szCs w:val="24"/>
        </w:rPr>
      </w:pPr>
      <w:r w:rsidRPr="004B2BBA">
        <w:rPr>
          <w:rFonts w:ascii="Times New Roman" w:hAnsi="Times New Roman"/>
          <w:sz w:val="24"/>
          <w:szCs w:val="24"/>
        </w:rPr>
        <w:t xml:space="preserve">Ces résultats interpellent </w:t>
      </w:r>
      <w:r w:rsidR="00F04951">
        <w:rPr>
          <w:rFonts w:ascii="Times New Roman" w:hAnsi="Times New Roman"/>
          <w:sz w:val="24"/>
          <w:szCs w:val="24"/>
        </w:rPr>
        <w:t xml:space="preserve">d’une part, </w:t>
      </w:r>
      <w:r w:rsidRPr="004B2BBA">
        <w:rPr>
          <w:rFonts w:ascii="Times New Roman" w:hAnsi="Times New Roman"/>
          <w:sz w:val="24"/>
          <w:szCs w:val="24"/>
        </w:rPr>
        <w:t xml:space="preserve">sur la mise en place des programmes de filets </w:t>
      </w:r>
      <w:r>
        <w:rPr>
          <w:rFonts w:ascii="Times New Roman" w:hAnsi="Times New Roman"/>
          <w:sz w:val="24"/>
          <w:szCs w:val="24"/>
        </w:rPr>
        <w:t>sociaux qui privilégient les dimensions financières et alimentaires au profit des ménages pauvres (en part</w:t>
      </w:r>
      <w:r w:rsidR="009F214C">
        <w:rPr>
          <w:rFonts w:ascii="Times New Roman" w:hAnsi="Times New Roman"/>
          <w:sz w:val="24"/>
          <w:szCs w:val="24"/>
        </w:rPr>
        <w:t>iculier les pauvres chroniques)</w:t>
      </w:r>
      <w:r w:rsidR="00B0794D">
        <w:rPr>
          <w:rFonts w:ascii="Times New Roman" w:hAnsi="Times New Roman"/>
          <w:sz w:val="24"/>
          <w:szCs w:val="24"/>
        </w:rPr>
        <w:t xml:space="preserve"> </w:t>
      </w:r>
      <w:r w:rsidR="00F04951">
        <w:rPr>
          <w:rFonts w:ascii="Times New Roman" w:hAnsi="Times New Roman"/>
          <w:sz w:val="24"/>
          <w:szCs w:val="24"/>
        </w:rPr>
        <w:t>et d’autre part, des politiques adéquates pour prévenir et contenir les effets négatifs des chocs covariants</w:t>
      </w:r>
      <w:r w:rsidR="009F214C">
        <w:rPr>
          <w:rFonts w:ascii="Times New Roman" w:hAnsi="Times New Roman"/>
          <w:sz w:val="24"/>
          <w:szCs w:val="24"/>
        </w:rPr>
        <w:t xml:space="preserve"> sur la productivité et le revenu des ménages ruraux </w:t>
      </w:r>
      <w:r w:rsidR="001828E3">
        <w:rPr>
          <w:rFonts w:ascii="Times New Roman" w:hAnsi="Times New Roman"/>
          <w:sz w:val="24"/>
          <w:szCs w:val="24"/>
        </w:rPr>
        <w:t>du fait</w:t>
      </w:r>
      <w:r w:rsidR="009F214C">
        <w:rPr>
          <w:rFonts w:ascii="Times New Roman" w:hAnsi="Times New Roman"/>
          <w:sz w:val="24"/>
          <w:szCs w:val="24"/>
        </w:rPr>
        <w:t xml:space="preserve"> de leur caractère récurrent. </w:t>
      </w:r>
    </w:p>
    <w:p w:rsidR="00517125" w:rsidRDefault="00517125" w:rsidP="00B70D79"/>
    <w:p w:rsidR="00394FEA" w:rsidRDefault="00394FEA" w:rsidP="00B70D79"/>
    <w:p w:rsidR="00394FEA" w:rsidRDefault="00394FEA" w:rsidP="00B70D79"/>
    <w:p w:rsidR="00394FEA" w:rsidRDefault="00394FEA" w:rsidP="00B70D79"/>
    <w:p w:rsidR="00394FEA" w:rsidRDefault="00394FEA" w:rsidP="00B70D79">
      <w:pPr>
        <w:sectPr w:rsidR="00394FEA" w:rsidSect="00F55B57">
          <w:pgSz w:w="11906" w:h="16838"/>
          <w:pgMar w:top="1385" w:right="1417" w:bottom="1417" w:left="1417"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5E3F54" w:rsidTr="005E3F54">
        <w:trPr>
          <w:trHeight w:val="1762"/>
        </w:trPr>
        <w:tc>
          <w:tcPr>
            <w:tcW w:w="1418" w:type="dxa"/>
            <w:tcBorders>
              <w:right w:val="thinThickSmallGap" w:sz="24" w:space="0" w:color="FFFFFF" w:themeColor="background1"/>
            </w:tcBorders>
            <w:shd w:val="clear" w:color="auto" w:fill="92CDDC" w:themeFill="accent5" w:themeFillTint="99"/>
          </w:tcPr>
          <w:p w:rsidR="005E3F54" w:rsidRPr="00494CC8" w:rsidRDefault="005E3F54" w:rsidP="008F7DBE">
            <w:pPr>
              <w:pStyle w:val="Titre1"/>
              <w:jc w:val="center"/>
              <w:outlineLvl w:val="0"/>
              <w:rPr>
                <w:rFonts w:ascii="Times New Roman" w:hAnsi="Times New Roman" w:cs="Times New Roman"/>
                <w:sz w:val="28"/>
                <w:szCs w:val="28"/>
              </w:rPr>
            </w:pP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5E3F54" w:rsidRPr="00E04E53" w:rsidRDefault="005E3F54" w:rsidP="008F7DBE">
            <w:pPr>
              <w:pStyle w:val="Titre1"/>
              <w:spacing w:before="120" w:after="0" w:line="240" w:lineRule="auto"/>
              <w:jc w:val="center"/>
              <w:outlineLvl w:val="0"/>
              <w:rPr>
                <w:rFonts w:ascii="Times New Roman" w:hAnsi="Times New Roman" w:cs="Times New Roman"/>
                <w:sz w:val="52"/>
                <w:szCs w:val="52"/>
              </w:rPr>
            </w:pPr>
            <w:bookmarkStart w:id="106" w:name="_Toc382322935"/>
            <w:r w:rsidRPr="00E04E53">
              <w:rPr>
                <w:rFonts w:ascii="Times New Roman" w:hAnsi="Times New Roman" w:cs="Times New Roman"/>
                <w:sz w:val="52"/>
                <w:szCs w:val="52"/>
              </w:rPr>
              <w:t>CHAPITRE</w:t>
            </w:r>
            <w:bookmarkEnd w:id="106"/>
          </w:p>
          <w:p w:rsidR="005E3F54" w:rsidRPr="00E04E53" w:rsidRDefault="005E3F54" w:rsidP="008F7DBE">
            <w:pPr>
              <w:pStyle w:val="Titre1"/>
              <w:spacing w:before="0" w:after="0" w:line="240" w:lineRule="auto"/>
              <w:jc w:val="center"/>
              <w:outlineLvl w:val="0"/>
              <w:rPr>
                <w:rFonts w:ascii="Times New Roman" w:hAnsi="Times New Roman" w:cs="Times New Roman"/>
                <w:sz w:val="96"/>
                <w:szCs w:val="96"/>
              </w:rPr>
            </w:pPr>
            <w:bookmarkStart w:id="107" w:name="_Toc382322936"/>
            <w:r>
              <w:rPr>
                <w:rFonts w:ascii="Times New Roman" w:hAnsi="Times New Roman" w:cs="Times New Roman"/>
                <w:sz w:val="96"/>
                <w:szCs w:val="96"/>
              </w:rPr>
              <w:t>4</w:t>
            </w:r>
            <w:bookmarkEnd w:id="107"/>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5E3F54" w:rsidRPr="00B96248" w:rsidRDefault="005E3F54" w:rsidP="008F7DBE">
            <w:pPr>
              <w:pStyle w:val="Titre1"/>
              <w:spacing w:before="120" w:line="240" w:lineRule="auto"/>
              <w:jc w:val="left"/>
              <w:outlineLvl w:val="0"/>
              <w:rPr>
                <w:rFonts w:ascii="Times New Roman" w:hAnsi="Times New Roman"/>
                <w:sz w:val="52"/>
                <w:szCs w:val="52"/>
              </w:rPr>
            </w:pPr>
            <w:bookmarkStart w:id="108" w:name="_Toc382322937"/>
            <w:r w:rsidRPr="00B96248">
              <w:rPr>
                <w:rFonts w:ascii="Times New Roman" w:hAnsi="Times New Roman" w:cs="Times New Roman"/>
                <w:sz w:val="52"/>
                <w:szCs w:val="52"/>
              </w:rPr>
              <w:t>Politiques budgétaires et réduction de la pauvreté</w:t>
            </w:r>
            <w:bookmarkEnd w:id="108"/>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5E3F54" w:rsidRPr="00E04E53" w:rsidRDefault="005E3F54" w:rsidP="008F7DBE">
            <w:pPr>
              <w:pStyle w:val="Titre1"/>
              <w:spacing w:line="240" w:lineRule="auto"/>
              <w:jc w:val="center"/>
              <w:outlineLvl w:val="0"/>
              <w:rPr>
                <w:rFonts w:ascii="Times New Roman" w:hAnsi="Times New Roman" w:cs="Times New Roman"/>
                <w:sz w:val="52"/>
                <w:szCs w:val="52"/>
              </w:rPr>
            </w:pPr>
          </w:p>
        </w:tc>
      </w:tr>
    </w:tbl>
    <w:p w:rsidR="00394FEA" w:rsidRPr="004E39D9" w:rsidRDefault="00394FEA" w:rsidP="00B70D79">
      <w:pPr>
        <w:rPr>
          <w:rFonts w:ascii="Times New Roman" w:hAnsi="Times New Roman"/>
          <w:sz w:val="16"/>
          <w:szCs w:val="16"/>
        </w:rPr>
      </w:pPr>
    </w:p>
    <w:p w:rsidR="002E3BBE" w:rsidRPr="004E39D9" w:rsidRDefault="002E3BBE" w:rsidP="00B70D79">
      <w:pPr>
        <w:rPr>
          <w:rFonts w:ascii="Times New Roman" w:hAnsi="Times New Roman"/>
          <w:sz w:val="16"/>
          <w:szCs w:val="16"/>
        </w:rPr>
      </w:pPr>
    </w:p>
    <w:p w:rsidR="002E3BBE" w:rsidRPr="008A05C0" w:rsidRDefault="002E3BBE" w:rsidP="002E3BBE">
      <w:pPr>
        <w:pStyle w:val="Titre2"/>
        <w:spacing w:before="0" w:after="0" w:line="276" w:lineRule="auto"/>
        <w:rPr>
          <w:rFonts w:ascii="Times New Roman" w:hAnsi="Times New Roman"/>
          <w:i w:val="0"/>
          <w:color w:val="31849B" w:themeColor="accent5" w:themeShade="BF"/>
        </w:rPr>
      </w:pPr>
      <w:bookmarkStart w:id="109" w:name="_Toc382322938"/>
      <w:r w:rsidRPr="008A05C0">
        <w:rPr>
          <w:rFonts w:ascii="Times New Roman" w:hAnsi="Times New Roman"/>
          <w:i w:val="0"/>
          <w:color w:val="31849B" w:themeColor="accent5" w:themeShade="BF"/>
        </w:rPr>
        <w:t>4.1</w:t>
      </w:r>
      <w:r w:rsidR="00390A78">
        <w:rPr>
          <w:rFonts w:ascii="Times New Roman" w:hAnsi="Times New Roman"/>
          <w:i w:val="0"/>
          <w:color w:val="31849B" w:themeColor="accent5" w:themeShade="BF"/>
        </w:rPr>
        <w:t xml:space="preserve"> </w:t>
      </w:r>
      <w:r w:rsidRPr="008A05C0">
        <w:rPr>
          <w:rFonts w:ascii="Times New Roman" w:hAnsi="Times New Roman"/>
          <w:i w:val="0"/>
          <w:color w:val="31849B" w:themeColor="accent5" w:themeShade="BF"/>
        </w:rPr>
        <w:t>Introduction</w:t>
      </w:r>
      <w:bookmarkEnd w:id="109"/>
    </w:p>
    <w:p w:rsidR="002E3BBE" w:rsidRDefault="002E3BBE" w:rsidP="002E3BBE">
      <w:pPr>
        <w:spacing w:line="276" w:lineRule="auto"/>
        <w:rPr>
          <w:rFonts w:ascii="Times New Roman" w:hAnsi="Times New Roman"/>
          <w:b/>
          <w:sz w:val="24"/>
          <w:szCs w:val="24"/>
        </w:rPr>
      </w:pPr>
    </w:p>
    <w:p w:rsidR="002E3BBE" w:rsidRDefault="002E3BBE" w:rsidP="002E3BBE">
      <w:pPr>
        <w:spacing w:line="276" w:lineRule="auto"/>
        <w:rPr>
          <w:rFonts w:ascii="Times New Roman" w:hAnsi="Times New Roman"/>
          <w:sz w:val="24"/>
          <w:szCs w:val="24"/>
        </w:rPr>
      </w:pPr>
      <w:r>
        <w:rPr>
          <w:rFonts w:ascii="Times New Roman" w:hAnsi="Times New Roman"/>
          <w:sz w:val="24"/>
          <w:szCs w:val="24"/>
        </w:rPr>
        <w:t xml:space="preserve">Ce chapitre </w:t>
      </w:r>
      <w:r w:rsidRPr="00044B08">
        <w:rPr>
          <w:rFonts w:ascii="Times New Roman" w:hAnsi="Times New Roman"/>
          <w:sz w:val="24"/>
          <w:szCs w:val="24"/>
        </w:rPr>
        <w:t>traite des interrelations entre les politiques budgétaires et réduction de la pauvreté</w:t>
      </w:r>
      <w:r>
        <w:rPr>
          <w:rFonts w:ascii="Times New Roman" w:hAnsi="Times New Roman"/>
          <w:sz w:val="24"/>
          <w:szCs w:val="24"/>
        </w:rPr>
        <w:t xml:space="preserve">. Il s’agit </w:t>
      </w:r>
      <w:r w:rsidR="007367AB">
        <w:rPr>
          <w:rFonts w:ascii="Times New Roman" w:hAnsi="Times New Roman"/>
          <w:sz w:val="24"/>
          <w:szCs w:val="24"/>
        </w:rPr>
        <w:t xml:space="preserve">de </w:t>
      </w:r>
      <w:r>
        <w:rPr>
          <w:rFonts w:ascii="Times New Roman" w:hAnsi="Times New Roman"/>
          <w:sz w:val="24"/>
          <w:szCs w:val="24"/>
        </w:rPr>
        <w:t>m</w:t>
      </w:r>
      <w:r w:rsidRPr="00044B08">
        <w:rPr>
          <w:rFonts w:ascii="Times New Roman" w:hAnsi="Times New Roman"/>
          <w:sz w:val="24"/>
          <w:szCs w:val="24"/>
        </w:rPr>
        <w:t xml:space="preserve">ettre en exergue les liens entre les services assurés par l’État et l’impact des dépenses publiques sur les mesures de lutte contre la pauvreté. </w:t>
      </w:r>
      <w:r>
        <w:rPr>
          <w:rFonts w:ascii="Times New Roman" w:hAnsi="Times New Roman"/>
          <w:sz w:val="24"/>
          <w:szCs w:val="24"/>
        </w:rPr>
        <w:t xml:space="preserve">En d’autres termes, il </w:t>
      </w:r>
      <w:r w:rsidRPr="00044B08">
        <w:rPr>
          <w:rFonts w:ascii="Times New Roman" w:hAnsi="Times New Roman"/>
          <w:sz w:val="24"/>
          <w:szCs w:val="24"/>
        </w:rPr>
        <w:t>s’agit de répondre aux interrogations ci-après </w:t>
      </w:r>
      <w:r>
        <w:rPr>
          <w:rFonts w:ascii="Times New Roman" w:hAnsi="Times New Roman"/>
          <w:sz w:val="24"/>
          <w:szCs w:val="24"/>
        </w:rPr>
        <w:t>: l</w:t>
      </w:r>
      <w:r w:rsidRPr="00044B08">
        <w:rPr>
          <w:rFonts w:ascii="Times New Roman" w:hAnsi="Times New Roman"/>
          <w:sz w:val="24"/>
          <w:szCs w:val="24"/>
        </w:rPr>
        <w:t>es dépenses publiques</w:t>
      </w:r>
      <w:r w:rsidR="00390A78">
        <w:rPr>
          <w:rFonts w:ascii="Times New Roman" w:hAnsi="Times New Roman"/>
          <w:sz w:val="24"/>
          <w:szCs w:val="24"/>
        </w:rPr>
        <w:t xml:space="preserve"> </w:t>
      </w:r>
      <w:r w:rsidRPr="00044B08">
        <w:rPr>
          <w:rFonts w:ascii="Times New Roman" w:hAnsi="Times New Roman"/>
          <w:sz w:val="24"/>
          <w:szCs w:val="24"/>
        </w:rPr>
        <w:t>sont-elles un moyen de lutte efficace contre la pauvreté ? Comment pourraient-elles mieux répondre aux besoins des pauvres</w:t>
      </w:r>
      <w:r>
        <w:rPr>
          <w:rStyle w:val="Appelnotedebasdep"/>
          <w:rFonts w:ascii="Times New Roman" w:hAnsi="Times New Roman"/>
          <w:sz w:val="24"/>
          <w:szCs w:val="24"/>
        </w:rPr>
        <w:footnoteReference w:id="73"/>
      </w:r>
      <w:r w:rsidRPr="00044B08">
        <w:rPr>
          <w:rFonts w:ascii="Times New Roman" w:hAnsi="Times New Roman"/>
          <w:sz w:val="24"/>
          <w:szCs w:val="24"/>
        </w:rPr>
        <w:t xml:space="preserve"> ? </w:t>
      </w:r>
    </w:p>
    <w:p w:rsidR="002E3BBE" w:rsidRPr="0053168E" w:rsidRDefault="002E3BBE" w:rsidP="002E3BBE">
      <w:pPr>
        <w:spacing w:line="276" w:lineRule="auto"/>
        <w:rPr>
          <w:rFonts w:ascii="Times New Roman" w:hAnsi="Times New Roman"/>
          <w:sz w:val="24"/>
          <w:szCs w:val="24"/>
        </w:rPr>
      </w:pPr>
    </w:p>
    <w:p w:rsidR="002E3BBE" w:rsidRPr="000868DA" w:rsidRDefault="002E3BBE" w:rsidP="002E3BBE">
      <w:pPr>
        <w:spacing w:line="276" w:lineRule="auto"/>
        <w:rPr>
          <w:rFonts w:ascii="Times New Roman" w:hAnsi="Times New Roman"/>
          <w:sz w:val="24"/>
          <w:szCs w:val="24"/>
        </w:rPr>
      </w:pPr>
      <w:r w:rsidRPr="000868DA">
        <w:rPr>
          <w:rFonts w:ascii="Times New Roman" w:hAnsi="Times New Roman"/>
          <w:sz w:val="24"/>
          <w:szCs w:val="24"/>
        </w:rPr>
        <w:t>Il est organisé autour de</w:t>
      </w:r>
      <w:r>
        <w:rPr>
          <w:rFonts w:ascii="Times New Roman" w:hAnsi="Times New Roman"/>
          <w:sz w:val="24"/>
          <w:szCs w:val="24"/>
        </w:rPr>
        <w:t xml:space="preserve"> deux</w:t>
      </w:r>
      <w:r w:rsidRPr="000868DA">
        <w:rPr>
          <w:rFonts w:ascii="Times New Roman" w:hAnsi="Times New Roman"/>
          <w:sz w:val="24"/>
          <w:szCs w:val="24"/>
        </w:rPr>
        <w:t xml:space="preserve"> principaux points. Le premier point porte sur l’analyse de la structure des dépenses publiques. Le second point traite de la contribution des dépenses publiques à la réduction de la pauvreté. </w:t>
      </w:r>
    </w:p>
    <w:p w:rsidR="002E3BBE" w:rsidRDefault="002E3BBE" w:rsidP="008A05C0">
      <w:pPr>
        <w:pStyle w:val="T51"/>
        <w:numPr>
          <w:ilvl w:val="0"/>
          <w:numId w:val="0"/>
        </w:numPr>
        <w:tabs>
          <w:tab w:val="clear" w:pos="993"/>
          <w:tab w:val="left" w:pos="709"/>
        </w:tabs>
        <w:spacing w:after="0" w:line="240" w:lineRule="auto"/>
        <w:jc w:val="both"/>
        <w:rPr>
          <w:sz w:val="24"/>
        </w:rPr>
      </w:pPr>
    </w:p>
    <w:p w:rsidR="002E3BBE" w:rsidRPr="008A05C0" w:rsidRDefault="002E3BBE" w:rsidP="004E39D9">
      <w:pPr>
        <w:pStyle w:val="Titre2"/>
        <w:spacing w:before="120" w:after="0" w:line="240" w:lineRule="auto"/>
        <w:rPr>
          <w:rFonts w:ascii="Times New Roman" w:hAnsi="Times New Roman"/>
          <w:i w:val="0"/>
          <w:color w:val="31849B" w:themeColor="accent5" w:themeShade="BF"/>
        </w:rPr>
      </w:pPr>
      <w:bookmarkStart w:id="110" w:name="_Toc382322939"/>
      <w:r w:rsidRPr="008A05C0">
        <w:rPr>
          <w:rFonts w:ascii="Times New Roman" w:hAnsi="Times New Roman"/>
          <w:i w:val="0"/>
          <w:color w:val="31849B" w:themeColor="accent5" w:themeShade="BF"/>
        </w:rPr>
        <w:t>4.2</w:t>
      </w:r>
      <w:r w:rsidR="00390A78">
        <w:rPr>
          <w:rFonts w:ascii="Times New Roman" w:hAnsi="Times New Roman"/>
          <w:i w:val="0"/>
          <w:color w:val="31849B" w:themeColor="accent5" w:themeShade="BF"/>
        </w:rPr>
        <w:t xml:space="preserve"> </w:t>
      </w:r>
      <w:r w:rsidRPr="008A05C0">
        <w:rPr>
          <w:rFonts w:ascii="Times New Roman" w:hAnsi="Times New Roman"/>
          <w:i w:val="0"/>
          <w:color w:val="31849B" w:themeColor="accent5" w:themeShade="BF"/>
        </w:rPr>
        <w:t>Analyse de la structure des dépenses publiques</w:t>
      </w:r>
      <w:bookmarkEnd w:id="110"/>
    </w:p>
    <w:p w:rsidR="008A05C0" w:rsidRDefault="008A05C0" w:rsidP="008A05C0">
      <w:pPr>
        <w:spacing w:line="276" w:lineRule="auto"/>
        <w:rPr>
          <w:rFonts w:ascii="Times New Roman" w:hAnsi="Times New Roman"/>
          <w:sz w:val="24"/>
          <w:szCs w:val="24"/>
        </w:rPr>
      </w:pPr>
    </w:p>
    <w:p w:rsidR="002E3BBE" w:rsidRDefault="002E3BBE" w:rsidP="002E3BBE">
      <w:pPr>
        <w:spacing w:line="276" w:lineRule="auto"/>
        <w:rPr>
          <w:rFonts w:ascii="Times New Roman" w:hAnsi="Times New Roman"/>
          <w:sz w:val="24"/>
          <w:szCs w:val="24"/>
        </w:rPr>
      </w:pPr>
      <w:r w:rsidRPr="000868DA">
        <w:rPr>
          <w:rFonts w:ascii="Times New Roman" w:hAnsi="Times New Roman"/>
          <w:sz w:val="24"/>
          <w:szCs w:val="24"/>
        </w:rPr>
        <w:t xml:space="preserve">Cette section présente </w:t>
      </w:r>
      <w:r>
        <w:rPr>
          <w:rFonts w:ascii="Times New Roman" w:hAnsi="Times New Roman"/>
          <w:sz w:val="24"/>
          <w:szCs w:val="24"/>
        </w:rPr>
        <w:t>d’une part, les classifications économiques et fonctionnelles des dépenses publiques et d’autre part, les dépenses sociales prioritaires de la SCRP et l’allocation des dépenses au niveau centralisé.</w:t>
      </w:r>
    </w:p>
    <w:p w:rsidR="002E3BBE" w:rsidRPr="000868DA" w:rsidRDefault="002E3BBE" w:rsidP="002E3BBE">
      <w:pPr>
        <w:spacing w:line="276" w:lineRule="auto"/>
        <w:rPr>
          <w:rFonts w:ascii="Times New Roman" w:hAnsi="Times New Roman"/>
          <w:sz w:val="24"/>
          <w:szCs w:val="24"/>
        </w:rPr>
      </w:pPr>
    </w:p>
    <w:p w:rsidR="002E3BBE" w:rsidRPr="00D53C62" w:rsidRDefault="002E3BBE" w:rsidP="002E3BBE">
      <w:pPr>
        <w:pStyle w:val="T511"/>
        <w:numPr>
          <w:ilvl w:val="0"/>
          <w:numId w:val="0"/>
        </w:numPr>
        <w:spacing w:after="0"/>
        <w:rPr>
          <w:b w:val="0"/>
          <w:szCs w:val="24"/>
        </w:rPr>
      </w:pPr>
      <w:r>
        <w:t xml:space="preserve">Classification économique des dépenses publiques. </w:t>
      </w:r>
      <w:r w:rsidRPr="00544FD4">
        <w:rPr>
          <w:szCs w:val="24"/>
        </w:rPr>
        <w:t>Les dépenses publiques sont en progression annuelle de 8,3% sur la période 2000 – 2011, tirée notamment par les dépenses de fonctionnement</w:t>
      </w:r>
      <w:r w:rsidRPr="00D53C62">
        <w:rPr>
          <w:b w:val="0"/>
          <w:szCs w:val="24"/>
        </w:rPr>
        <w:t xml:space="preserve">. Les dépenses publiques sont passées de 322,5 milliards en 2000 à 805,4 milliards de FCFA en 2009 pour revenir à 743,5 milliards de FCFA en 2011. En 2009, du fait des reports des crédits d’investissement des exercices antérieurs, on a assisté à un doublement de la contribution budgétaire à l’investissement (221,6 milliards de FCFA contre 105,3 </w:t>
      </w:r>
      <w:r>
        <w:rPr>
          <w:b w:val="0"/>
          <w:szCs w:val="24"/>
        </w:rPr>
        <w:t xml:space="preserve">milliards de FCFA </w:t>
      </w:r>
      <w:r w:rsidRPr="00D53C62">
        <w:rPr>
          <w:b w:val="0"/>
          <w:szCs w:val="24"/>
        </w:rPr>
        <w:t xml:space="preserve">en 2008) et une hausse de 17,6% des dépenses publiques. Mais face à la persistance de la crise internationale et aux difficultés liées à la mobilisation des recettes intérieures, l’État </w:t>
      </w:r>
      <w:r>
        <w:rPr>
          <w:b w:val="0"/>
          <w:szCs w:val="24"/>
        </w:rPr>
        <w:t xml:space="preserve">a dû </w:t>
      </w:r>
      <w:r w:rsidRPr="00D53C62">
        <w:rPr>
          <w:b w:val="0"/>
          <w:szCs w:val="24"/>
        </w:rPr>
        <w:t xml:space="preserve">rationner les dépenses publiques qui sont tombées à 702,2 milliards </w:t>
      </w:r>
      <w:r>
        <w:rPr>
          <w:b w:val="0"/>
          <w:szCs w:val="24"/>
        </w:rPr>
        <w:t xml:space="preserve">de FCFA </w:t>
      </w:r>
      <w:r w:rsidRPr="00D53C62">
        <w:rPr>
          <w:b w:val="0"/>
          <w:szCs w:val="24"/>
        </w:rPr>
        <w:t>en 2010.</w:t>
      </w:r>
    </w:p>
    <w:p w:rsidR="002E3BBE" w:rsidRDefault="002E3BBE" w:rsidP="002E3BBE">
      <w:pPr>
        <w:spacing w:line="276" w:lineRule="auto"/>
        <w:rPr>
          <w:rFonts w:ascii="Times New Roman" w:hAnsi="Times New Roman"/>
          <w:sz w:val="24"/>
          <w:szCs w:val="24"/>
        </w:rPr>
      </w:pPr>
    </w:p>
    <w:p w:rsidR="002E3BBE" w:rsidRDefault="002E3BBE" w:rsidP="002E3BBE">
      <w:pPr>
        <w:spacing w:line="276" w:lineRule="auto"/>
        <w:rPr>
          <w:rFonts w:ascii="Times New Roman" w:hAnsi="Times New Roman"/>
          <w:sz w:val="24"/>
          <w:szCs w:val="24"/>
        </w:rPr>
      </w:pPr>
      <w:r w:rsidRPr="00A037CA">
        <w:rPr>
          <w:rFonts w:ascii="Times New Roman" w:hAnsi="Times New Roman"/>
          <w:sz w:val="24"/>
          <w:szCs w:val="24"/>
        </w:rPr>
        <w:t xml:space="preserve">Au Bénin, </w:t>
      </w:r>
      <w:r>
        <w:rPr>
          <w:rFonts w:ascii="Times New Roman" w:hAnsi="Times New Roman"/>
          <w:sz w:val="24"/>
          <w:szCs w:val="24"/>
        </w:rPr>
        <w:t xml:space="preserve">environ </w:t>
      </w:r>
      <w:r w:rsidR="00A311DF">
        <w:rPr>
          <w:rFonts w:ascii="Times New Roman" w:hAnsi="Times New Roman"/>
          <w:sz w:val="24"/>
          <w:szCs w:val="24"/>
        </w:rPr>
        <w:t>deux tiers</w:t>
      </w:r>
      <w:r w:rsidRPr="00A037CA">
        <w:rPr>
          <w:rFonts w:ascii="Times New Roman" w:hAnsi="Times New Roman"/>
          <w:sz w:val="24"/>
          <w:szCs w:val="24"/>
        </w:rPr>
        <w:t xml:space="preserve"> des dépenses publiques sont consacré</w:t>
      </w:r>
      <w:r>
        <w:rPr>
          <w:rFonts w:ascii="Times New Roman" w:hAnsi="Times New Roman"/>
          <w:sz w:val="24"/>
          <w:szCs w:val="24"/>
        </w:rPr>
        <w:t>e</w:t>
      </w:r>
      <w:r w:rsidRPr="00A037CA">
        <w:rPr>
          <w:rFonts w:ascii="Times New Roman" w:hAnsi="Times New Roman"/>
          <w:sz w:val="24"/>
          <w:szCs w:val="24"/>
        </w:rPr>
        <w:t>s au fonctionnement de l’</w:t>
      </w:r>
      <w:r>
        <w:rPr>
          <w:rFonts w:ascii="Times New Roman" w:hAnsi="Times New Roman"/>
          <w:sz w:val="24"/>
          <w:szCs w:val="24"/>
        </w:rPr>
        <w:t>A</w:t>
      </w:r>
      <w:r w:rsidRPr="00A037CA">
        <w:rPr>
          <w:rFonts w:ascii="Times New Roman" w:hAnsi="Times New Roman"/>
          <w:sz w:val="24"/>
          <w:szCs w:val="24"/>
        </w:rPr>
        <w:t xml:space="preserve">dministration publique et </w:t>
      </w:r>
      <w:r w:rsidR="00A311DF">
        <w:rPr>
          <w:rFonts w:ascii="Times New Roman" w:hAnsi="Times New Roman"/>
          <w:sz w:val="24"/>
          <w:szCs w:val="24"/>
        </w:rPr>
        <w:t>un tiers</w:t>
      </w:r>
      <w:r w:rsidRPr="00A037CA">
        <w:rPr>
          <w:rFonts w:ascii="Times New Roman" w:hAnsi="Times New Roman"/>
          <w:sz w:val="24"/>
          <w:szCs w:val="24"/>
        </w:rPr>
        <w:t xml:space="preserve"> à l’investissement. Les dépenses de fonctionnement comprennent les dépenses de </w:t>
      </w:r>
      <w:r>
        <w:rPr>
          <w:rFonts w:ascii="Times New Roman" w:hAnsi="Times New Roman"/>
          <w:sz w:val="24"/>
          <w:szCs w:val="24"/>
        </w:rPr>
        <w:t>personnel</w:t>
      </w:r>
      <w:r w:rsidRPr="00A037CA">
        <w:rPr>
          <w:rFonts w:ascii="Times New Roman" w:hAnsi="Times New Roman"/>
          <w:sz w:val="24"/>
          <w:szCs w:val="24"/>
        </w:rPr>
        <w:t>, les pensions et bou</w:t>
      </w:r>
      <w:r>
        <w:rPr>
          <w:rFonts w:ascii="Times New Roman" w:hAnsi="Times New Roman"/>
          <w:sz w:val="24"/>
          <w:szCs w:val="24"/>
        </w:rPr>
        <w:t>r</w:t>
      </w:r>
      <w:r w:rsidRPr="00A037CA">
        <w:rPr>
          <w:rFonts w:ascii="Times New Roman" w:hAnsi="Times New Roman"/>
          <w:sz w:val="24"/>
          <w:szCs w:val="24"/>
        </w:rPr>
        <w:t>ses, les transferts, les achats de biens et services</w:t>
      </w:r>
      <w:r>
        <w:rPr>
          <w:rFonts w:ascii="Times New Roman" w:hAnsi="Times New Roman"/>
          <w:sz w:val="24"/>
          <w:szCs w:val="24"/>
        </w:rPr>
        <w:t>,</w:t>
      </w:r>
      <w:r w:rsidRPr="00A037CA">
        <w:rPr>
          <w:rFonts w:ascii="Times New Roman" w:hAnsi="Times New Roman"/>
          <w:sz w:val="24"/>
          <w:szCs w:val="24"/>
        </w:rPr>
        <w:t xml:space="preserve"> et les intérêts sur la dette publique.</w:t>
      </w:r>
    </w:p>
    <w:p w:rsidR="002E3BBE" w:rsidRDefault="002E3BBE" w:rsidP="001D556B">
      <w:pPr>
        <w:keepNext/>
        <w:spacing w:line="276" w:lineRule="auto"/>
        <w:rPr>
          <w:rFonts w:ascii="Times New Roman" w:hAnsi="Times New Roman"/>
          <w:sz w:val="24"/>
          <w:szCs w:val="24"/>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9"/>
      </w:tblGrid>
      <w:tr w:rsidR="00C464FF" w:rsidRPr="00390A78" w:rsidTr="008A05C0">
        <w:trPr>
          <w:trHeight w:val="347"/>
        </w:trPr>
        <w:tc>
          <w:tcPr>
            <w:tcW w:w="9009" w:type="dxa"/>
            <w:shd w:val="clear" w:color="auto" w:fill="92CDDC" w:themeFill="accent5" w:themeFillTint="99"/>
          </w:tcPr>
          <w:p w:rsidR="00C464FF" w:rsidRPr="00390A78" w:rsidRDefault="001D556B" w:rsidP="00D60CFD">
            <w:pPr>
              <w:pStyle w:val="Lgende"/>
              <w:framePr w:wrap="around"/>
            </w:pPr>
            <w:bookmarkStart w:id="111" w:name="_Toc369726130"/>
            <w:bookmarkStart w:id="112" w:name="_Toc369726694"/>
            <w:bookmarkStart w:id="113" w:name="_Toc369728067"/>
            <w:r w:rsidRPr="00390A78">
              <w:t>Graphique 4.</w:t>
            </w:r>
            <w:r w:rsidR="004F064D">
              <w:fldChar w:fldCharType="begin"/>
            </w:r>
            <w:r w:rsidR="004F064D">
              <w:instrText xml:space="preserve"> SEQ Graphiaue_4. \* ARABIC </w:instrText>
            </w:r>
            <w:r w:rsidR="004F064D">
              <w:fldChar w:fldCharType="separate"/>
            </w:r>
            <w:r w:rsidR="00AB1967">
              <w:rPr>
                <w:noProof/>
              </w:rPr>
              <w:t>1</w:t>
            </w:r>
            <w:r w:rsidR="004F064D">
              <w:rPr>
                <w:noProof/>
              </w:rPr>
              <w:fldChar w:fldCharType="end"/>
            </w:r>
            <w:r w:rsidR="00832112" w:rsidRPr="00832112">
              <w:t>: Évolution des dépenses publiques 2000-2011</w:t>
            </w:r>
            <w:bookmarkEnd w:id="111"/>
            <w:bookmarkEnd w:id="112"/>
            <w:bookmarkEnd w:id="113"/>
          </w:p>
        </w:tc>
      </w:tr>
    </w:tbl>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9"/>
      </w:tblGrid>
      <w:tr w:rsidR="00C464FF" w:rsidTr="008A05C0">
        <w:tc>
          <w:tcPr>
            <w:tcW w:w="9009" w:type="dxa"/>
            <w:shd w:val="clear" w:color="auto" w:fill="DAEEF3" w:themeFill="accent5" w:themeFillTint="33"/>
          </w:tcPr>
          <w:p w:rsidR="00C464FF" w:rsidRDefault="00C464FF" w:rsidP="00C464FF">
            <w:pPr>
              <w:spacing w:before="120" w:after="120" w:line="240" w:lineRule="auto"/>
              <w:ind w:left="-57"/>
              <w:jc w:val="center"/>
            </w:pPr>
            <w:r w:rsidRPr="00FC3C4C">
              <w:rPr>
                <w:noProof/>
                <w:lang w:eastAsia="fr-FR"/>
              </w:rPr>
              <w:drawing>
                <wp:inline distT="0" distB="0" distL="0" distR="0" wp14:anchorId="079C1E09" wp14:editId="0B38F453">
                  <wp:extent cx="5591810" cy="2549525"/>
                  <wp:effectExtent l="19050" t="0" r="8890" b="0"/>
                  <wp:docPr id="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7" cstate="print"/>
                          <a:srcRect/>
                          <a:stretch>
                            <a:fillRect/>
                          </a:stretch>
                        </pic:blipFill>
                        <pic:spPr bwMode="auto">
                          <a:xfrm>
                            <a:off x="0" y="0"/>
                            <a:ext cx="5591810" cy="2549525"/>
                          </a:xfrm>
                          <a:prstGeom prst="rect">
                            <a:avLst/>
                          </a:prstGeom>
                          <a:noFill/>
                          <a:ln w="9525">
                            <a:noFill/>
                            <a:miter lim="800000"/>
                            <a:headEnd/>
                            <a:tailEnd/>
                          </a:ln>
                        </pic:spPr>
                      </pic:pic>
                    </a:graphicData>
                  </a:graphic>
                </wp:inline>
              </w:drawing>
            </w:r>
          </w:p>
        </w:tc>
      </w:tr>
      <w:tr w:rsidR="00C464FF" w:rsidRPr="00E16B3C" w:rsidTr="008A05C0">
        <w:tc>
          <w:tcPr>
            <w:tcW w:w="9009" w:type="dxa"/>
            <w:shd w:val="clear" w:color="auto" w:fill="DAEEF3" w:themeFill="accent5" w:themeFillTint="33"/>
          </w:tcPr>
          <w:p w:rsidR="00C464FF" w:rsidRPr="00FC3C4C" w:rsidRDefault="00C464FF" w:rsidP="00C464FF">
            <w:pPr>
              <w:keepNext/>
              <w:keepLines/>
              <w:rPr>
                <w:rFonts w:ascii="Times New Roman" w:hAnsi="Times New Roman"/>
              </w:rPr>
            </w:pPr>
            <w:r>
              <w:rPr>
                <w:rFonts w:ascii="Times New Roman" w:hAnsi="Times New Roman"/>
              </w:rPr>
              <w:t>Source : MEF, juillet 2012</w:t>
            </w:r>
          </w:p>
        </w:tc>
      </w:tr>
    </w:tbl>
    <w:p w:rsidR="00C464FF" w:rsidRPr="00FC3C4C" w:rsidRDefault="00C464FF" w:rsidP="00C464FF"/>
    <w:p w:rsidR="002E3BBE" w:rsidRDefault="002E3BBE" w:rsidP="002E3BBE">
      <w:pPr>
        <w:spacing w:line="276" w:lineRule="auto"/>
        <w:rPr>
          <w:rFonts w:ascii="Times New Roman" w:hAnsi="Times New Roman"/>
          <w:sz w:val="24"/>
          <w:szCs w:val="24"/>
        </w:rPr>
      </w:pPr>
      <w:r w:rsidRPr="00F75022">
        <w:rPr>
          <w:rFonts w:ascii="Times New Roman" w:hAnsi="Times New Roman"/>
          <w:sz w:val="24"/>
          <w:szCs w:val="24"/>
        </w:rPr>
        <w:t>La masse salariale constitue la principale composante (40% en moyenne</w:t>
      </w:r>
      <w:r>
        <w:rPr>
          <w:rFonts w:ascii="Times New Roman" w:hAnsi="Times New Roman"/>
          <w:sz w:val="24"/>
          <w:szCs w:val="24"/>
        </w:rPr>
        <w:t xml:space="preserve"> sur la période 2000-2010</w:t>
      </w:r>
      <w:r w:rsidRPr="00F75022">
        <w:rPr>
          <w:rFonts w:ascii="Times New Roman" w:hAnsi="Times New Roman"/>
          <w:sz w:val="24"/>
          <w:szCs w:val="24"/>
        </w:rPr>
        <w:t>) des dépenses de fonctionnement</w:t>
      </w:r>
      <w:r>
        <w:rPr>
          <w:rFonts w:ascii="Times New Roman" w:hAnsi="Times New Roman"/>
          <w:sz w:val="24"/>
          <w:szCs w:val="24"/>
        </w:rPr>
        <w:t xml:space="preserve">. Elle a triplé, </w:t>
      </w:r>
      <w:r w:rsidRPr="00F75022">
        <w:rPr>
          <w:rFonts w:ascii="Times New Roman" w:hAnsi="Times New Roman"/>
          <w:sz w:val="24"/>
          <w:szCs w:val="24"/>
        </w:rPr>
        <w:t>passant de 74,8 milliards de FCFA en 2000 à 253,2 milliards de FCFA en 2011</w:t>
      </w:r>
      <w:r>
        <w:rPr>
          <w:rFonts w:ascii="Times New Roman" w:hAnsi="Times New Roman"/>
          <w:sz w:val="24"/>
          <w:szCs w:val="24"/>
        </w:rPr>
        <w:t>.</w:t>
      </w:r>
      <w:r>
        <w:rPr>
          <w:rFonts w:ascii="Times New Roman" w:hAnsi="Times New Roman"/>
          <w:sz w:val="24"/>
        </w:rPr>
        <w:t xml:space="preserve"> E</w:t>
      </w:r>
      <w:r w:rsidRPr="00B44BE1">
        <w:rPr>
          <w:rFonts w:ascii="Times New Roman" w:hAnsi="Times New Roman"/>
          <w:sz w:val="24"/>
        </w:rPr>
        <w:t>n termes réels, la masse salariale a augmenté de 14,7% en moyenne sur la période 2007-2009</w:t>
      </w:r>
      <w:r>
        <w:rPr>
          <w:rFonts w:ascii="Times New Roman" w:hAnsi="Times New Roman"/>
          <w:sz w:val="24"/>
        </w:rPr>
        <w:t xml:space="preserve"> (FMI, 2010)</w:t>
      </w:r>
      <w:r w:rsidRPr="00C37B1C">
        <w:rPr>
          <w:rFonts w:ascii="Times New Roman" w:hAnsi="Times New Roman"/>
          <w:sz w:val="24"/>
          <w:vertAlign w:val="superscript"/>
        </w:rPr>
        <w:footnoteReference w:id="74"/>
      </w:r>
      <w:r>
        <w:rPr>
          <w:rFonts w:ascii="Times New Roman" w:hAnsi="Times New Roman"/>
          <w:sz w:val="24"/>
        </w:rPr>
        <w:t>.</w:t>
      </w:r>
    </w:p>
    <w:p w:rsidR="002E3BBE" w:rsidRDefault="002E3BBE" w:rsidP="002E3BBE">
      <w:pPr>
        <w:spacing w:line="276" w:lineRule="auto"/>
        <w:rPr>
          <w:rFonts w:ascii="Times New Roman" w:hAnsi="Times New Roman"/>
          <w:sz w:val="24"/>
          <w:szCs w:val="24"/>
        </w:rPr>
      </w:pPr>
    </w:p>
    <w:p w:rsidR="002E3BBE" w:rsidRDefault="002E3BBE" w:rsidP="002E3BBE">
      <w:pPr>
        <w:spacing w:line="276" w:lineRule="auto"/>
        <w:rPr>
          <w:rFonts w:ascii="Times New Roman" w:hAnsi="Times New Roman"/>
          <w:sz w:val="24"/>
          <w:szCs w:val="24"/>
        </w:rPr>
      </w:pPr>
      <w:r>
        <w:rPr>
          <w:rFonts w:ascii="Times New Roman" w:hAnsi="Times New Roman"/>
          <w:sz w:val="24"/>
          <w:szCs w:val="24"/>
        </w:rPr>
        <w:t xml:space="preserve">En ce qui concerne </w:t>
      </w:r>
      <w:r w:rsidRPr="00F75022">
        <w:rPr>
          <w:rFonts w:ascii="Times New Roman" w:hAnsi="Times New Roman"/>
          <w:sz w:val="24"/>
          <w:szCs w:val="24"/>
        </w:rPr>
        <w:t>le ratio masse salariale rapportée aux recettes fiscales</w:t>
      </w:r>
      <w:r>
        <w:rPr>
          <w:rFonts w:ascii="Times New Roman" w:hAnsi="Times New Roman"/>
          <w:sz w:val="24"/>
          <w:szCs w:val="24"/>
        </w:rPr>
        <w:t xml:space="preserve">, il </w:t>
      </w:r>
      <w:r w:rsidRPr="00F75022">
        <w:rPr>
          <w:rFonts w:ascii="Times New Roman" w:hAnsi="Times New Roman"/>
          <w:sz w:val="24"/>
          <w:szCs w:val="24"/>
        </w:rPr>
        <w:t>a dépassé le plafond d</w:t>
      </w:r>
      <w:r>
        <w:rPr>
          <w:rFonts w:ascii="Times New Roman" w:hAnsi="Times New Roman"/>
          <w:sz w:val="24"/>
          <w:szCs w:val="24"/>
        </w:rPr>
        <w:t>u</w:t>
      </w:r>
      <w:r w:rsidRPr="00F75022">
        <w:rPr>
          <w:rFonts w:ascii="Times New Roman" w:hAnsi="Times New Roman"/>
          <w:sz w:val="24"/>
          <w:szCs w:val="24"/>
        </w:rPr>
        <w:t xml:space="preserve"> critère de convergence de l’UEMOA. </w:t>
      </w:r>
      <w:r w:rsidRPr="00B44BE1">
        <w:rPr>
          <w:rFonts w:ascii="Times New Roman" w:hAnsi="Times New Roman"/>
          <w:sz w:val="24"/>
        </w:rPr>
        <w:t>Ainsi, pour</w:t>
      </w:r>
      <w:r w:rsidR="00B0794D">
        <w:rPr>
          <w:rFonts w:ascii="Times New Roman" w:hAnsi="Times New Roman"/>
          <w:sz w:val="24"/>
        </w:rPr>
        <w:t xml:space="preserve"> un</w:t>
      </w:r>
      <w:r w:rsidRPr="00B44BE1">
        <w:rPr>
          <w:rFonts w:ascii="Times New Roman" w:hAnsi="Times New Roman"/>
          <w:sz w:val="24"/>
        </w:rPr>
        <w:t xml:space="preserve"> objectif de 35% des recettes fiscales au maximum, la masse salariale du Bénin se situe à 45,1% des recettes fiscales en 2009 contre une moyenne de 38,9% au sein de l’UEMOA, soit le niveau le plus élevé, après la Guinée-Bissau et le Burkina Faso. </w:t>
      </w:r>
      <w:r w:rsidRPr="00F75022">
        <w:rPr>
          <w:rFonts w:ascii="Times New Roman" w:hAnsi="Times New Roman"/>
          <w:sz w:val="24"/>
          <w:szCs w:val="24"/>
        </w:rPr>
        <w:t xml:space="preserve">Cette hausse est induite </w:t>
      </w:r>
      <w:r>
        <w:rPr>
          <w:rFonts w:ascii="Times New Roman" w:hAnsi="Times New Roman"/>
          <w:sz w:val="24"/>
          <w:szCs w:val="24"/>
        </w:rPr>
        <w:t>entre autres par les chocs extérieurs (</w:t>
      </w:r>
      <w:r w:rsidRPr="00F75022">
        <w:rPr>
          <w:rFonts w:ascii="Times New Roman" w:hAnsi="Times New Roman"/>
          <w:sz w:val="24"/>
          <w:szCs w:val="24"/>
        </w:rPr>
        <w:t xml:space="preserve">fermeture des frontières par le Nigéria </w:t>
      </w:r>
      <w:r>
        <w:rPr>
          <w:rFonts w:ascii="Times New Roman" w:hAnsi="Times New Roman"/>
          <w:sz w:val="24"/>
          <w:szCs w:val="24"/>
        </w:rPr>
        <w:t xml:space="preserve">en 2004 et 2005 ayant induit un recul des recettes fiscales), </w:t>
      </w:r>
      <w:r w:rsidRPr="00F75022">
        <w:rPr>
          <w:rFonts w:ascii="Times New Roman" w:hAnsi="Times New Roman"/>
          <w:sz w:val="24"/>
          <w:szCs w:val="24"/>
        </w:rPr>
        <w:t>l’augmentation du personnel</w:t>
      </w:r>
      <w:r>
        <w:rPr>
          <w:rFonts w:ascii="Times New Roman" w:hAnsi="Times New Roman"/>
          <w:sz w:val="24"/>
          <w:szCs w:val="24"/>
        </w:rPr>
        <w:t xml:space="preserve"> et </w:t>
      </w:r>
      <w:r w:rsidRPr="00F75022">
        <w:rPr>
          <w:rFonts w:ascii="Times New Roman" w:hAnsi="Times New Roman"/>
          <w:sz w:val="24"/>
          <w:szCs w:val="24"/>
        </w:rPr>
        <w:t>l’amélioration du taux de salaire dans certains secteurs de l’administration (éducation, sant</w:t>
      </w:r>
      <w:r>
        <w:rPr>
          <w:rFonts w:ascii="Times New Roman" w:hAnsi="Times New Roman"/>
          <w:sz w:val="24"/>
          <w:szCs w:val="24"/>
        </w:rPr>
        <w:t>é</w:t>
      </w:r>
      <w:r w:rsidRPr="00F75022">
        <w:rPr>
          <w:rFonts w:ascii="Times New Roman" w:hAnsi="Times New Roman"/>
          <w:sz w:val="24"/>
          <w:szCs w:val="24"/>
        </w:rPr>
        <w:t>, finances, etc.). Depuis 2007, le processus de reversement des agents occasionnels dans l’administration publique a fortement fait progresser les effectifs</w:t>
      </w:r>
      <w:r>
        <w:rPr>
          <w:rFonts w:ascii="Times New Roman" w:hAnsi="Times New Roman"/>
          <w:sz w:val="24"/>
          <w:szCs w:val="24"/>
        </w:rPr>
        <w:t xml:space="preserve">. Dans </w:t>
      </w:r>
      <w:r w:rsidRPr="00F75022">
        <w:rPr>
          <w:rFonts w:ascii="Times New Roman" w:hAnsi="Times New Roman"/>
          <w:sz w:val="24"/>
          <w:szCs w:val="24"/>
        </w:rPr>
        <w:t xml:space="preserve">le même temps, un coefficient de revalorisation de 3,5 a été accordé aux enseignants du supérieur et de 1,25 </w:t>
      </w:r>
      <w:r>
        <w:rPr>
          <w:rFonts w:ascii="Times New Roman" w:hAnsi="Times New Roman"/>
          <w:sz w:val="24"/>
          <w:szCs w:val="24"/>
        </w:rPr>
        <w:t xml:space="preserve">à appliquer progressivement </w:t>
      </w:r>
      <w:r w:rsidRPr="00F75022">
        <w:rPr>
          <w:rFonts w:ascii="Times New Roman" w:hAnsi="Times New Roman"/>
          <w:sz w:val="24"/>
          <w:szCs w:val="24"/>
        </w:rPr>
        <w:t xml:space="preserve">aux agents des autres administrations. </w:t>
      </w:r>
      <w:r>
        <w:rPr>
          <w:rFonts w:ascii="Times New Roman" w:hAnsi="Times New Roman"/>
          <w:sz w:val="24"/>
          <w:szCs w:val="24"/>
        </w:rPr>
        <w:t>Par ailleurs, la création de p</w:t>
      </w:r>
      <w:r w:rsidRPr="00F75022">
        <w:rPr>
          <w:rFonts w:ascii="Times New Roman" w:hAnsi="Times New Roman"/>
          <w:sz w:val="24"/>
          <w:szCs w:val="24"/>
        </w:rPr>
        <w:t xml:space="preserve">lusieurs primes </w:t>
      </w:r>
      <w:r>
        <w:rPr>
          <w:rFonts w:ascii="Times New Roman" w:hAnsi="Times New Roman"/>
          <w:sz w:val="24"/>
          <w:szCs w:val="24"/>
        </w:rPr>
        <w:t>a également contribué à l’augmentation de la masse salariale.</w:t>
      </w:r>
    </w:p>
    <w:p w:rsidR="00085EB0" w:rsidRDefault="00085EB0" w:rsidP="002E3BBE">
      <w:pPr>
        <w:spacing w:line="276" w:lineRule="auto"/>
        <w:rPr>
          <w:rFonts w:ascii="Times New Roman" w:hAnsi="Times New Roman"/>
          <w:sz w:val="24"/>
          <w:szCs w:val="24"/>
        </w:rPr>
      </w:pPr>
    </w:p>
    <w:p w:rsidR="00085EB0" w:rsidRDefault="00085EB0" w:rsidP="002E3BBE">
      <w:pPr>
        <w:spacing w:line="276" w:lineRule="auto"/>
        <w:rPr>
          <w:rFonts w:ascii="Times New Roman" w:hAnsi="Times New Roman"/>
          <w:sz w:val="24"/>
          <w:szCs w:val="24"/>
        </w:rPr>
      </w:pPr>
    </w:p>
    <w:p w:rsidR="00085EB0" w:rsidRDefault="00085EB0" w:rsidP="002E3BBE">
      <w:pPr>
        <w:spacing w:line="276" w:lineRule="auto"/>
        <w:rPr>
          <w:rFonts w:ascii="Times New Roman" w:hAnsi="Times New Roman"/>
          <w:sz w:val="24"/>
          <w:szCs w:val="24"/>
        </w:rPr>
      </w:pPr>
    </w:p>
    <w:p w:rsidR="002E3BBE" w:rsidRDefault="002E3BBE" w:rsidP="002E3BBE">
      <w:pPr>
        <w:spacing w:line="276" w:lineRule="auto"/>
        <w:rPr>
          <w:rFonts w:ascii="Times New Roman" w:hAnsi="Times New Roman"/>
          <w:sz w:val="24"/>
        </w:rPr>
      </w:pPr>
    </w:p>
    <w:tbl>
      <w:tblPr>
        <w:tblStyle w:val="Grilledutablea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9"/>
      </w:tblGrid>
      <w:tr w:rsidR="003D7288" w:rsidRPr="003D7288" w:rsidTr="003D7288">
        <w:tc>
          <w:tcPr>
            <w:tcW w:w="4305" w:type="dxa"/>
            <w:shd w:val="clear" w:color="auto" w:fill="92CDDC" w:themeFill="accent5" w:themeFillTint="99"/>
          </w:tcPr>
          <w:p w:rsidR="003D7288" w:rsidRPr="003D7288" w:rsidRDefault="003D7288" w:rsidP="003D7288">
            <w:pPr>
              <w:spacing w:before="120" w:after="120" w:line="240" w:lineRule="auto"/>
              <w:ind w:left="-57"/>
              <w:jc w:val="left"/>
              <w:rPr>
                <w:rFonts w:ascii="Times New Roman" w:hAnsi="Times New Roman"/>
                <w:noProof/>
                <w:sz w:val="24"/>
                <w:szCs w:val="24"/>
                <w:lang w:eastAsia="fr-FR"/>
              </w:rPr>
            </w:pPr>
            <w:bookmarkStart w:id="114" w:name="_Toc369726131"/>
            <w:bookmarkStart w:id="115" w:name="_Toc369726695"/>
            <w:bookmarkStart w:id="116" w:name="_Toc369728068"/>
            <w:r w:rsidRPr="003D7288">
              <w:rPr>
                <w:rFonts w:ascii="Times New Roman" w:hAnsi="Times New Roman"/>
                <w:sz w:val="24"/>
                <w:szCs w:val="24"/>
              </w:rPr>
              <w:t xml:space="preserve">Graphique 4. </w:t>
            </w:r>
            <w:r w:rsidR="00182C97" w:rsidRPr="003D7288">
              <w:rPr>
                <w:rFonts w:ascii="Times New Roman" w:hAnsi="Times New Roman"/>
                <w:sz w:val="24"/>
                <w:szCs w:val="24"/>
              </w:rPr>
              <w:fldChar w:fldCharType="begin"/>
            </w:r>
            <w:r w:rsidRPr="003D7288">
              <w:rPr>
                <w:rFonts w:ascii="Times New Roman" w:hAnsi="Times New Roman"/>
                <w:sz w:val="24"/>
                <w:szCs w:val="24"/>
              </w:rPr>
              <w:instrText xml:space="preserve"> SEQ Graphiaue_4. \* ARABIC </w:instrText>
            </w:r>
            <w:r w:rsidR="00182C97" w:rsidRPr="003D7288">
              <w:rPr>
                <w:rFonts w:ascii="Times New Roman" w:hAnsi="Times New Roman"/>
                <w:sz w:val="24"/>
                <w:szCs w:val="24"/>
              </w:rPr>
              <w:fldChar w:fldCharType="separate"/>
            </w:r>
            <w:r w:rsidR="00AB1967">
              <w:rPr>
                <w:rFonts w:ascii="Times New Roman" w:hAnsi="Times New Roman"/>
                <w:noProof/>
                <w:sz w:val="24"/>
                <w:szCs w:val="24"/>
              </w:rPr>
              <w:t>2</w:t>
            </w:r>
            <w:r w:rsidR="00182C97" w:rsidRPr="003D7288">
              <w:rPr>
                <w:rFonts w:ascii="Times New Roman" w:hAnsi="Times New Roman"/>
                <w:sz w:val="24"/>
                <w:szCs w:val="24"/>
              </w:rPr>
              <w:fldChar w:fldCharType="end"/>
            </w:r>
            <w:r w:rsidRPr="003D7288">
              <w:rPr>
                <w:rFonts w:ascii="Times New Roman" w:hAnsi="Times New Roman"/>
                <w:sz w:val="24"/>
                <w:szCs w:val="24"/>
              </w:rPr>
              <w:t>: Évolution du ratio de l’UEMOA sur la masse salariale (en %)</w:t>
            </w:r>
            <w:bookmarkEnd w:id="114"/>
            <w:bookmarkEnd w:id="115"/>
            <w:bookmarkEnd w:id="116"/>
          </w:p>
        </w:tc>
      </w:tr>
      <w:tr w:rsidR="00C464FF" w:rsidTr="003D7288">
        <w:tc>
          <w:tcPr>
            <w:tcW w:w="4305" w:type="dxa"/>
            <w:shd w:val="clear" w:color="auto" w:fill="DAEEF3" w:themeFill="accent5" w:themeFillTint="33"/>
          </w:tcPr>
          <w:p w:rsidR="00C464FF" w:rsidRDefault="00C464FF" w:rsidP="00C464FF">
            <w:pPr>
              <w:spacing w:before="120" w:after="120" w:line="240" w:lineRule="auto"/>
              <w:ind w:left="-57"/>
              <w:jc w:val="center"/>
            </w:pPr>
            <w:r w:rsidRPr="00FC3C4C">
              <w:rPr>
                <w:noProof/>
                <w:lang w:eastAsia="fr-FR"/>
              </w:rPr>
              <w:drawing>
                <wp:inline distT="0" distB="0" distL="0" distR="0" wp14:anchorId="2301B858" wp14:editId="1409D78C">
                  <wp:extent cx="5548373" cy="2743200"/>
                  <wp:effectExtent l="19050" t="0" r="14227" b="0"/>
                  <wp:docPr id="9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C464FF" w:rsidRPr="00E16B3C" w:rsidTr="003D7288">
        <w:trPr>
          <w:trHeight w:val="203"/>
        </w:trPr>
        <w:tc>
          <w:tcPr>
            <w:tcW w:w="4305" w:type="dxa"/>
            <w:shd w:val="clear" w:color="auto" w:fill="DAEEF3" w:themeFill="accent5" w:themeFillTint="33"/>
          </w:tcPr>
          <w:p w:rsidR="00C464FF" w:rsidRPr="00FC3C4C" w:rsidRDefault="00C464FF" w:rsidP="00C464FF">
            <w:pPr>
              <w:keepNext/>
              <w:keepLines/>
              <w:rPr>
                <w:rFonts w:ascii="Times New Roman" w:hAnsi="Times New Roman"/>
              </w:rPr>
            </w:pPr>
            <w:r>
              <w:rPr>
                <w:rFonts w:ascii="Times New Roman" w:hAnsi="Times New Roman"/>
              </w:rPr>
              <w:t>Source : MEF, juillet 2012</w:t>
            </w:r>
          </w:p>
        </w:tc>
      </w:tr>
    </w:tbl>
    <w:p w:rsidR="00C464FF" w:rsidRDefault="00C464FF" w:rsidP="00C464FF"/>
    <w:p w:rsidR="002E3BBE" w:rsidRDefault="002E3BBE" w:rsidP="002E3BBE">
      <w:pPr>
        <w:spacing w:line="276" w:lineRule="auto"/>
        <w:rPr>
          <w:rFonts w:ascii="Times New Roman" w:hAnsi="Times New Roman"/>
          <w:sz w:val="24"/>
        </w:rPr>
      </w:pPr>
      <w:r>
        <w:rPr>
          <w:rFonts w:ascii="Times New Roman" w:hAnsi="Times New Roman"/>
          <w:sz w:val="24"/>
        </w:rPr>
        <w:t>Selon l’analyse de viabilité de la dette réalisée par les services du FMI sur les données du Bénin, si</w:t>
      </w:r>
      <w:r w:rsidR="00C9734E">
        <w:rPr>
          <w:rFonts w:ascii="Times New Roman" w:hAnsi="Times New Roman"/>
          <w:sz w:val="24"/>
        </w:rPr>
        <w:t xml:space="preserve"> </w:t>
      </w:r>
      <w:r w:rsidRPr="00C37B1C">
        <w:rPr>
          <w:rFonts w:ascii="Times New Roman" w:hAnsi="Times New Roman"/>
          <w:sz w:val="24"/>
        </w:rPr>
        <w:t>la masse salariale continue d’augmenter au même rythme, elle compromettra gravement la viabilité des finances publiques et de la dette à moyen et à long terme</w:t>
      </w:r>
      <w:r>
        <w:rPr>
          <w:rFonts w:ascii="Times New Roman" w:hAnsi="Times New Roman"/>
          <w:sz w:val="24"/>
        </w:rPr>
        <w:t>s</w:t>
      </w:r>
      <w:r w:rsidRPr="00C37B1C">
        <w:rPr>
          <w:rFonts w:ascii="Times New Roman" w:hAnsi="Times New Roman"/>
          <w:sz w:val="24"/>
        </w:rPr>
        <w:t xml:space="preserve"> en générant des déficits budgétaires excessifs ou en évinçant l’investissement public, générateur de croissance</w:t>
      </w:r>
      <w:r>
        <w:rPr>
          <w:rFonts w:ascii="Times New Roman" w:hAnsi="Times New Roman"/>
          <w:sz w:val="24"/>
        </w:rPr>
        <w:t xml:space="preserve"> au Bénin</w:t>
      </w:r>
      <w:r w:rsidRPr="00C37B1C">
        <w:rPr>
          <w:rFonts w:ascii="Times New Roman" w:hAnsi="Times New Roman"/>
          <w:sz w:val="24"/>
        </w:rPr>
        <w:t> </w:t>
      </w:r>
      <w:r w:rsidRPr="00B44BE1">
        <w:rPr>
          <w:rFonts w:ascii="Times New Roman" w:hAnsi="Times New Roman"/>
          <w:sz w:val="24"/>
        </w:rPr>
        <w:t xml:space="preserve">: nette dégradation du solde budgétaire de plus de 10% du PIB à l’horizon 2015 et </w:t>
      </w:r>
      <w:r>
        <w:rPr>
          <w:rFonts w:ascii="Times New Roman" w:hAnsi="Times New Roman"/>
          <w:sz w:val="24"/>
        </w:rPr>
        <w:t>pourrait faire passer le</w:t>
      </w:r>
      <w:r w:rsidRPr="00B44BE1">
        <w:rPr>
          <w:rFonts w:ascii="Times New Roman" w:hAnsi="Times New Roman"/>
          <w:sz w:val="24"/>
        </w:rPr>
        <w:t xml:space="preserve"> Bénin du groupe des pays à risque modéré au groupe des pays à risque élevé de surendettement. </w:t>
      </w:r>
      <w:r>
        <w:rPr>
          <w:rFonts w:ascii="Times New Roman" w:hAnsi="Times New Roman"/>
          <w:sz w:val="24"/>
        </w:rPr>
        <w:t xml:space="preserve">Cependant, </w:t>
      </w:r>
      <w:r w:rsidRPr="00B44BE1">
        <w:rPr>
          <w:rFonts w:ascii="Times New Roman" w:hAnsi="Times New Roman"/>
          <w:sz w:val="24"/>
        </w:rPr>
        <w:t>une politique financière guidée par des objectifs de maintien de la viabilité de la dette, tenant compte de la croissance démographique et axée sur les Objectifs du Millénaire pour le Développement</w:t>
      </w:r>
      <w:r>
        <w:rPr>
          <w:rFonts w:ascii="Times New Roman" w:hAnsi="Times New Roman"/>
          <w:sz w:val="24"/>
        </w:rPr>
        <w:t xml:space="preserve"> (OMD)</w:t>
      </w:r>
      <w:r w:rsidRPr="00B44BE1">
        <w:rPr>
          <w:rFonts w:ascii="Times New Roman" w:hAnsi="Times New Roman"/>
          <w:sz w:val="24"/>
        </w:rPr>
        <w:t>, ne laissera que peu d’espace pour une hausse des salaires réels de la fonction publique</w:t>
      </w:r>
      <w:r w:rsidR="007367AB">
        <w:rPr>
          <w:rFonts w:ascii="Times New Roman" w:hAnsi="Times New Roman"/>
          <w:sz w:val="24"/>
        </w:rPr>
        <w:t>,</w:t>
      </w:r>
      <w:r>
        <w:rPr>
          <w:rFonts w:ascii="Times New Roman" w:hAnsi="Times New Roman"/>
          <w:sz w:val="24"/>
        </w:rPr>
        <w:t xml:space="preserve"> toutes choses égales par ailleurs</w:t>
      </w:r>
      <w:r w:rsidRPr="00B44BE1">
        <w:rPr>
          <w:rFonts w:ascii="Times New Roman" w:hAnsi="Times New Roman"/>
          <w:sz w:val="24"/>
        </w:rPr>
        <w:t>. De même, le respect des critères de convergence de l’UEMOA à moyen terme nécessitera un arbitrage entre le nombre de fonctionnaires et l’a</w:t>
      </w:r>
      <w:r>
        <w:rPr>
          <w:rFonts w:ascii="Times New Roman" w:hAnsi="Times New Roman"/>
          <w:sz w:val="24"/>
        </w:rPr>
        <w:t>ugmentation des salaires réels :</w:t>
      </w:r>
      <w:r w:rsidRPr="00C37B1C">
        <w:rPr>
          <w:rFonts w:ascii="Times New Roman" w:hAnsi="Times New Roman"/>
          <w:sz w:val="24"/>
        </w:rPr>
        <w:t>(i) soit diminuer les effectifs de 17% d’ici à 2015 si les salaires moyens continuent à augmenter comme les années précédentes ; (ii) soit limiter l’augmentation des salaires moyens à 3,0% par an d’ici à 2015 si l’effectif des fonctionnaires devrait rester constant</w:t>
      </w:r>
      <w:r>
        <w:rPr>
          <w:rFonts w:ascii="Times New Roman" w:hAnsi="Times New Roman"/>
          <w:sz w:val="24"/>
        </w:rPr>
        <w:t xml:space="preserve"> (FMI, 2010)</w:t>
      </w:r>
      <w:r w:rsidRPr="00C37B1C">
        <w:rPr>
          <w:rFonts w:ascii="Times New Roman" w:hAnsi="Times New Roman"/>
          <w:sz w:val="24"/>
        </w:rPr>
        <w:t>.</w:t>
      </w:r>
    </w:p>
    <w:p w:rsidR="002E3BBE" w:rsidRPr="00B44BE1" w:rsidRDefault="002E3BBE" w:rsidP="002E3BBE">
      <w:pPr>
        <w:spacing w:line="276" w:lineRule="auto"/>
        <w:rPr>
          <w:rFonts w:ascii="Times New Roman" w:hAnsi="Times New Roman"/>
          <w:sz w:val="24"/>
        </w:rPr>
      </w:pPr>
    </w:p>
    <w:p w:rsidR="002E3BBE" w:rsidRDefault="002E3BBE" w:rsidP="002E3BBE">
      <w:pPr>
        <w:pStyle w:val="T511"/>
        <w:numPr>
          <w:ilvl w:val="0"/>
          <w:numId w:val="0"/>
        </w:numPr>
        <w:spacing w:after="0"/>
      </w:pPr>
      <w:r>
        <w:t>Classification fonctionnelle des dépenses publiques</w:t>
      </w:r>
      <w:r w:rsidRPr="00A80DED">
        <w:t>. L’examen du Cadre de Dépenses à Moyen Terme (CDMT) montre qu’en moyenne 27% du budget global de l’État est affecté aux dépenses non prioritaires sur la période 2007 – 2009 alors que la SCRP n’avait prévu que 20%</w:t>
      </w:r>
      <w:r w:rsidRPr="00813CDE">
        <w:rPr>
          <w:b w:val="0"/>
        </w:rPr>
        <w:t>. Cette augmentation des ressources accordées aux secteurs non prioritaires s’est faite, en partie, au détriment des secteurs sociaux (éducation et santé) et des infrastructures productives (travaux publics, énergies et mines).</w:t>
      </w:r>
    </w:p>
    <w:p w:rsidR="002E3BBE" w:rsidRPr="00CB197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r w:rsidRPr="00CB197E">
        <w:rPr>
          <w:rFonts w:ascii="Times New Roman" w:hAnsi="Times New Roman"/>
          <w:sz w:val="24"/>
        </w:rPr>
        <w:t xml:space="preserve">Cependant, la part des ressources allouées au volet « production et commerce » est restée globalement bien orientée au cours de la période, reflétant </w:t>
      </w:r>
      <w:r>
        <w:rPr>
          <w:rFonts w:ascii="Times New Roman" w:hAnsi="Times New Roman"/>
          <w:sz w:val="24"/>
        </w:rPr>
        <w:t xml:space="preserve">ainsi </w:t>
      </w:r>
      <w:r w:rsidRPr="00CB197E">
        <w:rPr>
          <w:rFonts w:ascii="Times New Roman" w:hAnsi="Times New Roman"/>
          <w:sz w:val="24"/>
        </w:rPr>
        <w:t xml:space="preserve">les efforts déployés par le Gouvernement pour améliorer la production vivrière face à la crise alimentaire </w:t>
      </w:r>
      <w:r>
        <w:rPr>
          <w:rFonts w:ascii="Times New Roman" w:hAnsi="Times New Roman"/>
          <w:sz w:val="24"/>
        </w:rPr>
        <w:t xml:space="preserve">avec la mise en œuvre du Programme d’Urgence d’Appui à la Sécurité Alimentaire </w:t>
      </w:r>
      <w:r w:rsidRPr="00CB197E">
        <w:rPr>
          <w:rFonts w:ascii="Times New Roman" w:hAnsi="Times New Roman"/>
          <w:sz w:val="24"/>
        </w:rPr>
        <w:t>(PUASA</w:t>
      </w:r>
      <w:r>
        <w:rPr>
          <w:rFonts w:ascii="Times New Roman" w:hAnsi="Times New Roman"/>
          <w:sz w:val="24"/>
        </w:rPr>
        <w:t xml:space="preserve">) et le </w:t>
      </w:r>
      <w:r w:rsidRPr="00CB197E">
        <w:rPr>
          <w:rFonts w:ascii="Times New Roman" w:hAnsi="Times New Roman"/>
          <w:sz w:val="24"/>
        </w:rPr>
        <w:t>Pro</w:t>
      </w:r>
      <w:r>
        <w:rPr>
          <w:rFonts w:ascii="Times New Roman" w:hAnsi="Times New Roman"/>
          <w:sz w:val="24"/>
        </w:rPr>
        <w:t>gramme de mécanisation agricole en 2008</w:t>
      </w:r>
      <w:r w:rsidRPr="00CB197E">
        <w:rPr>
          <w:rFonts w:ascii="Times New Roman" w:hAnsi="Times New Roman"/>
          <w:sz w:val="24"/>
        </w:rPr>
        <w:t>, et pour développer l’octroi des microcrédits aux plus pauvres (programme MCPP)</w:t>
      </w:r>
      <w:r>
        <w:rPr>
          <w:rFonts w:ascii="Times New Roman" w:hAnsi="Times New Roman"/>
          <w:sz w:val="24"/>
        </w:rPr>
        <w:t>.</w:t>
      </w:r>
    </w:p>
    <w:p w:rsidR="00D433D8" w:rsidRDefault="00D433D8" w:rsidP="002E3BBE">
      <w:pPr>
        <w:spacing w:line="276" w:lineRule="auto"/>
        <w:rPr>
          <w:rFonts w:ascii="Times New Roman" w:hAnsi="Times New Roman"/>
          <w:sz w:val="24"/>
        </w:rPr>
      </w:pPr>
    </w:p>
    <w:tbl>
      <w:tblPr>
        <w:tblStyle w:val="Grilleclaire-Accent6"/>
        <w:tblW w:w="5000" w:type="pct"/>
        <w:tblLook w:val="04A0" w:firstRow="1" w:lastRow="0" w:firstColumn="1" w:lastColumn="0" w:noHBand="0" w:noVBand="1"/>
      </w:tblPr>
      <w:tblGrid>
        <w:gridCol w:w="3877"/>
        <w:gridCol w:w="900"/>
        <w:gridCol w:w="903"/>
        <w:gridCol w:w="901"/>
        <w:gridCol w:w="903"/>
        <w:gridCol w:w="901"/>
        <w:gridCol w:w="901"/>
      </w:tblGrid>
      <w:tr w:rsidR="0071216E" w:rsidRPr="00C26AB2" w:rsidTr="0071216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left w:val="nil"/>
              <w:bottom w:val="double" w:sz="6" w:space="0" w:color="auto"/>
              <w:right w:val="nil"/>
            </w:tcBorders>
            <w:shd w:val="clear" w:color="auto" w:fill="92CDDC" w:themeFill="accent5" w:themeFillTint="99"/>
            <w:noWrap/>
            <w:vAlign w:val="center"/>
            <w:hideMark/>
          </w:tcPr>
          <w:p w:rsidR="0071216E" w:rsidRPr="0071216E" w:rsidRDefault="0071216E" w:rsidP="0071216E">
            <w:pPr>
              <w:jc w:val="left"/>
              <w:rPr>
                <w:rFonts w:ascii="Times New Roman" w:eastAsia="Times New Roman" w:hAnsi="Times New Roman"/>
                <w:color w:val="000000"/>
                <w:sz w:val="24"/>
                <w:szCs w:val="24"/>
                <w:lang w:val="fr-FR" w:eastAsia="fr-FR"/>
              </w:rPr>
            </w:pPr>
            <w:bookmarkStart w:id="117" w:name="_Toc363421451"/>
            <w:bookmarkStart w:id="118" w:name="_Toc369714615"/>
            <w:bookmarkStart w:id="119" w:name="_Toc369720635"/>
            <w:r w:rsidRPr="0071216E">
              <w:rPr>
                <w:rFonts w:ascii="Times New Roman" w:hAnsi="Times New Roman"/>
                <w:b w:val="0"/>
                <w:sz w:val="24"/>
                <w:szCs w:val="24"/>
                <w:lang w:val="fr-FR"/>
              </w:rPr>
              <w:t>Tableau 4.</w:t>
            </w:r>
            <w:r w:rsidR="00182C97" w:rsidRPr="0071216E">
              <w:rPr>
                <w:rFonts w:ascii="Times New Roman" w:hAnsi="Times New Roman"/>
                <w:sz w:val="24"/>
                <w:szCs w:val="24"/>
              </w:rPr>
              <w:fldChar w:fldCharType="begin"/>
            </w:r>
            <w:r w:rsidRPr="0071216E">
              <w:rPr>
                <w:rFonts w:ascii="Times New Roman" w:hAnsi="Times New Roman"/>
                <w:b w:val="0"/>
                <w:sz w:val="24"/>
                <w:szCs w:val="24"/>
                <w:lang w:val="fr-FR"/>
              </w:rPr>
              <w:instrText xml:space="preserve"> SEQ Tableau_4. \* ARABIC </w:instrText>
            </w:r>
            <w:r w:rsidR="00182C97" w:rsidRPr="0071216E">
              <w:rPr>
                <w:rFonts w:ascii="Times New Roman" w:hAnsi="Times New Roman"/>
                <w:sz w:val="24"/>
                <w:szCs w:val="24"/>
              </w:rPr>
              <w:fldChar w:fldCharType="separate"/>
            </w:r>
            <w:r w:rsidR="00AB1967">
              <w:rPr>
                <w:rFonts w:ascii="Times New Roman" w:hAnsi="Times New Roman"/>
                <w:b w:val="0"/>
                <w:noProof/>
                <w:sz w:val="24"/>
                <w:szCs w:val="24"/>
                <w:lang w:val="fr-FR"/>
              </w:rPr>
              <w:t>1</w:t>
            </w:r>
            <w:r w:rsidR="00182C97" w:rsidRPr="0071216E">
              <w:rPr>
                <w:rFonts w:ascii="Times New Roman" w:hAnsi="Times New Roman"/>
                <w:sz w:val="24"/>
                <w:szCs w:val="24"/>
              </w:rPr>
              <w:fldChar w:fldCharType="end"/>
            </w:r>
            <w:r w:rsidRPr="0071216E">
              <w:rPr>
                <w:rFonts w:ascii="Times New Roman" w:hAnsi="Times New Roman"/>
                <w:b w:val="0"/>
                <w:sz w:val="24"/>
                <w:szCs w:val="24"/>
                <w:lang w:val="fr-FR"/>
              </w:rPr>
              <w:t>: CDMT de la SCRP 2</w:t>
            </w:r>
            <w:bookmarkEnd w:id="117"/>
            <w:bookmarkEnd w:id="118"/>
            <w:bookmarkEnd w:id="119"/>
            <w:r w:rsidRPr="0071216E">
              <w:rPr>
                <w:rFonts w:ascii="Times New Roman" w:hAnsi="Times New Roman"/>
                <w:b w:val="0"/>
                <w:sz w:val="24"/>
                <w:szCs w:val="24"/>
                <w:lang w:val="fr-FR"/>
              </w:rPr>
              <w:t xml:space="preserve"> (%)</w:t>
            </w:r>
          </w:p>
        </w:tc>
      </w:tr>
      <w:tr w:rsidR="00C464FF" w:rsidRPr="00C26AB2" w:rsidTr="007121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vMerge w:val="restart"/>
            <w:tcBorders>
              <w:top w:val="double" w:sz="6" w:space="0" w:color="auto"/>
              <w:left w:val="nil"/>
              <w:bottom w:val="nil"/>
              <w:right w:val="nil"/>
            </w:tcBorders>
            <w:shd w:val="clear" w:color="auto" w:fill="DAEEF3" w:themeFill="accent5" w:themeFillTint="33"/>
            <w:noWrap/>
            <w:vAlign w:val="center"/>
            <w:hideMark/>
          </w:tcPr>
          <w:p w:rsidR="00C464FF" w:rsidRPr="00C26AB2" w:rsidRDefault="00C464FF" w:rsidP="00C464FF">
            <w:pPr>
              <w:jc w:val="center"/>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I</w:t>
            </w:r>
            <w:r w:rsidR="00BB665E" w:rsidRPr="00BB665E">
              <w:rPr>
                <w:rFonts w:ascii="Times New Roman" w:eastAsia="Times New Roman" w:hAnsi="Times New Roman"/>
                <w:color w:val="000000"/>
                <w:sz w:val="24"/>
                <w:szCs w:val="24"/>
                <w:lang w:eastAsia="fr-FR"/>
              </w:rPr>
              <w:t>ndicateurs</w:t>
            </w:r>
          </w:p>
        </w:tc>
        <w:tc>
          <w:tcPr>
            <w:tcW w:w="971" w:type="pct"/>
            <w:gridSpan w:val="2"/>
            <w:tcBorders>
              <w:top w:val="double" w:sz="6" w:space="0" w:color="auto"/>
              <w:left w:val="nil"/>
              <w:bottom w:val="single" w:sz="8" w:space="0" w:color="auto"/>
              <w:right w:val="nil"/>
            </w:tcBorders>
            <w:shd w:val="clear" w:color="auto" w:fill="DAEEF3" w:themeFill="accent5" w:themeFillTint="33"/>
            <w:noWrap/>
            <w:hideMark/>
          </w:tcPr>
          <w:p w:rsidR="00C464FF" w:rsidRPr="00C26AB2" w:rsidRDefault="00C464FF" w:rsidP="00C464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2007</w:t>
            </w:r>
          </w:p>
        </w:tc>
        <w:tc>
          <w:tcPr>
            <w:tcW w:w="971" w:type="pct"/>
            <w:gridSpan w:val="2"/>
            <w:tcBorders>
              <w:top w:val="double" w:sz="6" w:space="0" w:color="auto"/>
              <w:left w:val="nil"/>
              <w:bottom w:val="single" w:sz="8" w:space="0" w:color="auto"/>
              <w:right w:val="nil"/>
            </w:tcBorders>
            <w:shd w:val="clear" w:color="auto" w:fill="DAEEF3" w:themeFill="accent5" w:themeFillTint="33"/>
            <w:noWrap/>
            <w:hideMark/>
          </w:tcPr>
          <w:p w:rsidR="00C464FF" w:rsidRPr="00C26AB2" w:rsidRDefault="00C464FF" w:rsidP="00C464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2008</w:t>
            </w:r>
          </w:p>
        </w:tc>
        <w:tc>
          <w:tcPr>
            <w:tcW w:w="970" w:type="pct"/>
            <w:gridSpan w:val="2"/>
            <w:tcBorders>
              <w:top w:val="double" w:sz="6" w:space="0" w:color="auto"/>
              <w:left w:val="nil"/>
              <w:bottom w:val="single" w:sz="8" w:space="0" w:color="auto"/>
              <w:right w:val="nil"/>
            </w:tcBorders>
            <w:shd w:val="clear" w:color="auto" w:fill="DAEEF3" w:themeFill="accent5" w:themeFillTint="33"/>
            <w:noWrap/>
            <w:hideMark/>
          </w:tcPr>
          <w:p w:rsidR="00C464FF" w:rsidRPr="00C26AB2" w:rsidRDefault="00C464FF" w:rsidP="00C464F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2009</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vMerge/>
            <w:tcBorders>
              <w:top w:val="nil"/>
              <w:left w:val="nil"/>
              <w:bottom w:val="single" w:sz="8" w:space="0" w:color="auto"/>
              <w:right w:val="nil"/>
            </w:tcBorders>
            <w:shd w:val="clear" w:color="auto" w:fill="DAEEF3" w:themeFill="accent5" w:themeFillTint="33"/>
            <w:hideMark/>
          </w:tcPr>
          <w:p w:rsidR="00C464FF" w:rsidRPr="00C26AB2" w:rsidRDefault="00C464FF" w:rsidP="00C464FF">
            <w:pPr>
              <w:rPr>
                <w:rFonts w:ascii="Times New Roman" w:eastAsia="Times New Roman" w:hAnsi="Times New Roman"/>
                <w:b w:val="0"/>
                <w:color w:val="000000"/>
                <w:sz w:val="24"/>
                <w:szCs w:val="24"/>
                <w:lang w:eastAsia="fr-FR"/>
              </w:rPr>
            </w:pPr>
          </w:p>
        </w:tc>
        <w:tc>
          <w:tcPr>
            <w:tcW w:w="485" w:type="pct"/>
            <w:tcBorders>
              <w:top w:val="nil"/>
              <w:left w:val="nil"/>
              <w:bottom w:val="single" w:sz="8" w:space="0" w:color="auto"/>
              <w:right w:val="nil"/>
            </w:tcBorders>
            <w:shd w:val="clear" w:color="auto" w:fill="DAEEF3" w:themeFill="accent5" w:themeFillTint="33"/>
            <w:noWrap/>
            <w:hideMark/>
          </w:tcPr>
          <w:p w:rsidR="00C464FF" w:rsidRPr="00C26AB2" w:rsidRDefault="00C464FF" w:rsidP="00C464F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color w:val="000000"/>
                <w:sz w:val="24"/>
                <w:szCs w:val="24"/>
                <w:lang w:eastAsia="fr-FR"/>
              </w:rPr>
            </w:pPr>
            <w:r w:rsidRPr="00C26AB2">
              <w:rPr>
                <w:rFonts w:ascii="Times New Roman" w:eastAsia="Times New Roman" w:hAnsi="Times New Roman"/>
                <w:b/>
                <w:color w:val="000000"/>
                <w:sz w:val="24"/>
                <w:szCs w:val="24"/>
                <w:lang w:eastAsia="fr-FR"/>
              </w:rPr>
              <w:t>Prév.</w:t>
            </w:r>
          </w:p>
        </w:tc>
        <w:tc>
          <w:tcPr>
            <w:tcW w:w="486" w:type="pct"/>
            <w:tcBorders>
              <w:top w:val="nil"/>
              <w:left w:val="nil"/>
              <w:bottom w:val="single" w:sz="8" w:space="0" w:color="auto"/>
              <w:right w:val="nil"/>
            </w:tcBorders>
            <w:shd w:val="clear" w:color="auto" w:fill="DAEEF3" w:themeFill="accent5" w:themeFillTint="33"/>
            <w:noWrap/>
            <w:hideMark/>
          </w:tcPr>
          <w:p w:rsidR="00C464FF" w:rsidRPr="00C26AB2" w:rsidRDefault="00C464FF" w:rsidP="00C464F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color w:val="000000"/>
                <w:sz w:val="24"/>
                <w:szCs w:val="24"/>
                <w:lang w:eastAsia="fr-FR"/>
              </w:rPr>
            </w:pPr>
            <w:r w:rsidRPr="00C26AB2">
              <w:rPr>
                <w:rFonts w:ascii="Times New Roman" w:eastAsia="Times New Roman" w:hAnsi="Times New Roman"/>
                <w:b/>
                <w:color w:val="000000"/>
                <w:sz w:val="24"/>
                <w:szCs w:val="24"/>
                <w:lang w:eastAsia="fr-FR"/>
              </w:rPr>
              <w:t>Réal.</w:t>
            </w:r>
          </w:p>
        </w:tc>
        <w:tc>
          <w:tcPr>
            <w:tcW w:w="485" w:type="pct"/>
            <w:tcBorders>
              <w:top w:val="nil"/>
              <w:left w:val="nil"/>
              <w:bottom w:val="single" w:sz="8" w:space="0" w:color="auto"/>
              <w:right w:val="nil"/>
            </w:tcBorders>
            <w:shd w:val="clear" w:color="auto" w:fill="DAEEF3" w:themeFill="accent5" w:themeFillTint="33"/>
            <w:noWrap/>
            <w:hideMark/>
          </w:tcPr>
          <w:p w:rsidR="00C464FF" w:rsidRPr="00C26AB2" w:rsidRDefault="00C464FF" w:rsidP="00C464F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color w:val="000000"/>
                <w:sz w:val="24"/>
                <w:szCs w:val="24"/>
                <w:lang w:eastAsia="fr-FR"/>
              </w:rPr>
            </w:pPr>
            <w:r w:rsidRPr="00C26AB2">
              <w:rPr>
                <w:rFonts w:ascii="Times New Roman" w:eastAsia="Times New Roman" w:hAnsi="Times New Roman"/>
                <w:b/>
                <w:color w:val="000000"/>
                <w:sz w:val="24"/>
                <w:szCs w:val="24"/>
                <w:lang w:eastAsia="fr-FR"/>
              </w:rPr>
              <w:t>Prév.</w:t>
            </w:r>
          </w:p>
        </w:tc>
        <w:tc>
          <w:tcPr>
            <w:tcW w:w="486" w:type="pct"/>
            <w:tcBorders>
              <w:top w:val="nil"/>
              <w:left w:val="nil"/>
              <w:bottom w:val="single" w:sz="8" w:space="0" w:color="auto"/>
              <w:right w:val="nil"/>
            </w:tcBorders>
            <w:shd w:val="clear" w:color="auto" w:fill="DAEEF3" w:themeFill="accent5" w:themeFillTint="33"/>
            <w:noWrap/>
            <w:hideMark/>
          </w:tcPr>
          <w:p w:rsidR="00C464FF" w:rsidRPr="00C26AB2" w:rsidRDefault="00C464FF" w:rsidP="00C464F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color w:val="000000"/>
                <w:sz w:val="24"/>
                <w:szCs w:val="24"/>
                <w:lang w:eastAsia="fr-FR"/>
              </w:rPr>
            </w:pPr>
            <w:r w:rsidRPr="00C26AB2">
              <w:rPr>
                <w:rFonts w:ascii="Times New Roman" w:eastAsia="Times New Roman" w:hAnsi="Times New Roman"/>
                <w:b/>
                <w:color w:val="000000"/>
                <w:sz w:val="24"/>
                <w:szCs w:val="24"/>
                <w:lang w:eastAsia="fr-FR"/>
              </w:rPr>
              <w:t>Réal.</w:t>
            </w:r>
          </w:p>
        </w:tc>
        <w:tc>
          <w:tcPr>
            <w:tcW w:w="485" w:type="pct"/>
            <w:tcBorders>
              <w:top w:val="nil"/>
              <w:left w:val="nil"/>
              <w:bottom w:val="single" w:sz="8" w:space="0" w:color="auto"/>
              <w:right w:val="nil"/>
            </w:tcBorders>
            <w:shd w:val="clear" w:color="auto" w:fill="DAEEF3" w:themeFill="accent5" w:themeFillTint="33"/>
            <w:noWrap/>
            <w:hideMark/>
          </w:tcPr>
          <w:p w:rsidR="00C464FF" w:rsidRPr="00C26AB2" w:rsidRDefault="00C464FF" w:rsidP="00C464F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color w:val="000000"/>
                <w:sz w:val="24"/>
                <w:szCs w:val="24"/>
                <w:lang w:eastAsia="fr-FR"/>
              </w:rPr>
            </w:pPr>
            <w:r w:rsidRPr="00C26AB2">
              <w:rPr>
                <w:rFonts w:ascii="Times New Roman" w:eastAsia="Times New Roman" w:hAnsi="Times New Roman"/>
                <w:b/>
                <w:color w:val="000000"/>
                <w:sz w:val="24"/>
                <w:szCs w:val="24"/>
                <w:lang w:eastAsia="fr-FR"/>
              </w:rPr>
              <w:t>Prév.</w:t>
            </w:r>
          </w:p>
        </w:tc>
        <w:tc>
          <w:tcPr>
            <w:tcW w:w="485" w:type="pct"/>
            <w:tcBorders>
              <w:top w:val="nil"/>
              <w:left w:val="nil"/>
              <w:bottom w:val="single" w:sz="8" w:space="0" w:color="auto"/>
              <w:right w:val="nil"/>
            </w:tcBorders>
            <w:shd w:val="clear" w:color="auto" w:fill="DAEEF3" w:themeFill="accent5" w:themeFillTint="33"/>
            <w:noWrap/>
            <w:hideMark/>
          </w:tcPr>
          <w:p w:rsidR="00C464FF" w:rsidRPr="00C26AB2" w:rsidRDefault="00C464FF" w:rsidP="00C464F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color w:val="000000"/>
                <w:sz w:val="24"/>
                <w:szCs w:val="24"/>
                <w:lang w:eastAsia="fr-FR"/>
              </w:rPr>
            </w:pPr>
            <w:r w:rsidRPr="00C26AB2">
              <w:rPr>
                <w:rFonts w:ascii="Times New Roman" w:eastAsia="Times New Roman" w:hAnsi="Times New Roman"/>
                <w:b/>
                <w:color w:val="000000"/>
                <w:sz w:val="24"/>
                <w:szCs w:val="24"/>
                <w:lang w:eastAsia="fr-FR"/>
              </w:rPr>
              <w:t>Réal.</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SecteursSociaux</w:t>
            </w:r>
          </w:p>
        </w:tc>
        <w:tc>
          <w:tcPr>
            <w:tcW w:w="485"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30,6</w:t>
            </w:r>
          </w:p>
        </w:tc>
        <w:tc>
          <w:tcPr>
            <w:tcW w:w="486"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23,6</w:t>
            </w:r>
          </w:p>
        </w:tc>
        <w:tc>
          <w:tcPr>
            <w:tcW w:w="485"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30,7</w:t>
            </w:r>
          </w:p>
        </w:tc>
        <w:tc>
          <w:tcPr>
            <w:tcW w:w="486"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25,9</w:t>
            </w:r>
          </w:p>
        </w:tc>
        <w:tc>
          <w:tcPr>
            <w:tcW w:w="485"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31,2</w:t>
            </w:r>
          </w:p>
        </w:tc>
        <w:tc>
          <w:tcPr>
            <w:tcW w:w="485" w:type="pct"/>
            <w:tcBorders>
              <w:top w:val="single" w:sz="8" w:space="0" w:color="auto"/>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26,8</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Education</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19,7</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15,5</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19,7</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18,2</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19,3</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18,3</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Santé</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9,1</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6,4</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9,2</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6,6</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10,1</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6,6</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Développement Social et Culturel</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1,8</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1,7</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1,8</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1,1</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Production et commerce</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8,5</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8,7</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8,3</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11,6</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9,1</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9,3</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Infrastructures Productives</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19,5</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18,9</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21,7</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15,9</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23,0</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15,3</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Gouvernance</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8,7</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8,2</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8,0</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8,1</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7,5</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7,5</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Politique</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3,4</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2,8</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3,2</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2,7</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3,2</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3,2</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Economique</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5,3</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5,5</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4,8</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5,4</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4,3</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4,3</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Défense et Sécurité</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8,0</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8,3</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7,5</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8,9</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6,6</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8,9</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Souveraineté</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3,8</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3,6</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3,6</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3,7</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3,5</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4,0</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Total Ministères et Institutions</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79,1</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71,4</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79,9</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74,1</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80,9</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71,9</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Autres Budgets</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20,9</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28,6</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20,1</w:t>
            </w:r>
          </w:p>
        </w:tc>
        <w:tc>
          <w:tcPr>
            <w:tcW w:w="486"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25,9</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19,1</w:t>
            </w:r>
          </w:p>
        </w:tc>
        <w:tc>
          <w:tcPr>
            <w:tcW w:w="485" w:type="pct"/>
            <w:tcBorders>
              <w:top w:val="nil"/>
              <w:left w:val="nil"/>
              <w:bottom w:val="nil"/>
              <w:right w:val="nil"/>
            </w:tcBorders>
            <w:shd w:val="clear" w:color="auto" w:fill="DAEEF3" w:themeFill="accent5" w:themeFillTint="33"/>
            <w:noWrap/>
            <w:hideMark/>
          </w:tcPr>
          <w:p w:rsidR="00C464FF" w:rsidRPr="00C26AB2" w:rsidRDefault="00C464FF" w:rsidP="00C464F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28,1</w:t>
            </w:r>
          </w:p>
        </w:tc>
      </w:tr>
      <w:tr w:rsidR="00C464FF" w:rsidRPr="00C26AB2" w:rsidTr="00C464FF">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88"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rPr>
                <w:rFonts w:ascii="Times New Roman" w:eastAsia="Times New Roman" w:hAnsi="Times New Roman"/>
                <w:b w:val="0"/>
                <w:color w:val="000000"/>
                <w:sz w:val="24"/>
                <w:szCs w:val="24"/>
                <w:lang w:eastAsia="fr-FR"/>
              </w:rPr>
            </w:pPr>
            <w:r w:rsidRPr="00C26AB2">
              <w:rPr>
                <w:rFonts w:ascii="Times New Roman" w:eastAsia="Times New Roman" w:hAnsi="Times New Roman"/>
                <w:b w:val="0"/>
                <w:color w:val="000000"/>
                <w:sz w:val="24"/>
                <w:szCs w:val="24"/>
                <w:lang w:eastAsia="fr-FR"/>
              </w:rPr>
              <w:t>Total Budget</w:t>
            </w:r>
          </w:p>
        </w:tc>
        <w:tc>
          <w:tcPr>
            <w:tcW w:w="485"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100</w:t>
            </w:r>
          </w:p>
        </w:tc>
        <w:tc>
          <w:tcPr>
            <w:tcW w:w="486"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100</w:t>
            </w:r>
          </w:p>
        </w:tc>
        <w:tc>
          <w:tcPr>
            <w:tcW w:w="485"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100</w:t>
            </w:r>
          </w:p>
        </w:tc>
        <w:tc>
          <w:tcPr>
            <w:tcW w:w="486"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100</w:t>
            </w:r>
          </w:p>
        </w:tc>
        <w:tc>
          <w:tcPr>
            <w:tcW w:w="485"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100</w:t>
            </w:r>
          </w:p>
        </w:tc>
        <w:tc>
          <w:tcPr>
            <w:tcW w:w="485" w:type="pct"/>
            <w:tcBorders>
              <w:top w:val="nil"/>
              <w:left w:val="nil"/>
              <w:bottom w:val="double" w:sz="6" w:space="0" w:color="auto"/>
              <w:right w:val="nil"/>
            </w:tcBorders>
            <w:shd w:val="clear" w:color="auto" w:fill="DAEEF3" w:themeFill="accent5" w:themeFillTint="33"/>
            <w:noWrap/>
            <w:hideMark/>
          </w:tcPr>
          <w:p w:rsidR="00C464FF" w:rsidRPr="00C26AB2" w:rsidRDefault="00C464FF" w:rsidP="00C464FF">
            <w:pPr>
              <w:spacing w:line="276" w:lineRule="auto"/>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26AB2">
              <w:rPr>
                <w:rFonts w:ascii="Times New Roman" w:eastAsia="Times New Roman" w:hAnsi="Times New Roman"/>
                <w:color w:val="000000"/>
                <w:sz w:val="24"/>
                <w:szCs w:val="24"/>
                <w:lang w:eastAsia="fr-FR"/>
              </w:rPr>
              <w:t>100</w:t>
            </w:r>
          </w:p>
        </w:tc>
      </w:tr>
      <w:tr w:rsidR="00C464FF" w:rsidRPr="00C26AB2" w:rsidTr="00C464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7"/>
            <w:tcBorders>
              <w:top w:val="double" w:sz="6" w:space="0" w:color="auto"/>
              <w:left w:val="nil"/>
              <w:bottom w:val="nil"/>
              <w:right w:val="nil"/>
            </w:tcBorders>
            <w:shd w:val="clear" w:color="auto" w:fill="DAEEF3" w:themeFill="accent5" w:themeFillTint="33"/>
            <w:noWrap/>
            <w:hideMark/>
          </w:tcPr>
          <w:p w:rsidR="00C464FF" w:rsidRPr="00C26AB2" w:rsidRDefault="00C464FF" w:rsidP="00C464FF">
            <w:pPr>
              <w:keepNext/>
              <w:keepLines/>
              <w:spacing w:line="276" w:lineRule="auto"/>
              <w:rPr>
                <w:rFonts w:ascii="Times New Roman" w:hAnsi="Times New Roman"/>
                <w:b w:val="0"/>
                <w:sz w:val="20"/>
                <w:szCs w:val="20"/>
                <w:lang w:val="fr-FR"/>
              </w:rPr>
            </w:pPr>
            <w:r w:rsidRPr="00C26AB2">
              <w:rPr>
                <w:rFonts w:ascii="Times New Roman" w:hAnsi="Times New Roman"/>
                <w:b w:val="0"/>
                <w:sz w:val="20"/>
                <w:szCs w:val="20"/>
                <w:lang w:val="fr-FR"/>
              </w:rPr>
              <w:t>Source : Rapport d’avancement 2009 de la SCRP2, juin 2010</w:t>
            </w:r>
          </w:p>
        </w:tc>
      </w:tr>
    </w:tbl>
    <w:p w:rsidR="00C464FF" w:rsidRDefault="00C464FF" w:rsidP="00C464FF">
      <w:pPr>
        <w:spacing w:line="276" w:lineRule="auto"/>
        <w:rPr>
          <w:rFonts w:ascii="Times New Roman" w:hAnsi="Times New Roman"/>
          <w:sz w:val="24"/>
        </w:rPr>
      </w:pPr>
    </w:p>
    <w:p w:rsidR="00C464FF" w:rsidRDefault="00C464FF"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r w:rsidRPr="00CB197E">
        <w:rPr>
          <w:rFonts w:ascii="Times New Roman" w:hAnsi="Times New Roman"/>
          <w:sz w:val="24"/>
        </w:rPr>
        <w:t xml:space="preserve">S’agissant de l’exécution du budget dans les secteurs </w:t>
      </w:r>
      <w:r>
        <w:rPr>
          <w:rFonts w:ascii="Times New Roman" w:hAnsi="Times New Roman"/>
          <w:sz w:val="24"/>
        </w:rPr>
        <w:t>prioritaires</w:t>
      </w:r>
      <w:r w:rsidRPr="00CB197E">
        <w:rPr>
          <w:rFonts w:ascii="Times New Roman" w:hAnsi="Times New Roman"/>
          <w:sz w:val="24"/>
        </w:rPr>
        <w:t xml:space="preserve">, </w:t>
      </w:r>
      <w:r w:rsidRPr="00E60DA6">
        <w:rPr>
          <w:rFonts w:ascii="Times New Roman" w:hAnsi="Times New Roman"/>
          <w:sz w:val="24"/>
        </w:rPr>
        <w:t>la mise en œuvre de la SCRP2 a été confrontée à des difficultés qui ont limité les taux d’e</w:t>
      </w:r>
      <w:r>
        <w:rPr>
          <w:rFonts w:ascii="Times New Roman" w:hAnsi="Times New Roman"/>
          <w:sz w:val="24"/>
        </w:rPr>
        <w:t>xécution des dépenses publiques</w:t>
      </w:r>
      <w:r w:rsidRPr="00E60DA6">
        <w:rPr>
          <w:rFonts w:ascii="Times New Roman" w:hAnsi="Times New Roman"/>
          <w:sz w:val="24"/>
        </w:rPr>
        <w:t xml:space="preserve">, avec </w:t>
      </w:r>
      <w:r>
        <w:rPr>
          <w:rFonts w:ascii="Times New Roman" w:hAnsi="Times New Roman"/>
          <w:sz w:val="24"/>
        </w:rPr>
        <w:t xml:space="preserve">un </w:t>
      </w:r>
      <w:r w:rsidRPr="00E60DA6">
        <w:rPr>
          <w:rFonts w:ascii="Times New Roman" w:hAnsi="Times New Roman"/>
          <w:sz w:val="24"/>
        </w:rPr>
        <w:t xml:space="preserve">taux </w:t>
      </w:r>
      <w:r>
        <w:rPr>
          <w:rFonts w:ascii="Times New Roman" w:hAnsi="Times New Roman"/>
          <w:sz w:val="24"/>
        </w:rPr>
        <w:t>d’exécution</w:t>
      </w:r>
      <w:r w:rsidRPr="00E60DA6">
        <w:rPr>
          <w:rFonts w:ascii="Times New Roman" w:hAnsi="Times New Roman"/>
          <w:sz w:val="24"/>
        </w:rPr>
        <w:t xml:space="preserve"> compris entre 39,8</w:t>
      </w:r>
      <w:r>
        <w:rPr>
          <w:rFonts w:ascii="Times New Roman" w:hAnsi="Times New Roman"/>
          <w:sz w:val="24"/>
        </w:rPr>
        <w:t>%</w:t>
      </w:r>
      <w:r w:rsidRPr="00E60DA6">
        <w:rPr>
          <w:rFonts w:ascii="Times New Roman" w:hAnsi="Times New Roman"/>
          <w:sz w:val="24"/>
        </w:rPr>
        <w:t xml:space="preserve"> et 71,9</w:t>
      </w:r>
      <w:r>
        <w:rPr>
          <w:rFonts w:ascii="Times New Roman" w:hAnsi="Times New Roman"/>
          <w:sz w:val="24"/>
        </w:rPr>
        <w:t>%</w:t>
      </w:r>
      <w:r w:rsidRPr="00CB197E">
        <w:rPr>
          <w:rFonts w:ascii="Times New Roman" w:hAnsi="Times New Roman"/>
          <w:sz w:val="24"/>
        </w:rPr>
        <w:t xml:space="preserve">. </w:t>
      </w:r>
      <w:r>
        <w:rPr>
          <w:rFonts w:ascii="Times New Roman" w:hAnsi="Times New Roman"/>
          <w:sz w:val="24"/>
        </w:rPr>
        <w:t>Au nombre de ces difficultés, i</w:t>
      </w:r>
      <w:r w:rsidRPr="00CB197E">
        <w:rPr>
          <w:rFonts w:ascii="Times New Roman" w:hAnsi="Times New Roman"/>
          <w:sz w:val="24"/>
        </w:rPr>
        <w:t xml:space="preserve">l </w:t>
      </w:r>
      <w:r>
        <w:rPr>
          <w:rFonts w:ascii="Times New Roman" w:hAnsi="Times New Roman"/>
          <w:sz w:val="24"/>
        </w:rPr>
        <w:t xml:space="preserve">y a </w:t>
      </w:r>
      <w:r w:rsidRPr="00CB197E">
        <w:rPr>
          <w:rFonts w:ascii="Times New Roman" w:hAnsi="Times New Roman"/>
          <w:sz w:val="24"/>
        </w:rPr>
        <w:t xml:space="preserve">la crise énergétique en 2007, </w:t>
      </w:r>
      <w:r>
        <w:rPr>
          <w:rFonts w:ascii="Times New Roman" w:hAnsi="Times New Roman"/>
          <w:sz w:val="24"/>
        </w:rPr>
        <w:t xml:space="preserve">la crise alimentaire en 2008, </w:t>
      </w:r>
      <w:r w:rsidRPr="00CB197E">
        <w:rPr>
          <w:rFonts w:ascii="Times New Roman" w:hAnsi="Times New Roman"/>
          <w:sz w:val="24"/>
        </w:rPr>
        <w:t xml:space="preserve">la crise financière en 2009 et </w:t>
      </w:r>
      <w:r>
        <w:rPr>
          <w:rFonts w:ascii="Times New Roman" w:hAnsi="Times New Roman"/>
          <w:sz w:val="24"/>
        </w:rPr>
        <w:t>l</w:t>
      </w:r>
      <w:r w:rsidRPr="00CB197E">
        <w:rPr>
          <w:rFonts w:ascii="Times New Roman" w:hAnsi="Times New Roman"/>
          <w:sz w:val="24"/>
        </w:rPr>
        <w:t>es inondations de 2010.</w:t>
      </w:r>
      <w:r w:rsidR="00C9734E">
        <w:rPr>
          <w:rFonts w:ascii="Times New Roman" w:hAnsi="Times New Roman"/>
          <w:sz w:val="24"/>
        </w:rPr>
        <w:t xml:space="preserve"> </w:t>
      </w:r>
      <w:r w:rsidRPr="00CB197E">
        <w:rPr>
          <w:rFonts w:ascii="Times New Roman" w:hAnsi="Times New Roman"/>
          <w:sz w:val="24"/>
        </w:rPr>
        <w:t>Il conviendrait que des dispositions idoines soient prise</w:t>
      </w:r>
      <w:r w:rsidR="007367AB">
        <w:rPr>
          <w:rFonts w:ascii="Times New Roman" w:hAnsi="Times New Roman"/>
          <w:sz w:val="24"/>
        </w:rPr>
        <w:t>s</w:t>
      </w:r>
      <w:r w:rsidRPr="00CB197E">
        <w:rPr>
          <w:rFonts w:ascii="Times New Roman" w:hAnsi="Times New Roman"/>
          <w:sz w:val="24"/>
        </w:rPr>
        <w:t xml:space="preserve"> pour d’une part, poursuivre le renforcement de la chaîne Planification – Programmation – Budgétisation et Suivi évaluation (PPBS) afin d’améliorer l’exécution budgétaire et d’autre part, améliorer la préparation du budget général de l’État en relation </w:t>
      </w:r>
      <w:r>
        <w:rPr>
          <w:rFonts w:ascii="Times New Roman" w:hAnsi="Times New Roman"/>
          <w:sz w:val="24"/>
        </w:rPr>
        <w:t xml:space="preserve">avec </w:t>
      </w:r>
      <w:r w:rsidRPr="00CB197E">
        <w:rPr>
          <w:rFonts w:ascii="Times New Roman" w:hAnsi="Times New Roman"/>
          <w:sz w:val="24"/>
        </w:rPr>
        <w:t>les objectifs retenus dans la SCRP3.</w:t>
      </w: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p>
    <w:tbl>
      <w:tblPr>
        <w:tblStyle w:val="Grilleclaire-Accent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9"/>
        <w:gridCol w:w="975"/>
        <w:gridCol w:w="975"/>
        <w:gridCol w:w="977"/>
        <w:gridCol w:w="1150"/>
      </w:tblGrid>
      <w:tr w:rsidR="000E0BB8" w:rsidRPr="00C464FF" w:rsidTr="000E0BB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one" w:sz="0" w:space="0" w:color="auto"/>
              <w:left w:val="none" w:sz="0" w:space="0" w:color="auto"/>
              <w:bottom w:val="double" w:sz="6" w:space="0" w:color="auto"/>
              <w:right w:val="none" w:sz="0" w:space="0" w:color="auto"/>
            </w:tcBorders>
            <w:shd w:val="clear" w:color="auto" w:fill="92CDDC" w:themeFill="accent5" w:themeFillTint="99"/>
            <w:noWrap/>
            <w:hideMark/>
          </w:tcPr>
          <w:p w:rsidR="000E0BB8" w:rsidRPr="000E0BB8" w:rsidRDefault="000E0BB8" w:rsidP="000E0BB8">
            <w:pPr>
              <w:jc w:val="left"/>
              <w:rPr>
                <w:rFonts w:ascii="Times New Roman" w:eastAsia="Times New Roman" w:hAnsi="Times New Roman" w:cs="Times New Roman"/>
                <w:b w:val="0"/>
                <w:color w:val="000000"/>
                <w:sz w:val="24"/>
                <w:szCs w:val="24"/>
                <w:lang w:eastAsia="fr-FR"/>
              </w:rPr>
            </w:pPr>
            <w:bookmarkStart w:id="120" w:name="_Toc363421452"/>
            <w:bookmarkStart w:id="121" w:name="_Toc369714616"/>
            <w:bookmarkStart w:id="122" w:name="_Toc369720636"/>
            <w:r w:rsidRPr="000E0BB8">
              <w:rPr>
                <w:rFonts w:ascii="Times New Roman" w:hAnsi="Times New Roman" w:cs="Times New Roman"/>
                <w:b w:val="0"/>
                <w:sz w:val="24"/>
                <w:szCs w:val="24"/>
              </w:rPr>
              <w:t xml:space="preserve">Tableau 4. </w:t>
            </w:r>
            <w:r w:rsidR="00182C97" w:rsidRPr="000E0BB8">
              <w:rPr>
                <w:rFonts w:ascii="Times New Roman" w:hAnsi="Times New Roman"/>
                <w:sz w:val="24"/>
                <w:szCs w:val="24"/>
              </w:rPr>
              <w:fldChar w:fldCharType="begin"/>
            </w:r>
            <w:r w:rsidRPr="000E0BB8">
              <w:rPr>
                <w:rFonts w:ascii="Times New Roman" w:hAnsi="Times New Roman" w:cs="Times New Roman"/>
                <w:b w:val="0"/>
                <w:sz w:val="24"/>
                <w:szCs w:val="24"/>
              </w:rPr>
              <w:instrText xml:space="preserve"> SEQ Tableau_4. \* ARABIC </w:instrText>
            </w:r>
            <w:r w:rsidR="00182C97" w:rsidRPr="000E0BB8">
              <w:rPr>
                <w:rFonts w:ascii="Times New Roman" w:hAnsi="Times New Roman"/>
                <w:sz w:val="24"/>
                <w:szCs w:val="24"/>
              </w:rPr>
              <w:fldChar w:fldCharType="separate"/>
            </w:r>
            <w:r w:rsidR="00AB1967">
              <w:rPr>
                <w:rFonts w:ascii="Times New Roman" w:hAnsi="Times New Roman" w:cs="Times New Roman"/>
                <w:b w:val="0"/>
                <w:noProof/>
                <w:sz w:val="24"/>
                <w:szCs w:val="24"/>
              </w:rPr>
              <w:t>2</w:t>
            </w:r>
            <w:r w:rsidR="00182C97" w:rsidRPr="000E0BB8">
              <w:rPr>
                <w:rFonts w:ascii="Times New Roman" w:hAnsi="Times New Roman"/>
                <w:sz w:val="24"/>
                <w:szCs w:val="24"/>
              </w:rPr>
              <w:fldChar w:fldCharType="end"/>
            </w:r>
            <w:r w:rsidRPr="000E0BB8">
              <w:rPr>
                <w:rFonts w:ascii="Times New Roman" w:hAnsi="Times New Roman" w:cs="Times New Roman"/>
                <w:b w:val="0"/>
                <w:sz w:val="24"/>
                <w:szCs w:val="24"/>
              </w:rPr>
              <w:t>: Taux d’exécution du CDMT de la SCRP 2 dans les secteurs clés</w:t>
            </w:r>
            <w:bookmarkEnd w:id="120"/>
            <w:bookmarkEnd w:id="121"/>
            <w:bookmarkEnd w:id="122"/>
          </w:p>
        </w:tc>
      </w:tr>
      <w:tr w:rsidR="00C464FF" w:rsidRPr="00C464FF" w:rsidTr="000E0B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5"/>
            <w:tcBorders>
              <w:top w:val="double" w:sz="6" w:space="0" w:color="auto"/>
              <w:left w:val="none" w:sz="0" w:space="0" w:color="auto"/>
              <w:bottom w:val="single" w:sz="8" w:space="0" w:color="auto"/>
              <w:right w:val="none" w:sz="0" w:space="0" w:color="auto"/>
            </w:tcBorders>
            <w:shd w:val="clear" w:color="auto" w:fill="DAEEF3" w:themeFill="accent5" w:themeFillTint="33"/>
            <w:noWrap/>
            <w:hideMark/>
          </w:tcPr>
          <w:p w:rsidR="00C464FF" w:rsidRPr="00C464FF" w:rsidRDefault="00C464FF" w:rsidP="00C464FF">
            <w:pPr>
              <w:jc w:val="center"/>
              <w:rPr>
                <w:rFonts w:ascii="Times New Roman" w:eastAsia="Times New Roman" w:hAnsi="Times New Roman" w:cs="Times New Roman"/>
                <w:color w:val="000000"/>
                <w:sz w:val="24"/>
                <w:szCs w:val="24"/>
                <w:lang w:eastAsia="fr-FR"/>
              </w:rPr>
            </w:pPr>
            <w:r w:rsidRPr="00C464FF">
              <w:rPr>
                <w:rFonts w:ascii="Times New Roman" w:eastAsia="Times New Roman" w:hAnsi="Times New Roman" w:cs="Times New Roman"/>
                <w:color w:val="000000"/>
                <w:sz w:val="24"/>
                <w:szCs w:val="24"/>
                <w:lang w:eastAsia="fr-FR"/>
              </w:rPr>
              <w:t>Taux d'exécution budgétaire global (en%)</w:t>
            </w:r>
          </w:p>
        </w:tc>
      </w:tr>
      <w:tr w:rsidR="00C464FF" w:rsidRPr="00C464FF" w:rsidTr="00C464FF">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single" w:sz="8" w:space="0" w:color="auto"/>
              <w:left w:val="none" w:sz="0" w:space="0" w:color="auto"/>
              <w:bottom w:val="single" w:sz="8"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Ministères</w:t>
            </w:r>
          </w:p>
        </w:tc>
        <w:tc>
          <w:tcPr>
            <w:tcW w:w="525" w:type="pct"/>
            <w:tcBorders>
              <w:top w:val="single" w:sz="8" w:space="0" w:color="auto"/>
              <w:left w:val="none" w:sz="0" w:space="0" w:color="auto"/>
              <w:bottom w:val="single" w:sz="8"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2007</w:t>
            </w:r>
          </w:p>
        </w:tc>
        <w:tc>
          <w:tcPr>
            <w:tcW w:w="525" w:type="pct"/>
            <w:tcBorders>
              <w:top w:val="single" w:sz="8" w:space="0" w:color="auto"/>
              <w:left w:val="none" w:sz="0" w:space="0" w:color="auto"/>
              <w:bottom w:val="single" w:sz="8"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2008</w:t>
            </w:r>
          </w:p>
        </w:tc>
        <w:tc>
          <w:tcPr>
            <w:tcW w:w="526" w:type="pct"/>
            <w:tcBorders>
              <w:top w:val="single" w:sz="8" w:space="0" w:color="auto"/>
              <w:left w:val="none" w:sz="0" w:space="0" w:color="auto"/>
              <w:bottom w:val="single" w:sz="8"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2009</w:t>
            </w:r>
          </w:p>
        </w:tc>
        <w:tc>
          <w:tcPr>
            <w:tcW w:w="619" w:type="pct"/>
            <w:tcBorders>
              <w:top w:val="single" w:sz="8" w:space="0" w:color="auto"/>
              <w:left w:val="none" w:sz="0" w:space="0" w:color="auto"/>
              <w:bottom w:val="single" w:sz="8"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Moyenne</w:t>
            </w:r>
          </w:p>
        </w:tc>
      </w:tr>
      <w:tr w:rsidR="00C464FF" w:rsidRPr="00C464FF" w:rsidTr="00C464F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single" w:sz="8"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Agriculture</w:t>
            </w:r>
          </w:p>
        </w:tc>
        <w:tc>
          <w:tcPr>
            <w:tcW w:w="525" w:type="pct"/>
            <w:tcBorders>
              <w:top w:val="single" w:sz="8"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55,3</w:t>
            </w:r>
          </w:p>
        </w:tc>
        <w:tc>
          <w:tcPr>
            <w:tcW w:w="525" w:type="pct"/>
            <w:tcBorders>
              <w:top w:val="single" w:sz="8"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52,4</w:t>
            </w:r>
          </w:p>
        </w:tc>
        <w:tc>
          <w:tcPr>
            <w:tcW w:w="526" w:type="pct"/>
            <w:tcBorders>
              <w:top w:val="single" w:sz="8"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71,7</w:t>
            </w:r>
          </w:p>
        </w:tc>
        <w:tc>
          <w:tcPr>
            <w:tcW w:w="619" w:type="pct"/>
            <w:tcBorders>
              <w:top w:val="single" w:sz="8"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59,23</w:t>
            </w:r>
          </w:p>
        </w:tc>
      </w:tr>
      <w:tr w:rsidR="00C464FF" w:rsidRPr="00C464FF" w:rsidTr="00C464FF">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Santé</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72,3</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58,7</w:t>
            </w:r>
          </w:p>
        </w:tc>
        <w:tc>
          <w:tcPr>
            <w:tcW w:w="526"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39,2</w:t>
            </w:r>
          </w:p>
        </w:tc>
        <w:tc>
          <w:tcPr>
            <w:tcW w:w="619"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55,00</w:t>
            </w:r>
          </w:p>
        </w:tc>
      </w:tr>
      <w:tr w:rsidR="00C464FF" w:rsidRPr="00C464FF" w:rsidTr="00C464F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Energie et Eau</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124,2</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42,9</w:t>
            </w:r>
          </w:p>
        </w:tc>
        <w:tc>
          <w:tcPr>
            <w:tcW w:w="526"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48,3</w:t>
            </w:r>
          </w:p>
        </w:tc>
        <w:tc>
          <w:tcPr>
            <w:tcW w:w="619"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63,73</w:t>
            </w:r>
          </w:p>
        </w:tc>
      </w:tr>
      <w:tr w:rsidR="00C464FF" w:rsidRPr="00C464FF" w:rsidTr="00C464FF">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Transports et Travaux Publics</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57,5</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39,4</w:t>
            </w:r>
          </w:p>
        </w:tc>
        <w:tc>
          <w:tcPr>
            <w:tcW w:w="526"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27,9</w:t>
            </w:r>
          </w:p>
        </w:tc>
        <w:tc>
          <w:tcPr>
            <w:tcW w:w="619"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39,83</w:t>
            </w:r>
          </w:p>
        </w:tc>
      </w:tr>
      <w:tr w:rsidR="00C464FF" w:rsidRPr="00C464FF" w:rsidTr="00C464F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Enseignement Primaire et Maternel</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80,28</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69,49</w:t>
            </w:r>
          </w:p>
        </w:tc>
        <w:tc>
          <w:tcPr>
            <w:tcW w:w="526"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66,57</w:t>
            </w:r>
          </w:p>
        </w:tc>
        <w:tc>
          <w:tcPr>
            <w:tcW w:w="619"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71,88</w:t>
            </w:r>
          </w:p>
        </w:tc>
      </w:tr>
      <w:tr w:rsidR="00C464FF" w:rsidRPr="00C464FF" w:rsidTr="00C464FF">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Justice</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81,1</w:t>
            </w:r>
          </w:p>
        </w:tc>
        <w:tc>
          <w:tcPr>
            <w:tcW w:w="525"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60,9</w:t>
            </w:r>
          </w:p>
        </w:tc>
        <w:tc>
          <w:tcPr>
            <w:tcW w:w="526"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67,2</w:t>
            </w:r>
          </w:p>
        </w:tc>
        <w:tc>
          <w:tcPr>
            <w:tcW w:w="619" w:type="pct"/>
            <w:tcBorders>
              <w:top w:val="none" w:sz="0"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69,24</w:t>
            </w:r>
          </w:p>
        </w:tc>
      </w:tr>
      <w:tr w:rsidR="00C464FF" w:rsidRPr="00C464FF" w:rsidTr="00C464F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05" w:type="pct"/>
            <w:tcBorders>
              <w:top w:val="none" w:sz="0" w:space="0" w:color="auto"/>
              <w:left w:val="none" w:sz="0" w:space="0" w:color="auto"/>
              <w:bottom w:val="double" w:sz="6" w:space="0" w:color="auto"/>
              <w:right w:val="none" w:sz="0" w:space="0" w:color="auto"/>
            </w:tcBorders>
            <w:shd w:val="clear" w:color="auto" w:fill="DAEEF3" w:themeFill="accent5" w:themeFillTint="33"/>
            <w:noWrap/>
            <w:hideMark/>
          </w:tcPr>
          <w:p w:rsidR="00C464FF" w:rsidRPr="00C464FF" w:rsidRDefault="00C464FF" w:rsidP="00C464FF">
            <w:pPr>
              <w:spacing w:line="276" w:lineRule="auto"/>
              <w:rPr>
                <w:rFonts w:ascii="Times New Roman" w:eastAsia="Times New Roman" w:hAnsi="Times New Roman" w:cs="Times New Roman"/>
                <w:b w:val="0"/>
                <w:color w:val="000000"/>
                <w:sz w:val="24"/>
                <w:szCs w:val="24"/>
                <w:lang w:eastAsia="fr-FR"/>
              </w:rPr>
            </w:pPr>
            <w:r w:rsidRPr="00C464FF">
              <w:rPr>
                <w:rFonts w:ascii="Times New Roman" w:eastAsia="Times New Roman" w:hAnsi="Times New Roman" w:cs="Times New Roman"/>
                <w:b w:val="0"/>
                <w:color w:val="000000"/>
                <w:sz w:val="24"/>
                <w:szCs w:val="24"/>
                <w:lang w:eastAsia="fr-FR"/>
              </w:rPr>
              <w:t>Décentralisation</w:t>
            </w:r>
          </w:p>
        </w:tc>
        <w:tc>
          <w:tcPr>
            <w:tcW w:w="525" w:type="pct"/>
            <w:tcBorders>
              <w:top w:val="none" w:sz="0" w:space="0" w:color="auto"/>
              <w:left w:val="none" w:sz="0" w:space="0" w:color="auto"/>
              <w:bottom w:val="double" w:sz="6"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58,7</w:t>
            </w:r>
          </w:p>
        </w:tc>
        <w:tc>
          <w:tcPr>
            <w:tcW w:w="525" w:type="pct"/>
            <w:tcBorders>
              <w:top w:val="none" w:sz="0" w:space="0" w:color="auto"/>
              <w:left w:val="none" w:sz="0" w:space="0" w:color="auto"/>
              <w:bottom w:val="double" w:sz="6"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72,3</w:t>
            </w:r>
          </w:p>
        </w:tc>
        <w:tc>
          <w:tcPr>
            <w:tcW w:w="526" w:type="pct"/>
            <w:tcBorders>
              <w:top w:val="none" w:sz="0" w:space="0" w:color="auto"/>
              <w:left w:val="none" w:sz="0" w:space="0" w:color="auto"/>
              <w:bottom w:val="double" w:sz="6"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57,8</w:t>
            </w:r>
          </w:p>
        </w:tc>
        <w:tc>
          <w:tcPr>
            <w:tcW w:w="619" w:type="pct"/>
            <w:tcBorders>
              <w:top w:val="none" w:sz="0" w:space="0" w:color="auto"/>
              <w:left w:val="none" w:sz="0" w:space="0" w:color="auto"/>
              <w:bottom w:val="double" w:sz="6" w:space="0" w:color="auto"/>
              <w:right w:val="none" w:sz="0" w:space="0" w:color="auto"/>
            </w:tcBorders>
            <w:shd w:val="clear" w:color="auto" w:fill="DAEEF3" w:themeFill="accent5" w:themeFillTint="33"/>
            <w:noWrap/>
            <w:hideMark/>
          </w:tcPr>
          <w:p w:rsidR="00C464FF" w:rsidRPr="00C464FF" w:rsidRDefault="00C464FF" w:rsidP="00C464F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eastAsia="fr-FR"/>
              </w:rPr>
            </w:pPr>
            <w:r w:rsidRPr="00C464FF">
              <w:rPr>
                <w:rFonts w:ascii="Times New Roman" w:eastAsia="Times New Roman" w:hAnsi="Times New Roman"/>
                <w:color w:val="000000"/>
                <w:sz w:val="24"/>
                <w:szCs w:val="24"/>
                <w:lang w:eastAsia="fr-FR"/>
              </w:rPr>
              <w:t>62,60</w:t>
            </w:r>
          </w:p>
        </w:tc>
      </w:tr>
      <w:tr w:rsidR="00C464FF" w:rsidRPr="00C464FF" w:rsidTr="00C464FF">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5"/>
            <w:tcBorders>
              <w:top w:val="double" w:sz="6" w:space="0" w:color="auto"/>
              <w:left w:val="none" w:sz="0" w:space="0" w:color="auto"/>
              <w:bottom w:val="none" w:sz="0" w:space="0" w:color="auto"/>
              <w:right w:val="none" w:sz="0" w:space="0" w:color="auto"/>
            </w:tcBorders>
            <w:shd w:val="clear" w:color="auto" w:fill="DAEEF3" w:themeFill="accent5" w:themeFillTint="33"/>
            <w:noWrap/>
            <w:hideMark/>
          </w:tcPr>
          <w:p w:rsidR="00C464FF" w:rsidRPr="00C464FF" w:rsidRDefault="00C464FF" w:rsidP="00C464FF">
            <w:pPr>
              <w:keepNext/>
              <w:keepLines/>
              <w:spacing w:line="276" w:lineRule="auto"/>
              <w:rPr>
                <w:rFonts w:ascii="Times New Roman" w:hAnsi="Times New Roman" w:cs="Times New Roman"/>
                <w:b w:val="0"/>
                <w:sz w:val="20"/>
                <w:szCs w:val="20"/>
              </w:rPr>
            </w:pPr>
            <w:r w:rsidRPr="00C464FF">
              <w:rPr>
                <w:rFonts w:ascii="Times New Roman" w:hAnsi="Times New Roman" w:cs="Times New Roman"/>
                <w:b w:val="0"/>
                <w:sz w:val="20"/>
                <w:szCs w:val="20"/>
              </w:rPr>
              <w:t>Source : Rapport d’avancement 2009 de la SCRP2, juin 2010</w:t>
            </w:r>
          </w:p>
        </w:tc>
      </w:tr>
    </w:tbl>
    <w:p w:rsidR="00C464FF" w:rsidRDefault="00C464FF" w:rsidP="00C464FF">
      <w:pPr>
        <w:rPr>
          <w:rFonts w:ascii="Times New Roman" w:hAnsi="Times New Roman"/>
          <w:sz w:val="24"/>
        </w:rPr>
      </w:pPr>
    </w:p>
    <w:p w:rsidR="002E3BBE" w:rsidRDefault="002E3BBE" w:rsidP="002E3BBE">
      <w:pPr>
        <w:spacing w:line="276" w:lineRule="auto"/>
        <w:rPr>
          <w:rFonts w:ascii="Times New Roman" w:hAnsi="Times New Roman"/>
          <w:sz w:val="24"/>
        </w:rPr>
      </w:pPr>
      <w:r w:rsidRPr="00E60DA6">
        <w:rPr>
          <w:rFonts w:ascii="Times New Roman" w:hAnsi="Times New Roman"/>
          <w:sz w:val="24"/>
        </w:rPr>
        <w:t>Pour améliorer l’efficacité de la gestion budgétaire sur la période 2011-2015, les CDMT sectoriels de la SCRP3 sont mis en cohérence avec le cadre macroéconomique, pour gérer plus efficacement et itérativement les conflits entre les politiques sectorielles et les ressources budgétaires disponibles</w:t>
      </w:r>
      <w:r w:rsidRPr="00CB197E">
        <w:rPr>
          <w:rFonts w:ascii="Times New Roman" w:hAnsi="Times New Roman"/>
          <w:sz w:val="24"/>
        </w:rPr>
        <w:t>. Les crédits</w:t>
      </w:r>
      <w:r w:rsidR="005922DF">
        <w:rPr>
          <w:rFonts w:ascii="Times New Roman" w:hAnsi="Times New Roman"/>
          <w:sz w:val="24"/>
        </w:rPr>
        <w:t xml:space="preserve"> </w:t>
      </w:r>
      <w:r w:rsidRPr="00CB197E">
        <w:rPr>
          <w:rFonts w:ascii="Times New Roman" w:hAnsi="Times New Roman"/>
          <w:sz w:val="24"/>
        </w:rPr>
        <w:t>consacrés aux secteurs sociaux représenteraient en moyenne 33,8% du total des dotations budgétaires sur la période 2011-2015</w:t>
      </w:r>
      <w:r w:rsidR="008439CC">
        <w:rPr>
          <w:rFonts w:ascii="Times New Roman" w:hAnsi="Times New Roman"/>
          <w:sz w:val="24"/>
        </w:rPr>
        <w:t>.</w:t>
      </w:r>
      <w:r>
        <w:rPr>
          <w:rFonts w:ascii="Times New Roman" w:hAnsi="Times New Roman"/>
          <w:sz w:val="24"/>
        </w:rPr>
        <w:t xml:space="preserve"> Cette augmentation de la part des ressources allouées aux secteurs sociaux </w:t>
      </w:r>
      <w:r w:rsidRPr="00CB197E">
        <w:rPr>
          <w:rFonts w:ascii="Times New Roman" w:hAnsi="Times New Roman"/>
          <w:sz w:val="24"/>
        </w:rPr>
        <w:t xml:space="preserve">répond essentiellement </w:t>
      </w:r>
      <w:r>
        <w:rPr>
          <w:rFonts w:ascii="Times New Roman" w:hAnsi="Times New Roman"/>
          <w:sz w:val="24"/>
        </w:rPr>
        <w:t>à</w:t>
      </w:r>
      <w:r w:rsidRPr="00CB197E">
        <w:rPr>
          <w:rFonts w:ascii="Times New Roman" w:hAnsi="Times New Roman"/>
          <w:sz w:val="24"/>
        </w:rPr>
        <w:t xml:space="preserve"> la priorité </w:t>
      </w:r>
      <w:r>
        <w:rPr>
          <w:rFonts w:ascii="Times New Roman" w:hAnsi="Times New Roman"/>
          <w:sz w:val="24"/>
        </w:rPr>
        <w:t xml:space="preserve">accordée à ces derniers </w:t>
      </w:r>
      <w:r w:rsidRPr="00CB197E">
        <w:rPr>
          <w:rFonts w:ascii="Times New Roman" w:hAnsi="Times New Roman"/>
          <w:sz w:val="24"/>
        </w:rPr>
        <w:t>pour atteindre les cibles des OMD en matière d’éducation, de sant</w:t>
      </w:r>
      <w:r>
        <w:rPr>
          <w:rFonts w:ascii="Times New Roman" w:hAnsi="Times New Roman"/>
          <w:sz w:val="24"/>
        </w:rPr>
        <w:t xml:space="preserve">é </w:t>
      </w:r>
      <w:r w:rsidRPr="00CB197E">
        <w:rPr>
          <w:rFonts w:ascii="Times New Roman" w:hAnsi="Times New Roman"/>
          <w:sz w:val="24"/>
        </w:rPr>
        <w:t>et d’assainissement dans la mise en œuvre de la SCRP3.</w:t>
      </w:r>
    </w:p>
    <w:p w:rsidR="002E3BBE" w:rsidRPr="00CB197E" w:rsidRDefault="002E3BBE" w:rsidP="002E3BBE">
      <w:pPr>
        <w:spacing w:line="276" w:lineRule="auto"/>
        <w:rPr>
          <w:rFonts w:ascii="Times New Roman" w:hAnsi="Times New Roman"/>
          <w:sz w:val="24"/>
        </w:rPr>
      </w:pPr>
    </w:p>
    <w:tbl>
      <w:tblPr>
        <w:tblW w:w="5000" w:type="pct"/>
        <w:tblLook w:val="04A0" w:firstRow="1" w:lastRow="0" w:firstColumn="1" w:lastColumn="0" w:noHBand="0" w:noVBand="1"/>
      </w:tblPr>
      <w:tblGrid>
        <w:gridCol w:w="3481"/>
        <w:gridCol w:w="1848"/>
        <w:gridCol w:w="1842"/>
        <w:gridCol w:w="2115"/>
      </w:tblGrid>
      <w:tr w:rsidR="000E0BB8" w:rsidRPr="00796198" w:rsidTr="000E0BB8">
        <w:trPr>
          <w:trHeight w:val="20"/>
        </w:trPr>
        <w:tc>
          <w:tcPr>
            <w:tcW w:w="5000" w:type="pct"/>
            <w:gridSpan w:val="4"/>
            <w:tcBorders>
              <w:bottom w:val="double" w:sz="6" w:space="0" w:color="auto"/>
            </w:tcBorders>
            <w:shd w:val="clear" w:color="auto" w:fill="92CDDC" w:themeFill="accent5" w:themeFillTint="99"/>
            <w:noWrap/>
            <w:hideMark/>
          </w:tcPr>
          <w:p w:rsidR="000E0BB8" w:rsidRPr="000E0BB8" w:rsidRDefault="000E0BB8" w:rsidP="000E0BB8">
            <w:pPr>
              <w:keepNext/>
              <w:keepLines/>
              <w:spacing w:line="240" w:lineRule="auto"/>
              <w:jc w:val="left"/>
              <w:rPr>
                <w:rFonts w:ascii="Times New Roman" w:eastAsia="Times New Roman" w:hAnsi="Times New Roman"/>
                <w:bCs/>
                <w:color w:val="000000"/>
                <w:sz w:val="24"/>
                <w:szCs w:val="24"/>
                <w:lang w:eastAsia="fr-FR"/>
              </w:rPr>
            </w:pPr>
            <w:bookmarkStart w:id="123" w:name="_Toc363421453"/>
            <w:bookmarkStart w:id="124" w:name="_Toc369714617"/>
            <w:bookmarkStart w:id="125" w:name="_Toc369720637"/>
            <w:r w:rsidRPr="000E0BB8">
              <w:rPr>
                <w:rFonts w:ascii="Times New Roman" w:hAnsi="Times New Roman"/>
                <w:sz w:val="24"/>
                <w:szCs w:val="24"/>
              </w:rPr>
              <w:t>Tableau 4.</w:t>
            </w:r>
            <w:r w:rsidR="00182C97" w:rsidRPr="000E0BB8">
              <w:rPr>
                <w:rFonts w:ascii="Times New Roman" w:hAnsi="Times New Roman"/>
                <w:sz w:val="24"/>
                <w:szCs w:val="24"/>
              </w:rPr>
              <w:fldChar w:fldCharType="begin"/>
            </w:r>
            <w:r w:rsidRPr="000E0BB8">
              <w:rPr>
                <w:rFonts w:ascii="Times New Roman" w:hAnsi="Times New Roman"/>
                <w:sz w:val="24"/>
                <w:szCs w:val="24"/>
              </w:rPr>
              <w:instrText xml:space="preserve"> SEQ Tableau_4. \* ARABIC </w:instrText>
            </w:r>
            <w:r w:rsidR="00182C97" w:rsidRPr="000E0BB8">
              <w:rPr>
                <w:rFonts w:ascii="Times New Roman" w:hAnsi="Times New Roman"/>
                <w:sz w:val="24"/>
                <w:szCs w:val="24"/>
              </w:rPr>
              <w:fldChar w:fldCharType="separate"/>
            </w:r>
            <w:r w:rsidR="00AB1967">
              <w:rPr>
                <w:rFonts w:ascii="Times New Roman" w:hAnsi="Times New Roman"/>
                <w:noProof/>
                <w:sz w:val="24"/>
                <w:szCs w:val="24"/>
              </w:rPr>
              <w:t>3</w:t>
            </w:r>
            <w:r w:rsidR="00182C97" w:rsidRPr="000E0BB8">
              <w:rPr>
                <w:rFonts w:ascii="Times New Roman" w:hAnsi="Times New Roman"/>
                <w:sz w:val="24"/>
                <w:szCs w:val="24"/>
              </w:rPr>
              <w:fldChar w:fldCharType="end"/>
            </w:r>
            <w:r w:rsidRPr="000E0BB8">
              <w:rPr>
                <w:rFonts w:ascii="Times New Roman" w:hAnsi="Times New Roman"/>
                <w:sz w:val="24"/>
                <w:szCs w:val="24"/>
              </w:rPr>
              <w:t>: Répartition sectorielle des allocations budgétaires (en % du total budget hors amortissement de la dette)</w:t>
            </w:r>
            <w:bookmarkEnd w:id="123"/>
            <w:bookmarkEnd w:id="124"/>
            <w:bookmarkEnd w:id="125"/>
          </w:p>
        </w:tc>
      </w:tr>
      <w:tr w:rsidR="00D638CC" w:rsidRPr="00796198" w:rsidTr="000E0BB8">
        <w:trPr>
          <w:trHeight w:val="20"/>
        </w:trPr>
        <w:tc>
          <w:tcPr>
            <w:tcW w:w="1886" w:type="pct"/>
            <w:tcBorders>
              <w:top w:val="double" w:sz="6" w:space="0" w:color="auto"/>
            </w:tcBorders>
            <w:shd w:val="clear" w:color="auto" w:fill="DAEEF3" w:themeFill="accent5" w:themeFillTint="33"/>
            <w:noWrap/>
            <w:hideMark/>
          </w:tcPr>
          <w:p w:rsidR="00D638CC" w:rsidRPr="00796198" w:rsidRDefault="00D638CC" w:rsidP="00F31F3C">
            <w:pPr>
              <w:keepNext/>
              <w:keepLines/>
              <w:spacing w:line="240" w:lineRule="auto"/>
              <w:rPr>
                <w:rFonts w:ascii="Times New Roman" w:eastAsia="Times New Roman" w:hAnsi="Times New Roman"/>
                <w:b/>
                <w:bCs/>
                <w:color w:val="000000"/>
                <w:lang w:eastAsia="fr-FR"/>
              </w:rPr>
            </w:pPr>
          </w:p>
        </w:tc>
        <w:tc>
          <w:tcPr>
            <w:tcW w:w="990" w:type="pct"/>
            <w:tcBorders>
              <w:top w:val="double" w:sz="6" w:space="0" w:color="auto"/>
              <w:bottom w:val="single" w:sz="8" w:space="0" w:color="auto"/>
            </w:tcBorders>
            <w:shd w:val="clear" w:color="auto" w:fill="DAEEF3" w:themeFill="accent5" w:themeFillTint="33"/>
            <w:noWrap/>
            <w:vAlign w:val="center"/>
            <w:hideMark/>
          </w:tcPr>
          <w:p w:rsidR="00D638CC" w:rsidRPr="00A80DED" w:rsidRDefault="00D638CC" w:rsidP="00F31F3C">
            <w:pPr>
              <w:keepNext/>
              <w:keepLines/>
              <w:spacing w:line="240" w:lineRule="auto"/>
              <w:jc w:val="center"/>
              <w:rPr>
                <w:rFonts w:ascii="Times New Roman" w:eastAsia="Times New Roman" w:hAnsi="Times New Roman"/>
                <w:bCs/>
                <w:color w:val="000000"/>
                <w:lang w:eastAsia="fr-FR"/>
              </w:rPr>
            </w:pPr>
            <w:r w:rsidRPr="00A80DED">
              <w:rPr>
                <w:rFonts w:ascii="Times New Roman" w:eastAsia="Times New Roman" w:hAnsi="Times New Roman"/>
                <w:bCs/>
                <w:color w:val="000000"/>
                <w:lang w:eastAsia="fr-FR"/>
              </w:rPr>
              <w:t>Réal. SCRP2</w:t>
            </w:r>
          </w:p>
        </w:tc>
        <w:tc>
          <w:tcPr>
            <w:tcW w:w="987" w:type="pct"/>
            <w:tcBorders>
              <w:top w:val="double" w:sz="6" w:space="0" w:color="auto"/>
              <w:bottom w:val="single" w:sz="8" w:space="0" w:color="auto"/>
            </w:tcBorders>
            <w:shd w:val="clear" w:color="auto" w:fill="DAEEF3" w:themeFill="accent5" w:themeFillTint="33"/>
            <w:noWrap/>
            <w:vAlign w:val="center"/>
            <w:hideMark/>
          </w:tcPr>
          <w:p w:rsidR="00D638CC" w:rsidRPr="00A80DED" w:rsidRDefault="00D638CC" w:rsidP="00F31F3C">
            <w:pPr>
              <w:keepNext/>
              <w:keepLines/>
              <w:spacing w:line="240" w:lineRule="auto"/>
              <w:jc w:val="center"/>
              <w:rPr>
                <w:rFonts w:ascii="Times New Roman" w:eastAsia="Times New Roman" w:hAnsi="Times New Roman"/>
                <w:bCs/>
                <w:color w:val="000000"/>
                <w:lang w:eastAsia="fr-FR"/>
              </w:rPr>
            </w:pPr>
            <w:r w:rsidRPr="00A80DED">
              <w:rPr>
                <w:rFonts w:ascii="Times New Roman" w:eastAsia="Times New Roman" w:hAnsi="Times New Roman"/>
                <w:bCs/>
                <w:color w:val="000000"/>
                <w:lang w:eastAsia="fr-FR"/>
              </w:rPr>
              <w:t>Réal. 2010</w:t>
            </w:r>
          </w:p>
        </w:tc>
        <w:tc>
          <w:tcPr>
            <w:tcW w:w="1138" w:type="pct"/>
            <w:tcBorders>
              <w:top w:val="double" w:sz="6" w:space="0" w:color="auto"/>
              <w:bottom w:val="single" w:sz="8" w:space="0" w:color="auto"/>
            </w:tcBorders>
            <w:shd w:val="clear" w:color="auto" w:fill="DAEEF3" w:themeFill="accent5" w:themeFillTint="33"/>
            <w:noWrap/>
            <w:vAlign w:val="center"/>
            <w:hideMark/>
          </w:tcPr>
          <w:p w:rsidR="00D638CC" w:rsidRPr="00A80DED" w:rsidRDefault="00D638CC" w:rsidP="00F31F3C">
            <w:pPr>
              <w:keepNext/>
              <w:keepLines/>
              <w:spacing w:line="240" w:lineRule="auto"/>
              <w:jc w:val="center"/>
              <w:rPr>
                <w:rFonts w:ascii="Times New Roman" w:eastAsia="Times New Roman" w:hAnsi="Times New Roman"/>
                <w:bCs/>
                <w:color w:val="000000"/>
                <w:lang w:eastAsia="fr-FR"/>
              </w:rPr>
            </w:pPr>
            <w:r w:rsidRPr="00A80DED">
              <w:rPr>
                <w:rFonts w:ascii="Times New Roman" w:eastAsia="Times New Roman" w:hAnsi="Times New Roman"/>
                <w:bCs/>
                <w:color w:val="000000"/>
                <w:lang w:eastAsia="fr-FR"/>
              </w:rPr>
              <w:t>Proj. SCRP3</w:t>
            </w:r>
          </w:p>
        </w:tc>
      </w:tr>
      <w:tr w:rsidR="00D638CC" w:rsidRPr="00796198" w:rsidTr="000E0BB8">
        <w:trPr>
          <w:trHeight w:val="20"/>
        </w:trPr>
        <w:tc>
          <w:tcPr>
            <w:tcW w:w="1886" w:type="pct"/>
            <w:tcBorders>
              <w:bottom w:val="single" w:sz="8" w:space="0" w:color="auto"/>
            </w:tcBorders>
            <w:shd w:val="clear" w:color="auto" w:fill="DAEEF3" w:themeFill="accent5" w:themeFillTint="33"/>
            <w:noWrap/>
            <w:vAlign w:val="center"/>
            <w:hideMark/>
          </w:tcPr>
          <w:p w:rsidR="00D638CC" w:rsidRPr="00796198" w:rsidRDefault="00D638CC" w:rsidP="00F31F3C">
            <w:pPr>
              <w:keepNext/>
              <w:keepLines/>
              <w:spacing w:line="240" w:lineRule="auto"/>
              <w:jc w:val="center"/>
              <w:rPr>
                <w:rFonts w:ascii="Times New Roman" w:eastAsia="Times New Roman" w:hAnsi="Times New Roman"/>
                <w:b/>
                <w:bCs/>
                <w:color w:val="365F91"/>
                <w:lang w:eastAsia="fr-FR"/>
              </w:rPr>
            </w:pPr>
          </w:p>
        </w:tc>
        <w:tc>
          <w:tcPr>
            <w:tcW w:w="990" w:type="pct"/>
            <w:tcBorders>
              <w:top w:val="single" w:sz="8" w:space="0" w:color="auto"/>
              <w:bottom w:val="single" w:sz="8" w:space="0" w:color="auto"/>
            </w:tcBorders>
            <w:shd w:val="clear" w:color="auto" w:fill="DAEEF3" w:themeFill="accent5" w:themeFillTint="33"/>
            <w:noWrap/>
            <w:vAlign w:val="center"/>
            <w:hideMark/>
          </w:tcPr>
          <w:p w:rsidR="00D638CC" w:rsidRPr="00A80DED" w:rsidRDefault="00D638CC" w:rsidP="00F31F3C">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2007-2009</w:t>
            </w:r>
          </w:p>
        </w:tc>
        <w:tc>
          <w:tcPr>
            <w:tcW w:w="987" w:type="pct"/>
            <w:tcBorders>
              <w:top w:val="single" w:sz="8" w:space="0" w:color="auto"/>
              <w:bottom w:val="single" w:sz="8" w:space="0" w:color="auto"/>
            </w:tcBorders>
            <w:shd w:val="clear" w:color="auto" w:fill="DAEEF3" w:themeFill="accent5" w:themeFillTint="33"/>
            <w:noWrap/>
            <w:vAlign w:val="center"/>
            <w:hideMark/>
          </w:tcPr>
          <w:p w:rsidR="00D638CC" w:rsidRPr="00A80DED" w:rsidRDefault="00D638CC" w:rsidP="00F31F3C">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2010</w:t>
            </w:r>
          </w:p>
        </w:tc>
        <w:tc>
          <w:tcPr>
            <w:tcW w:w="1138" w:type="pct"/>
            <w:tcBorders>
              <w:top w:val="single" w:sz="8" w:space="0" w:color="auto"/>
              <w:bottom w:val="single" w:sz="8" w:space="0" w:color="auto"/>
            </w:tcBorders>
            <w:shd w:val="clear" w:color="auto" w:fill="DAEEF3" w:themeFill="accent5" w:themeFillTint="33"/>
            <w:vAlign w:val="center"/>
            <w:hideMark/>
          </w:tcPr>
          <w:p w:rsidR="00D638CC" w:rsidRPr="00A80DED" w:rsidRDefault="00D638CC" w:rsidP="00F31F3C">
            <w:pPr>
              <w:keepNext/>
              <w:keepLines/>
              <w:spacing w:line="240" w:lineRule="auto"/>
              <w:jc w:val="center"/>
              <w:rPr>
                <w:rFonts w:ascii="Times New Roman" w:eastAsia="Times New Roman" w:hAnsi="Times New Roman"/>
                <w:lang w:eastAsia="fr-FR"/>
              </w:rPr>
            </w:pPr>
            <w:r w:rsidRPr="00A80DED">
              <w:rPr>
                <w:rFonts w:ascii="Times New Roman" w:eastAsia="Times New Roman" w:hAnsi="Times New Roman"/>
                <w:lang w:eastAsia="fr-FR"/>
              </w:rPr>
              <w:t>2011-2015</w:t>
            </w:r>
          </w:p>
        </w:tc>
      </w:tr>
      <w:tr w:rsidR="00D638CC" w:rsidRPr="00C9734E" w:rsidTr="000E0BB8">
        <w:trPr>
          <w:trHeight w:val="20"/>
        </w:trPr>
        <w:tc>
          <w:tcPr>
            <w:tcW w:w="1886" w:type="pct"/>
            <w:tcBorders>
              <w:top w:val="single" w:sz="8" w:space="0" w:color="auto"/>
            </w:tcBorders>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Secteurs sociaux</w:t>
            </w:r>
          </w:p>
        </w:tc>
        <w:tc>
          <w:tcPr>
            <w:tcW w:w="990" w:type="pct"/>
            <w:tcBorders>
              <w:top w:val="single" w:sz="8"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25,4</w:t>
            </w:r>
          </w:p>
        </w:tc>
        <w:tc>
          <w:tcPr>
            <w:tcW w:w="987" w:type="pct"/>
            <w:tcBorders>
              <w:top w:val="single" w:sz="8"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31,9</w:t>
            </w:r>
          </w:p>
        </w:tc>
        <w:tc>
          <w:tcPr>
            <w:tcW w:w="1138" w:type="pct"/>
            <w:tcBorders>
              <w:top w:val="single" w:sz="8"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33,8</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C9734E">
            <w:pPr>
              <w:keepNext/>
              <w:keepLines/>
              <w:spacing w:line="240" w:lineRule="auto"/>
              <w:ind w:firstLineChars="100" w:firstLine="220"/>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Education</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17,3</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24,6</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17,9</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C9734E">
            <w:pPr>
              <w:keepNext/>
              <w:keepLines/>
              <w:spacing w:line="240" w:lineRule="auto"/>
              <w:ind w:firstLineChars="100" w:firstLine="220"/>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Santé</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6,5</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6,0</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13,4</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C9734E">
            <w:pPr>
              <w:keepNext/>
              <w:keepLines/>
              <w:spacing w:line="240" w:lineRule="auto"/>
              <w:ind w:firstLineChars="100" w:firstLine="220"/>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Développement Social et Culturel</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1,6</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1,3</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2,4</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Production et commerce</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9,9</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5,1</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12,3</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Infrastructures Productives</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16,7</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14,3</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24,3</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Gouvernance</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8,0</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6,4</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7,0</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C9734E">
            <w:pPr>
              <w:keepNext/>
              <w:keepLines/>
              <w:spacing w:line="240" w:lineRule="auto"/>
              <w:ind w:firstLineChars="100" w:firstLine="220"/>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Politique</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2,9</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3,0</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1,2</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C9734E">
            <w:pPr>
              <w:keepNext/>
              <w:keepLines/>
              <w:spacing w:line="240" w:lineRule="auto"/>
              <w:ind w:firstLineChars="100" w:firstLine="220"/>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Economique</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5,1</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3,4</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lang w:eastAsia="fr-FR"/>
              </w:rPr>
            </w:pPr>
            <w:r w:rsidRPr="00C9734E">
              <w:rPr>
                <w:rFonts w:ascii="Times New Roman" w:eastAsia="Times New Roman" w:hAnsi="Times New Roman"/>
                <w:lang w:eastAsia="fr-FR"/>
              </w:rPr>
              <w:t>5,8</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Défense et Sécurité</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8,7</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8,4</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4,0</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Souveraineté</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3,8</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4,3</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2,5</w:t>
            </w:r>
          </w:p>
        </w:tc>
      </w:tr>
      <w:tr w:rsidR="00D638CC" w:rsidRPr="00C9734E" w:rsidTr="000E0BB8">
        <w:trPr>
          <w:trHeight w:val="20"/>
        </w:trPr>
        <w:tc>
          <w:tcPr>
            <w:tcW w:w="1886" w:type="pct"/>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Total Ministères et institutions</w:t>
            </w:r>
          </w:p>
        </w:tc>
        <w:tc>
          <w:tcPr>
            <w:tcW w:w="990"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72,5</w:t>
            </w:r>
          </w:p>
        </w:tc>
        <w:tc>
          <w:tcPr>
            <w:tcW w:w="987"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70,4</w:t>
            </w:r>
          </w:p>
        </w:tc>
        <w:tc>
          <w:tcPr>
            <w:tcW w:w="1138" w:type="pct"/>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83,8</w:t>
            </w:r>
          </w:p>
        </w:tc>
      </w:tr>
      <w:tr w:rsidR="00D638CC" w:rsidRPr="00C9734E" w:rsidTr="000E0BB8">
        <w:trPr>
          <w:trHeight w:val="20"/>
        </w:trPr>
        <w:tc>
          <w:tcPr>
            <w:tcW w:w="1886" w:type="pct"/>
            <w:tcBorders>
              <w:bottom w:val="single" w:sz="4" w:space="0" w:color="auto"/>
            </w:tcBorders>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Autres budgets</w:t>
            </w:r>
          </w:p>
        </w:tc>
        <w:tc>
          <w:tcPr>
            <w:tcW w:w="990" w:type="pct"/>
            <w:tcBorders>
              <w:bottom w:val="single" w:sz="4"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27,5</w:t>
            </w:r>
          </w:p>
        </w:tc>
        <w:tc>
          <w:tcPr>
            <w:tcW w:w="987" w:type="pct"/>
            <w:tcBorders>
              <w:bottom w:val="single" w:sz="4"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29,6</w:t>
            </w:r>
          </w:p>
        </w:tc>
        <w:tc>
          <w:tcPr>
            <w:tcW w:w="1138" w:type="pct"/>
            <w:tcBorders>
              <w:bottom w:val="single" w:sz="4"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26,2</w:t>
            </w:r>
          </w:p>
        </w:tc>
      </w:tr>
      <w:tr w:rsidR="00D638CC" w:rsidRPr="00C9734E" w:rsidTr="000E0BB8">
        <w:trPr>
          <w:trHeight w:val="348"/>
        </w:trPr>
        <w:tc>
          <w:tcPr>
            <w:tcW w:w="1886" w:type="pct"/>
            <w:tcBorders>
              <w:top w:val="single" w:sz="4" w:space="0" w:color="auto"/>
              <w:bottom w:val="double" w:sz="6" w:space="0" w:color="auto"/>
            </w:tcBorders>
            <w:shd w:val="clear" w:color="auto" w:fill="DAEEF3" w:themeFill="accent5" w:themeFillTint="33"/>
            <w:noWrap/>
            <w:hideMark/>
          </w:tcPr>
          <w:p w:rsidR="00D638CC" w:rsidRPr="00C9734E" w:rsidRDefault="00D638CC" w:rsidP="00F31F3C">
            <w:pPr>
              <w:keepNext/>
              <w:keepLines/>
              <w:spacing w:line="240" w:lineRule="auto"/>
              <w:rPr>
                <w:rFonts w:ascii="Times New Roman" w:eastAsia="Times New Roman" w:hAnsi="Times New Roman"/>
                <w:bCs/>
                <w:color w:val="000000"/>
                <w:lang w:eastAsia="fr-FR"/>
              </w:rPr>
            </w:pPr>
            <w:r w:rsidRPr="00C9734E">
              <w:rPr>
                <w:rFonts w:ascii="Times New Roman" w:eastAsia="Times New Roman" w:hAnsi="Times New Roman"/>
                <w:bCs/>
                <w:color w:val="000000"/>
                <w:lang w:eastAsia="fr-FR"/>
              </w:rPr>
              <w:t>Total Budget</w:t>
            </w:r>
          </w:p>
        </w:tc>
        <w:tc>
          <w:tcPr>
            <w:tcW w:w="990" w:type="pct"/>
            <w:tcBorders>
              <w:top w:val="single" w:sz="4" w:space="0" w:color="auto"/>
              <w:bottom w:val="double" w:sz="6"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100,0</w:t>
            </w:r>
          </w:p>
        </w:tc>
        <w:tc>
          <w:tcPr>
            <w:tcW w:w="987" w:type="pct"/>
            <w:tcBorders>
              <w:top w:val="single" w:sz="4" w:space="0" w:color="auto"/>
              <w:bottom w:val="double" w:sz="6"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100,0</w:t>
            </w:r>
          </w:p>
        </w:tc>
        <w:tc>
          <w:tcPr>
            <w:tcW w:w="1138" w:type="pct"/>
            <w:tcBorders>
              <w:top w:val="single" w:sz="4" w:space="0" w:color="auto"/>
              <w:bottom w:val="double" w:sz="6" w:space="0" w:color="auto"/>
            </w:tcBorders>
            <w:shd w:val="clear" w:color="auto" w:fill="DAEEF3" w:themeFill="accent5" w:themeFillTint="33"/>
            <w:hideMark/>
          </w:tcPr>
          <w:p w:rsidR="00D638CC" w:rsidRPr="00C9734E" w:rsidRDefault="00D638CC" w:rsidP="00F31F3C">
            <w:pPr>
              <w:keepNext/>
              <w:keepLines/>
              <w:spacing w:line="240" w:lineRule="auto"/>
              <w:jc w:val="center"/>
              <w:rPr>
                <w:rFonts w:ascii="Times New Roman" w:eastAsia="Times New Roman" w:hAnsi="Times New Roman"/>
                <w:bCs/>
                <w:lang w:eastAsia="fr-FR"/>
              </w:rPr>
            </w:pPr>
            <w:r w:rsidRPr="00C9734E">
              <w:rPr>
                <w:rFonts w:ascii="Times New Roman" w:eastAsia="Times New Roman" w:hAnsi="Times New Roman"/>
                <w:bCs/>
                <w:lang w:eastAsia="fr-FR"/>
              </w:rPr>
              <w:t>100,0</w:t>
            </w:r>
          </w:p>
        </w:tc>
      </w:tr>
      <w:tr w:rsidR="00D638CC" w:rsidRPr="00C9734E" w:rsidTr="00F31F3C">
        <w:trPr>
          <w:trHeight w:val="268"/>
        </w:trPr>
        <w:tc>
          <w:tcPr>
            <w:tcW w:w="5000" w:type="pct"/>
            <w:gridSpan w:val="4"/>
            <w:tcBorders>
              <w:top w:val="double" w:sz="6" w:space="0" w:color="auto"/>
            </w:tcBorders>
            <w:shd w:val="clear" w:color="auto" w:fill="DAEEF3" w:themeFill="accent5" w:themeFillTint="33"/>
            <w:noWrap/>
            <w:hideMark/>
          </w:tcPr>
          <w:p w:rsidR="00D638CC" w:rsidRPr="00C9734E" w:rsidRDefault="00D638CC" w:rsidP="00D638CC">
            <w:pPr>
              <w:keepNext/>
              <w:keepLines/>
              <w:spacing w:line="240" w:lineRule="auto"/>
              <w:rPr>
                <w:rFonts w:ascii="Times New Roman" w:hAnsi="Times New Roman"/>
                <w:sz w:val="20"/>
                <w:szCs w:val="20"/>
              </w:rPr>
            </w:pPr>
            <w:r w:rsidRPr="00C9734E">
              <w:rPr>
                <w:rFonts w:ascii="Times New Roman" w:hAnsi="Times New Roman"/>
                <w:sz w:val="20"/>
                <w:szCs w:val="20"/>
              </w:rPr>
              <w:t>Source : SCRP3, mars 2011</w:t>
            </w:r>
          </w:p>
        </w:tc>
      </w:tr>
    </w:tbl>
    <w:p w:rsidR="00D638CC" w:rsidRDefault="00D638CC"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r w:rsidRPr="00CB197E">
        <w:rPr>
          <w:rFonts w:ascii="Times New Roman" w:hAnsi="Times New Roman"/>
          <w:sz w:val="24"/>
        </w:rPr>
        <w:t xml:space="preserve">Les ressources allouées au </w:t>
      </w:r>
      <w:r>
        <w:rPr>
          <w:rFonts w:ascii="Times New Roman" w:hAnsi="Times New Roman"/>
          <w:sz w:val="24"/>
        </w:rPr>
        <w:t xml:space="preserve">développement </w:t>
      </w:r>
      <w:r w:rsidRPr="00CB197E">
        <w:rPr>
          <w:rFonts w:ascii="Times New Roman" w:hAnsi="Times New Roman"/>
          <w:sz w:val="24"/>
        </w:rPr>
        <w:t xml:space="preserve">de la production et du commerce représentent 12,3% des dotations totales. Ces ressources permettraient </w:t>
      </w:r>
      <w:r>
        <w:rPr>
          <w:rFonts w:ascii="Times New Roman" w:hAnsi="Times New Roman"/>
          <w:sz w:val="24"/>
        </w:rPr>
        <w:t xml:space="preserve">d’accompagner le secteur privé dans l’édification </w:t>
      </w:r>
      <w:r w:rsidRPr="00CB197E">
        <w:rPr>
          <w:rFonts w:ascii="Times New Roman" w:hAnsi="Times New Roman"/>
          <w:sz w:val="24"/>
        </w:rPr>
        <w:t>des piliers de croissance identifiés dans l’Agenda vers une économie émergente.</w:t>
      </w:r>
      <w:r w:rsidR="00C9734E">
        <w:rPr>
          <w:rFonts w:ascii="Times New Roman" w:hAnsi="Times New Roman"/>
          <w:sz w:val="24"/>
        </w:rPr>
        <w:t xml:space="preserve"> </w:t>
      </w:r>
      <w:r w:rsidRPr="00CB197E">
        <w:rPr>
          <w:rFonts w:ascii="Times New Roman" w:hAnsi="Times New Roman"/>
          <w:sz w:val="24"/>
        </w:rPr>
        <w:t xml:space="preserve">En ce qui concerne </w:t>
      </w:r>
      <w:r>
        <w:rPr>
          <w:rFonts w:ascii="Times New Roman" w:hAnsi="Times New Roman"/>
          <w:sz w:val="24"/>
        </w:rPr>
        <w:t>l</w:t>
      </w:r>
      <w:r w:rsidRPr="00CB197E">
        <w:rPr>
          <w:rFonts w:ascii="Times New Roman" w:hAnsi="Times New Roman"/>
          <w:sz w:val="24"/>
        </w:rPr>
        <w:t xml:space="preserve">es infrastructures productives, leur allocation budgétaire passerait de 20,0% en 2011 à 28,3% en 2015, soit une moyenne annuelle de 24,3% sur la période. Ainsi, le Gouvernement </w:t>
      </w:r>
      <w:r>
        <w:rPr>
          <w:rFonts w:ascii="Times New Roman" w:hAnsi="Times New Roman"/>
          <w:sz w:val="24"/>
        </w:rPr>
        <w:t>entend</w:t>
      </w:r>
      <w:r w:rsidRPr="00CB197E">
        <w:rPr>
          <w:rFonts w:ascii="Times New Roman" w:hAnsi="Times New Roman"/>
          <w:sz w:val="24"/>
        </w:rPr>
        <w:t xml:space="preserve"> poursuivre la politique des grands travaux engagés depuis l’année 2006, nécessaire au développement des secteurs secondaire et tertiaire et à la stimulation de la croissance économique</w:t>
      </w:r>
      <w:r>
        <w:rPr>
          <w:rFonts w:ascii="Times New Roman" w:hAnsi="Times New Roman"/>
          <w:sz w:val="24"/>
        </w:rPr>
        <w:t>.</w:t>
      </w:r>
    </w:p>
    <w:p w:rsidR="002E3BBE" w:rsidRPr="00CB197E" w:rsidRDefault="002E3BBE" w:rsidP="002E3BBE">
      <w:pPr>
        <w:spacing w:line="276" w:lineRule="auto"/>
        <w:rPr>
          <w:rFonts w:ascii="Times New Roman" w:hAnsi="Times New Roman"/>
          <w:sz w:val="24"/>
        </w:rPr>
      </w:pPr>
    </w:p>
    <w:p w:rsidR="002E3BBE" w:rsidRPr="00813CDE" w:rsidRDefault="002E3BBE" w:rsidP="002E3BBE">
      <w:pPr>
        <w:pStyle w:val="T511"/>
        <w:numPr>
          <w:ilvl w:val="0"/>
          <w:numId w:val="0"/>
        </w:numPr>
        <w:spacing w:after="0"/>
        <w:rPr>
          <w:b w:val="0"/>
        </w:rPr>
      </w:pPr>
      <w:r w:rsidRPr="00B44BE1">
        <w:t>Dépenses sociales prioritaires de la SCRP</w:t>
      </w:r>
      <w:r>
        <w:t xml:space="preserve">. </w:t>
      </w:r>
      <w:r w:rsidRPr="00813CDE">
        <w:rPr>
          <w:b w:val="0"/>
        </w:rPr>
        <w:t xml:space="preserve">Dans le but de protéger les couches sociales pauvres et vulnérables, et de renforcer la marche du Bénin vers l’atteinte de certains OMD, des dépenses sociales prioritaires ont été définies en rapport avec le Programme d’actions prioritaires (PAP) adossé à la SCRP 3. Il s’agit de dépenses (hors </w:t>
      </w:r>
      <w:r w:rsidR="007367AB">
        <w:rPr>
          <w:b w:val="0"/>
        </w:rPr>
        <w:t>salaire</w:t>
      </w:r>
      <w:r w:rsidRPr="00813CDE">
        <w:rPr>
          <w:b w:val="0"/>
        </w:rPr>
        <w:t>) des secteurs de la santé, de l’énergie et eau,</w:t>
      </w:r>
      <w:r w:rsidR="00C9734E">
        <w:rPr>
          <w:b w:val="0"/>
        </w:rPr>
        <w:t xml:space="preserve"> </w:t>
      </w:r>
      <w:r w:rsidRPr="00813CDE">
        <w:rPr>
          <w:b w:val="0"/>
        </w:rPr>
        <w:t xml:space="preserve">de l’agriculture, </w:t>
      </w:r>
      <w:r w:rsidR="007367AB">
        <w:rPr>
          <w:b w:val="0"/>
        </w:rPr>
        <w:t xml:space="preserve">de </w:t>
      </w:r>
      <w:r w:rsidRPr="00813CDE">
        <w:rPr>
          <w:b w:val="0"/>
        </w:rPr>
        <w:t xml:space="preserve">la jeunesse, </w:t>
      </w:r>
      <w:r w:rsidR="007367AB">
        <w:rPr>
          <w:b w:val="0"/>
        </w:rPr>
        <w:t>d</w:t>
      </w:r>
      <w:r w:rsidR="007367AB" w:rsidRPr="00813CDE">
        <w:rPr>
          <w:b w:val="0"/>
        </w:rPr>
        <w:t xml:space="preserve">es </w:t>
      </w:r>
      <w:r w:rsidRPr="00813CDE">
        <w:rPr>
          <w:b w:val="0"/>
        </w:rPr>
        <w:t>sports et loisirs, de la famille et la solidarité nationale, de l’éducation, de la microfinance et emploi, et de la culture, alphabétisation et promotion des langues nationales. Leur exécution est suivie sur base ordonnancement à travers le Système Informatisé de Gestion des Finances Publiques (SIGFiP).</w:t>
      </w:r>
    </w:p>
    <w:p w:rsidR="002E3BBE" w:rsidRPr="00CB197E" w:rsidRDefault="002E3BBE" w:rsidP="002E3BBE">
      <w:pPr>
        <w:spacing w:line="276" w:lineRule="auto"/>
        <w:rPr>
          <w:rFonts w:ascii="Times New Roman" w:hAnsi="Times New Roman"/>
          <w:sz w:val="24"/>
        </w:rPr>
      </w:pPr>
    </w:p>
    <w:p w:rsidR="002E3BBE" w:rsidRDefault="002E3BBE" w:rsidP="002E3BBE">
      <w:pPr>
        <w:tabs>
          <w:tab w:val="num" w:pos="720"/>
        </w:tabs>
        <w:spacing w:line="276" w:lineRule="auto"/>
        <w:rPr>
          <w:rFonts w:ascii="Times New Roman" w:hAnsi="Times New Roman"/>
          <w:sz w:val="24"/>
        </w:rPr>
      </w:pPr>
      <w:r w:rsidRPr="00CB197E">
        <w:rPr>
          <w:rFonts w:ascii="Times New Roman" w:hAnsi="Times New Roman"/>
          <w:sz w:val="24"/>
        </w:rPr>
        <w:t xml:space="preserve">Globalement, à fin décembre 2011, le montant exécuté base ordonnancement, des dépenses sociales prioritaires se </w:t>
      </w:r>
      <w:r w:rsidR="00BB665E" w:rsidRPr="00CB197E">
        <w:rPr>
          <w:rFonts w:ascii="Times New Roman" w:hAnsi="Times New Roman"/>
          <w:sz w:val="24"/>
        </w:rPr>
        <w:t>chiffrent</w:t>
      </w:r>
      <w:r w:rsidRPr="00CB197E">
        <w:rPr>
          <w:rFonts w:ascii="Times New Roman" w:hAnsi="Times New Roman"/>
          <w:sz w:val="24"/>
        </w:rPr>
        <w:t xml:space="preserve"> à 99,4 milliards de FCFA sur une prévision de 132,6 milliards de FCFA, soit un taux d’exécution de 74,6%. Aucun ministère n’a atteint l’objectif de 100% visé. Le niveau d’exécution par ministère des dépenses sociales prioritaires en 2011 se situe entre 50,4% pour le ministère en charge de l’énergie et eau et de 99,4% pour le ministère en charge de l’enseignement supérieur. </w:t>
      </w:r>
    </w:p>
    <w:p w:rsidR="002E3BBE" w:rsidRDefault="002E3BBE" w:rsidP="002E3BBE">
      <w:pPr>
        <w:tabs>
          <w:tab w:val="num" w:pos="720"/>
        </w:tabs>
        <w:spacing w:line="276" w:lineRule="auto"/>
        <w:rPr>
          <w:rFonts w:ascii="Times New Roman" w:hAnsi="Times New Roman"/>
          <w:sz w:val="24"/>
        </w:rPr>
      </w:pPr>
    </w:p>
    <w:p w:rsidR="008A05C0" w:rsidRDefault="008A05C0" w:rsidP="008A05C0">
      <w:pPr>
        <w:spacing w:line="276" w:lineRule="auto"/>
        <w:rPr>
          <w:rFonts w:ascii="Times New Roman" w:hAnsi="Times New Roman"/>
          <w:sz w:val="24"/>
        </w:rPr>
      </w:pPr>
      <w:r w:rsidRPr="00CB197E">
        <w:rPr>
          <w:rFonts w:ascii="Times New Roman" w:hAnsi="Times New Roman"/>
          <w:sz w:val="24"/>
        </w:rPr>
        <w:t>Pour pallier les difficultés rencontr</w:t>
      </w:r>
      <w:r>
        <w:rPr>
          <w:rFonts w:ascii="Times New Roman" w:hAnsi="Times New Roman"/>
          <w:sz w:val="24"/>
        </w:rPr>
        <w:t xml:space="preserve">ées </w:t>
      </w:r>
      <w:r w:rsidRPr="00CB197E">
        <w:rPr>
          <w:rFonts w:ascii="Times New Roman" w:hAnsi="Times New Roman"/>
          <w:sz w:val="24"/>
        </w:rPr>
        <w:t xml:space="preserve">dans la mise en œuvre au cours de l’année 2011, le suivi de l’exécution desdites dépenses </w:t>
      </w:r>
      <w:r>
        <w:rPr>
          <w:rFonts w:ascii="Times New Roman" w:hAnsi="Times New Roman"/>
          <w:sz w:val="24"/>
        </w:rPr>
        <w:t xml:space="preserve">a été renforcé </w:t>
      </w:r>
      <w:r w:rsidRPr="00CB197E">
        <w:rPr>
          <w:rFonts w:ascii="Times New Roman" w:hAnsi="Times New Roman"/>
          <w:sz w:val="24"/>
        </w:rPr>
        <w:t xml:space="preserve">au moyen d’un réseau de points focaux mis en place et coordonné par la Direction </w:t>
      </w:r>
      <w:r>
        <w:rPr>
          <w:rFonts w:ascii="Times New Roman" w:hAnsi="Times New Roman"/>
          <w:sz w:val="24"/>
        </w:rPr>
        <w:t>G</w:t>
      </w:r>
      <w:r w:rsidRPr="00CB197E">
        <w:rPr>
          <w:rFonts w:ascii="Times New Roman" w:hAnsi="Times New Roman"/>
          <w:sz w:val="24"/>
        </w:rPr>
        <w:t xml:space="preserve">énérale du </w:t>
      </w:r>
      <w:r>
        <w:rPr>
          <w:rFonts w:ascii="Times New Roman" w:hAnsi="Times New Roman"/>
          <w:sz w:val="24"/>
        </w:rPr>
        <w:t>B</w:t>
      </w:r>
      <w:r w:rsidRPr="00CB197E">
        <w:rPr>
          <w:rFonts w:ascii="Times New Roman" w:hAnsi="Times New Roman"/>
          <w:sz w:val="24"/>
        </w:rPr>
        <w:t xml:space="preserve">udget. </w:t>
      </w:r>
      <w:r>
        <w:rPr>
          <w:rFonts w:ascii="Times New Roman" w:hAnsi="Times New Roman"/>
          <w:sz w:val="24"/>
        </w:rPr>
        <w:t xml:space="preserve">Ce qui a permis de </w:t>
      </w:r>
      <w:r w:rsidRPr="00CB197E">
        <w:rPr>
          <w:rFonts w:ascii="Times New Roman" w:hAnsi="Times New Roman"/>
          <w:sz w:val="24"/>
        </w:rPr>
        <w:t>porter le taux d’exécution à 10</w:t>
      </w:r>
      <w:r>
        <w:rPr>
          <w:rFonts w:ascii="Times New Roman" w:hAnsi="Times New Roman"/>
          <w:sz w:val="24"/>
        </w:rPr>
        <w:t>3,1</w:t>
      </w:r>
      <w:r w:rsidRPr="00CB197E">
        <w:rPr>
          <w:rFonts w:ascii="Times New Roman" w:hAnsi="Times New Roman"/>
          <w:sz w:val="24"/>
        </w:rPr>
        <w:t>% à fin décembre 2012</w:t>
      </w:r>
      <w:r>
        <w:rPr>
          <w:rFonts w:ascii="Times New Roman" w:hAnsi="Times New Roman"/>
          <w:sz w:val="24"/>
        </w:rPr>
        <w:t xml:space="preserve">. </w:t>
      </w:r>
      <w:r w:rsidRPr="00CB197E">
        <w:rPr>
          <w:rFonts w:ascii="Times New Roman" w:hAnsi="Times New Roman"/>
          <w:sz w:val="24"/>
        </w:rPr>
        <w:t>En complément, les dispositions ont été prises pour s’assurer de la pertinence des lignes budgétaires sélectionnées au regard des objectifs de la SCRP3.</w:t>
      </w:r>
    </w:p>
    <w:p w:rsidR="008A05C0" w:rsidRDefault="008A05C0" w:rsidP="008A05C0">
      <w:pPr>
        <w:spacing w:line="276" w:lineRule="auto"/>
        <w:rPr>
          <w:rFonts w:ascii="Times New Roman" w:hAnsi="Times New Roman"/>
          <w:sz w:val="24"/>
        </w:rPr>
      </w:pPr>
    </w:p>
    <w:p w:rsidR="008A05C0" w:rsidRPr="00F06619" w:rsidRDefault="008A05C0" w:rsidP="008A05C0">
      <w:pPr>
        <w:spacing w:line="276" w:lineRule="auto"/>
        <w:rPr>
          <w:rFonts w:ascii="Times New Roman" w:hAnsi="Times New Roman"/>
          <w:sz w:val="24"/>
        </w:rPr>
      </w:pPr>
      <w:r w:rsidRPr="005135C9">
        <w:rPr>
          <w:rFonts w:ascii="Times New Roman" w:hAnsi="Times New Roman"/>
          <w:b/>
          <w:sz w:val="24"/>
          <w:szCs w:val="24"/>
        </w:rPr>
        <w:t>Allocation des dépenses publiques au niveau décentralisé</w:t>
      </w:r>
      <w:r>
        <w:rPr>
          <w:rFonts w:ascii="Times New Roman" w:hAnsi="Times New Roman"/>
          <w:b/>
          <w:sz w:val="24"/>
          <w:szCs w:val="24"/>
        </w:rPr>
        <w:t xml:space="preserve">. </w:t>
      </w:r>
      <w:r w:rsidRPr="00F06619">
        <w:rPr>
          <w:rFonts w:ascii="Times New Roman" w:hAnsi="Times New Roman"/>
          <w:sz w:val="24"/>
        </w:rPr>
        <w:t xml:space="preserve">Le Fonds d’Appui au Développement des Communes </w:t>
      </w:r>
      <w:r>
        <w:rPr>
          <w:rFonts w:ascii="Times New Roman" w:hAnsi="Times New Roman"/>
          <w:sz w:val="24"/>
        </w:rPr>
        <w:t xml:space="preserve">(FADeC) </w:t>
      </w:r>
      <w:r w:rsidRPr="00F06619">
        <w:rPr>
          <w:rFonts w:ascii="Times New Roman" w:hAnsi="Times New Roman"/>
          <w:sz w:val="24"/>
        </w:rPr>
        <w:t>est un mécanisme de financement national et de transferts de ressources aux communes mis en place en mai 2008. Il est administré par la Commission Nationale des Finances Locales (CONAFIL), organe paritaire État</w:t>
      </w:r>
      <w:r>
        <w:rPr>
          <w:rFonts w:ascii="Times New Roman" w:hAnsi="Times New Roman"/>
          <w:sz w:val="24"/>
        </w:rPr>
        <w:t>-</w:t>
      </w:r>
      <w:r w:rsidRPr="00F06619">
        <w:rPr>
          <w:rFonts w:ascii="Times New Roman" w:hAnsi="Times New Roman"/>
          <w:sz w:val="24"/>
        </w:rPr>
        <w:t>Communes. Le Fonds est abondé par des ressources provenant aussi bien du budget national que d</w:t>
      </w:r>
      <w:r>
        <w:rPr>
          <w:rFonts w:ascii="Times New Roman" w:hAnsi="Times New Roman"/>
          <w:sz w:val="24"/>
        </w:rPr>
        <w:t>es partenaires au développement</w:t>
      </w:r>
      <w:r w:rsidRPr="00F06619">
        <w:rPr>
          <w:rFonts w:ascii="Times New Roman" w:hAnsi="Times New Roman"/>
          <w:sz w:val="24"/>
        </w:rPr>
        <w:t>. Ces ressources sont transférées aux communes sous forme de dotations annuelles selon une formule de répartition définie par la CONAFIL. Le FADeC est composé de deux types de dotations</w:t>
      </w:r>
      <w:r>
        <w:rPr>
          <w:rFonts w:ascii="Times New Roman" w:hAnsi="Times New Roman"/>
          <w:sz w:val="24"/>
        </w:rPr>
        <w:t> :</w:t>
      </w:r>
      <w:r w:rsidRPr="00F06619">
        <w:rPr>
          <w:rFonts w:ascii="Times New Roman" w:hAnsi="Times New Roman"/>
          <w:sz w:val="24"/>
        </w:rPr>
        <w:t xml:space="preserve"> une dotation pour le fonctionnement et une dotation pour l’investissement.</w:t>
      </w:r>
    </w:p>
    <w:p w:rsidR="008A05C0" w:rsidRPr="00F06619" w:rsidRDefault="008A05C0" w:rsidP="008A05C0">
      <w:pPr>
        <w:spacing w:line="276" w:lineRule="auto"/>
        <w:rPr>
          <w:rFonts w:ascii="Times New Roman" w:hAnsi="Times New Roman"/>
          <w:sz w:val="24"/>
        </w:rPr>
      </w:pPr>
    </w:p>
    <w:p w:rsidR="008A05C0" w:rsidRDefault="008A05C0" w:rsidP="002E3BBE">
      <w:pPr>
        <w:tabs>
          <w:tab w:val="num" w:pos="720"/>
        </w:tabs>
        <w:spacing w:line="276" w:lineRule="auto"/>
        <w:rPr>
          <w:rFonts w:ascii="Times New Roman" w:hAnsi="Times New Roman"/>
          <w:sz w:val="24"/>
        </w:rPr>
      </w:pPr>
    </w:p>
    <w:p w:rsidR="00085EB0" w:rsidRDefault="00085EB0" w:rsidP="002E3BBE">
      <w:pPr>
        <w:tabs>
          <w:tab w:val="num" w:pos="720"/>
        </w:tabs>
        <w:spacing w:line="276" w:lineRule="auto"/>
        <w:rPr>
          <w:rFonts w:ascii="Times New Roman" w:hAnsi="Times New Roman"/>
          <w:sz w:val="24"/>
        </w:rPr>
      </w:pPr>
    </w:p>
    <w:p w:rsidR="00085EB0" w:rsidRPr="00CB197E" w:rsidRDefault="00085EB0" w:rsidP="002E3BBE">
      <w:pPr>
        <w:tabs>
          <w:tab w:val="num" w:pos="720"/>
        </w:tabs>
        <w:spacing w:line="276" w:lineRule="auto"/>
        <w:rPr>
          <w:rFonts w:ascii="Times New Roman" w:hAnsi="Times New Roman"/>
          <w:sz w:val="24"/>
        </w:rPr>
      </w:pPr>
    </w:p>
    <w:tbl>
      <w:tblPr>
        <w:tblStyle w:val="Grilledutableau"/>
        <w:tblW w:w="96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5"/>
      </w:tblGrid>
      <w:tr w:rsidR="000E0BB8" w:rsidTr="000E0BB8">
        <w:trPr>
          <w:jc w:val="center"/>
        </w:trPr>
        <w:tc>
          <w:tcPr>
            <w:tcW w:w="9695" w:type="dxa"/>
            <w:shd w:val="clear" w:color="auto" w:fill="92CDDC" w:themeFill="accent5" w:themeFillTint="99"/>
          </w:tcPr>
          <w:p w:rsidR="000E0BB8" w:rsidRPr="000E0BB8" w:rsidRDefault="000E0BB8" w:rsidP="000E0BB8">
            <w:pPr>
              <w:spacing w:before="120" w:after="120" w:line="240" w:lineRule="auto"/>
              <w:ind w:left="-57"/>
              <w:jc w:val="left"/>
              <w:rPr>
                <w:rFonts w:ascii="Times New Roman" w:hAnsi="Times New Roman"/>
                <w:noProof/>
                <w:sz w:val="24"/>
                <w:szCs w:val="24"/>
                <w:lang w:eastAsia="fr-FR"/>
              </w:rPr>
            </w:pPr>
            <w:bookmarkStart w:id="126" w:name="_Toc369726132"/>
            <w:bookmarkStart w:id="127" w:name="_Toc369726696"/>
            <w:bookmarkStart w:id="128" w:name="_Toc369728069"/>
            <w:r w:rsidRPr="000E0BB8">
              <w:rPr>
                <w:rFonts w:ascii="Times New Roman" w:hAnsi="Times New Roman"/>
                <w:sz w:val="24"/>
                <w:szCs w:val="24"/>
              </w:rPr>
              <w:t xml:space="preserve">Graphique 4. </w:t>
            </w:r>
            <w:r w:rsidR="00182C97" w:rsidRPr="000E0BB8">
              <w:rPr>
                <w:rFonts w:ascii="Times New Roman" w:hAnsi="Times New Roman"/>
                <w:sz w:val="24"/>
                <w:szCs w:val="24"/>
              </w:rPr>
              <w:fldChar w:fldCharType="begin"/>
            </w:r>
            <w:r w:rsidRPr="000E0BB8">
              <w:rPr>
                <w:rFonts w:ascii="Times New Roman" w:hAnsi="Times New Roman"/>
                <w:sz w:val="24"/>
                <w:szCs w:val="24"/>
              </w:rPr>
              <w:instrText xml:space="preserve"> SEQ Graphiaue_4. \* ARABIC </w:instrText>
            </w:r>
            <w:r w:rsidR="00182C97" w:rsidRPr="000E0BB8">
              <w:rPr>
                <w:rFonts w:ascii="Times New Roman" w:hAnsi="Times New Roman"/>
                <w:sz w:val="24"/>
                <w:szCs w:val="24"/>
              </w:rPr>
              <w:fldChar w:fldCharType="separate"/>
            </w:r>
            <w:r w:rsidR="00AB1967">
              <w:rPr>
                <w:rFonts w:ascii="Times New Roman" w:hAnsi="Times New Roman"/>
                <w:noProof/>
                <w:sz w:val="24"/>
                <w:szCs w:val="24"/>
              </w:rPr>
              <w:t>3</w:t>
            </w:r>
            <w:r w:rsidR="00182C97" w:rsidRPr="000E0BB8">
              <w:rPr>
                <w:rFonts w:ascii="Times New Roman" w:hAnsi="Times New Roman"/>
                <w:sz w:val="24"/>
                <w:szCs w:val="24"/>
              </w:rPr>
              <w:fldChar w:fldCharType="end"/>
            </w:r>
            <w:r w:rsidRPr="000E0BB8">
              <w:rPr>
                <w:rFonts w:ascii="Times New Roman" w:hAnsi="Times New Roman"/>
                <w:sz w:val="24"/>
                <w:szCs w:val="24"/>
              </w:rPr>
              <w:t>: Exécution sectorielle des dépenses sociales prioritaires en 2011 et en 2012</w:t>
            </w:r>
            <w:bookmarkEnd w:id="126"/>
            <w:bookmarkEnd w:id="127"/>
            <w:bookmarkEnd w:id="128"/>
          </w:p>
        </w:tc>
      </w:tr>
      <w:tr w:rsidR="00D638CC" w:rsidTr="008A05C0">
        <w:trPr>
          <w:jc w:val="center"/>
        </w:trPr>
        <w:tc>
          <w:tcPr>
            <w:tcW w:w="9695" w:type="dxa"/>
            <w:shd w:val="clear" w:color="auto" w:fill="DAEEF3" w:themeFill="accent5" w:themeFillTint="33"/>
          </w:tcPr>
          <w:p w:rsidR="00D638CC" w:rsidRDefault="00D638CC" w:rsidP="00F31F3C">
            <w:pPr>
              <w:spacing w:before="120" w:after="120" w:line="240" w:lineRule="auto"/>
              <w:ind w:left="-57"/>
              <w:jc w:val="center"/>
            </w:pPr>
            <w:r w:rsidRPr="00D638CC">
              <w:rPr>
                <w:noProof/>
                <w:lang w:eastAsia="fr-FR"/>
              </w:rPr>
              <w:drawing>
                <wp:inline distT="0" distB="0" distL="0" distR="0" wp14:anchorId="589EC596" wp14:editId="5E0F0061">
                  <wp:extent cx="5937691" cy="5558505"/>
                  <wp:effectExtent l="19050" t="0" r="24959" b="409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r>
      <w:tr w:rsidR="00D638CC" w:rsidRPr="00E16B3C" w:rsidTr="008A05C0">
        <w:trPr>
          <w:jc w:val="center"/>
        </w:trPr>
        <w:tc>
          <w:tcPr>
            <w:tcW w:w="9695" w:type="dxa"/>
            <w:shd w:val="clear" w:color="auto" w:fill="DAEEF3" w:themeFill="accent5" w:themeFillTint="33"/>
          </w:tcPr>
          <w:p w:rsidR="00D638CC" w:rsidRPr="00FC3C4C" w:rsidRDefault="00D638CC" w:rsidP="00E40F2F">
            <w:pPr>
              <w:keepNext/>
              <w:keepLines/>
              <w:spacing w:line="240" w:lineRule="auto"/>
              <w:rPr>
                <w:rFonts w:ascii="Times New Roman" w:hAnsi="Times New Roman"/>
              </w:rPr>
            </w:pPr>
            <w:r>
              <w:rPr>
                <w:rFonts w:ascii="Times New Roman" w:hAnsi="Times New Roman"/>
              </w:rPr>
              <w:t>Source : Rapport d’avancement 2011 de la SCRP 3, juin 2012</w:t>
            </w:r>
          </w:p>
        </w:tc>
      </w:tr>
    </w:tbl>
    <w:p w:rsidR="00D638CC" w:rsidRDefault="00D638CC" w:rsidP="00D638CC"/>
    <w:p w:rsidR="002E3BBE" w:rsidRDefault="002E3BBE" w:rsidP="002E3BBE">
      <w:pPr>
        <w:spacing w:line="276" w:lineRule="auto"/>
        <w:rPr>
          <w:rFonts w:ascii="Times New Roman" w:hAnsi="Times New Roman"/>
          <w:sz w:val="24"/>
        </w:rPr>
      </w:pPr>
      <w:r w:rsidRPr="00F06619">
        <w:rPr>
          <w:rFonts w:ascii="Times New Roman" w:hAnsi="Times New Roman"/>
          <w:sz w:val="24"/>
        </w:rPr>
        <w:t xml:space="preserve">Avec la mise en place du FADeC, l’appui financier de l’État à l’effort de développement </w:t>
      </w:r>
      <w:r>
        <w:rPr>
          <w:rFonts w:ascii="Times New Roman" w:hAnsi="Times New Roman"/>
          <w:sz w:val="24"/>
        </w:rPr>
        <w:t xml:space="preserve">local </w:t>
      </w:r>
      <w:r w:rsidRPr="00F06619">
        <w:rPr>
          <w:rFonts w:ascii="Times New Roman" w:hAnsi="Times New Roman"/>
          <w:sz w:val="24"/>
        </w:rPr>
        <w:t>s’est renforcé. En effet, jusqu’en 2005, la part des dotations de l’État dans les budgets communaux est restée faible, atteignant à peine 10%. Mais</w:t>
      </w:r>
      <w:r>
        <w:rPr>
          <w:rFonts w:ascii="Times New Roman" w:hAnsi="Times New Roman"/>
          <w:sz w:val="24"/>
        </w:rPr>
        <w:t xml:space="preserve">, avec </w:t>
      </w:r>
      <w:r w:rsidRPr="00F06619">
        <w:rPr>
          <w:rFonts w:ascii="Times New Roman" w:hAnsi="Times New Roman"/>
          <w:sz w:val="24"/>
        </w:rPr>
        <w:t>la mise en place du FADeC, ce montant a régulièrement augmenté pour représenter 51,4% du montant total des rece</w:t>
      </w:r>
      <w:r>
        <w:rPr>
          <w:rFonts w:ascii="Times New Roman" w:hAnsi="Times New Roman"/>
          <w:sz w:val="24"/>
        </w:rPr>
        <w:t>ttes des communes. Le t</w:t>
      </w:r>
      <w:r w:rsidRPr="00F06619">
        <w:rPr>
          <w:rFonts w:ascii="Times New Roman" w:hAnsi="Times New Roman"/>
          <w:sz w:val="24"/>
        </w:rPr>
        <w:t xml:space="preserve">ableau </w:t>
      </w:r>
      <w:r>
        <w:rPr>
          <w:rFonts w:ascii="Times New Roman" w:hAnsi="Times New Roman"/>
          <w:sz w:val="24"/>
        </w:rPr>
        <w:t xml:space="preserve">ci-dessous </w:t>
      </w:r>
      <w:r w:rsidRPr="00F06619">
        <w:rPr>
          <w:rFonts w:ascii="Times New Roman" w:hAnsi="Times New Roman"/>
          <w:sz w:val="24"/>
        </w:rPr>
        <w:t xml:space="preserve"> donne l’évolution des transferts de l’État central aux collectivités locales sur la période 2</w:t>
      </w:r>
      <w:r>
        <w:rPr>
          <w:rFonts w:ascii="Times New Roman" w:hAnsi="Times New Roman"/>
          <w:sz w:val="24"/>
        </w:rPr>
        <w:t xml:space="preserve">006 </w:t>
      </w:r>
      <w:r w:rsidRPr="00F06619">
        <w:rPr>
          <w:rFonts w:ascii="Times New Roman" w:hAnsi="Times New Roman"/>
          <w:sz w:val="24"/>
        </w:rPr>
        <w:t>-2010.</w:t>
      </w:r>
    </w:p>
    <w:p w:rsidR="002E3BBE" w:rsidRDefault="002E3BBE" w:rsidP="002E3BBE">
      <w:pPr>
        <w:spacing w:line="276" w:lineRule="auto"/>
        <w:rPr>
          <w:rFonts w:ascii="Times New Roman" w:hAnsi="Times New Roman"/>
          <w:sz w:val="24"/>
        </w:rPr>
      </w:pPr>
    </w:p>
    <w:p w:rsidR="008A05C0" w:rsidRDefault="008A05C0" w:rsidP="002E3BBE">
      <w:pPr>
        <w:spacing w:line="276" w:lineRule="auto"/>
        <w:rPr>
          <w:rFonts w:ascii="Times New Roman" w:hAnsi="Times New Roman"/>
          <w:sz w:val="24"/>
        </w:rPr>
      </w:pPr>
    </w:p>
    <w:p w:rsidR="008A05C0" w:rsidRDefault="008A05C0" w:rsidP="002E3BBE">
      <w:pPr>
        <w:spacing w:line="276" w:lineRule="auto"/>
        <w:rPr>
          <w:rFonts w:ascii="Times New Roman" w:hAnsi="Times New Roman"/>
          <w:sz w:val="24"/>
        </w:rPr>
      </w:pPr>
    </w:p>
    <w:p w:rsidR="008A05C0" w:rsidRPr="00F06619" w:rsidRDefault="008A05C0" w:rsidP="002E3BBE">
      <w:pPr>
        <w:spacing w:line="276" w:lineRule="auto"/>
        <w:rPr>
          <w:rFonts w:ascii="Times New Roman" w:hAnsi="Times New Roman"/>
          <w:sz w:val="24"/>
        </w:rPr>
      </w:pPr>
    </w:p>
    <w:tbl>
      <w:tblPr>
        <w:tblW w:w="5000" w:type="pct"/>
        <w:tblLook w:val="04A0" w:firstRow="1" w:lastRow="0" w:firstColumn="1" w:lastColumn="0" w:noHBand="0" w:noVBand="1"/>
      </w:tblPr>
      <w:tblGrid>
        <w:gridCol w:w="4313"/>
        <w:gridCol w:w="996"/>
        <w:gridCol w:w="995"/>
        <w:gridCol w:w="995"/>
        <w:gridCol w:w="995"/>
        <w:gridCol w:w="992"/>
      </w:tblGrid>
      <w:tr w:rsidR="00DA7494" w:rsidRPr="00EA439B" w:rsidTr="00DA7494">
        <w:trPr>
          <w:trHeight w:val="369"/>
        </w:trPr>
        <w:tc>
          <w:tcPr>
            <w:tcW w:w="5000" w:type="pct"/>
            <w:gridSpan w:val="6"/>
            <w:tcBorders>
              <w:bottom w:val="double" w:sz="6" w:space="0" w:color="auto"/>
            </w:tcBorders>
            <w:shd w:val="clear" w:color="auto" w:fill="92CDDC" w:themeFill="accent5" w:themeFillTint="99"/>
            <w:vAlign w:val="bottom"/>
          </w:tcPr>
          <w:p w:rsidR="00DA7494" w:rsidRPr="00DA7494" w:rsidRDefault="00DA7494" w:rsidP="00DA7494">
            <w:pPr>
              <w:spacing w:line="240" w:lineRule="auto"/>
              <w:jc w:val="left"/>
              <w:rPr>
                <w:rFonts w:ascii="Times New Roman" w:hAnsi="Times New Roman"/>
                <w:b/>
                <w:bCs/>
                <w:sz w:val="24"/>
                <w:szCs w:val="24"/>
              </w:rPr>
            </w:pPr>
            <w:bookmarkStart w:id="129" w:name="_Toc363421454"/>
            <w:bookmarkStart w:id="130" w:name="_Toc369714618"/>
            <w:bookmarkStart w:id="131" w:name="_Toc369720638"/>
            <w:r w:rsidRPr="00DA7494">
              <w:rPr>
                <w:rFonts w:ascii="Times New Roman" w:hAnsi="Times New Roman"/>
                <w:sz w:val="24"/>
                <w:szCs w:val="24"/>
              </w:rPr>
              <w:t xml:space="preserve">Tableau 4. </w:t>
            </w:r>
            <w:r w:rsidR="00182C97" w:rsidRPr="00DA7494">
              <w:rPr>
                <w:rFonts w:ascii="Times New Roman" w:hAnsi="Times New Roman"/>
                <w:sz w:val="24"/>
                <w:szCs w:val="24"/>
              </w:rPr>
              <w:fldChar w:fldCharType="begin"/>
            </w:r>
            <w:r w:rsidRPr="00DA7494">
              <w:rPr>
                <w:rFonts w:ascii="Times New Roman" w:hAnsi="Times New Roman"/>
                <w:sz w:val="24"/>
                <w:szCs w:val="24"/>
              </w:rPr>
              <w:instrText xml:space="preserve"> SEQ Tableau_4. \* ARABIC </w:instrText>
            </w:r>
            <w:r w:rsidR="00182C97" w:rsidRPr="00DA7494">
              <w:rPr>
                <w:rFonts w:ascii="Times New Roman" w:hAnsi="Times New Roman"/>
                <w:sz w:val="24"/>
                <w:szCs w:val="24"/>
              </w:rPr>
              <w:fldChar w:fldCharType="separate"/>
            </w:r>
            <w:r w:rsidR="00AB1967">
              <w:rPr>
                <w:rFonts w:ascii="Times New Roman" w:hAnsi="Times New Roman"/>
                <w:noProof/>
                <w:sz w:val="24"/>
                <w:szCs w:val="24"/>
              </w:rPr>
              <w:t>4</w:t>
            </w:r>
            <w:r w:rsidR="00182C97" w:rsidRPr="00DA7494">
              <w:rPr>
                <w:rFonts w:ascii="Times New Roman" w:hAnsi="Times New Roman"/>
                <w:sz w:val="24"/>
                <w:szCs w:val="24"/>
              </w:rPr>
              <w:fldChar w:fldCharType="end"/>
            </w:r>
            <w:r w:rsidRPr="00DA7494">
              <w:rPr>
                <w:rFonts w:ascii="Times New Roman" w:hAnsi="Times New Roman"/>
                <w:sz w:val="24"/>
                <w:szCs w:val="24"/>
              </w:rPr>
              <w:t>: Évolution des transferts de l’État aux communes, 2006 -2010</w:t>
            </w:r>
            <w:r w:rsidRPr="00DA7494">
              <w:rPr>
                <w:rStyle w:val="Appelnotedebasdep"/>
                <w:rFonts w:ascii="Times New Roman" w:hAnsi="Times New Roman"/>
                <w:sz w:val="24"/>
                <w:szCs w:val="24"/>
              </w:rPr>
              <w:footnoteReference w:id="75"/>
            </w:r>
            <w:bookmarkEnd w:id="129"/>
            <w:bookmarkEnd w:id="130"/>
            <w:bookmarkEnd w:id="131"/>
          </w:p>
        </w:tc>
      </w:tr>
      <w:tr w:rsidR="00E40F2F" w:rsidRPr="00EA439B" w:rsidTr="00DA7494">
        <w:trPr>
          <w:trHeight w:val="57"/>
        </w:trPr>
        <w:tc>
          <w:tcPr>
            <w:tcW w:w="2322" w:type="pct"/>
            <w:tcBorders>
              <w:top w:val="double" w:sz="6" w:space="0" w:color="auto"/>
              <w:bottom w:val="single" w:sz="8" w:space="0" w:color="000000" w:themeColor="text1"/>
            </w:tcBorders>
            <w:shd w:val="clear" w:color="auto" w:fill="DAEEF3" w:themeFill="accent5" w:themeFillTint="33"/>
            <w:vAlign w:val="bottom"/>
          </w:tcPr>
          <w:p w:rsidR="00E40F2F" w:rsidRPr="00EA439B" w:rsidRDefault="00E40F2F" w:rsidP="00F31F3C">
            <w:pPr>
              <w:spacing w:line="240" w:lineRule="auto"/>
              <w:jc w:val="center"/>
              <w:rPr>
                <w:rFonts w:ascii="Times New Roman" w:hAnsi="Times New Roman"/>
                <w:b/>
                <w:bCs/>
                <w:sz w:val="20"/>
                <w:szCs w:val="20"/>
              </w:rPr>
            </w:pPr>
          </w:p>
        </w:tc>
        <w:tc>
          <w:tcPr>
            <w:tcW w:w="536" w:type="pct"/>
            <w:tcBorders>
              <w:top w:val="double" w:sz="6" w:space="0" w:color="auto"/>
              <w:bottom w:val="single" w:sz="8" w:space="0" w:color="000000" w:themeColor="text1"/>
            </w:tcBorders>
            <w:shd w:val="clear" w:color="auto" w:fill="DAEEF3" w:themeFill="accent5" w:themeFillTint="33"/>
            <w:vAlign w:val="bottom"/>
          </w:tcPr>
          <w:p w:rsidR="00E40F2F" w:rsidRPr="00EA439B" w:rsidRDefault="00E40F2F" w:rsidP="00F31F3C">
            <w:pPr>
              <w:spacing w:line="240" w:lineRule="auto"/>
              <w:jc w:val="right"/>
              <w:rPr>
                <w:rFonts w:ascii="Times New Roman" w:hAnsi="Times New Roman"/>
                <w:b/>
                <w:bCs/>
                <w:sz w:val="20"/>
                <w:szCs w:val="20"/>
              </w:rPr>
            </w:pPr>
            <w:r w:rsidRPr="00EA439B">
              <w:rPr>
                <w:rFonts w:ascii="Times New Roman" w:hAnsi="Times New Roman"/>
                <w:b/>
                <w:bCs/>
                <w:sz w:val="20"/>
                <w:szCs w:val="20"/>
              </w:rPr>
              <w:t>2006</w:t>
            </w:r>
          </w:p>
        </w:tc>
        <w:tc>
          <w:tcPr>
            <w:tcW w:w="536" w:type="pct"/>
            <w:tcBorders>
              <w:top w:val="double" w:sz="6" w:space="0" w:color="auto"/>
              <w:bottom w:val="single" w:sz="8" w:space="0" w:color="000000" w:themeColor="text1"/>
            </w:tcBorders>
            <w:shd w:val="clear" w:color="auto" w:fill="DAEEF3" w:themeFill="accent5" w:themeFillTint="33"/>
            <w:vAlign w:val="bottom"/>
          </w:tcPr>
          <w:p w:rsidR="00E40F2F" w:rsidRPr="00EA439B" w:rsidRDefault="00E40F2F" w:rsidP="00F31F3C">
            <w:pPr>
              <w:spacing w:line="240" w:lineRule="auto"/>
              <w:jc w:val="right"/>
              <w:rPr>
                <w:rFonts w:ascii="Times New Roman" w:hAnsi="Times New Roman"/>
                <w:b/>
                <w:bCs/>
                <w:sz w:val="20"/>
                <w:szCs w:val="20"/>
              </w:rPr>
            </w:pPr>
            <w:r w:rsidRPr="00EA439B">
              <w:rPr>
                <w:rFonts w:ascii="Times New Roman" w:hAnsi="Times New Roman"/>
                <w:b/>
                <w:bCs/>
                <w:sz w:val="20"/>
                <w:szCs w:val="20"/>
              </w:rPr>
              <w:t>2007</w:t>
            </w:r>
          </w:p>
        </w:tc>
        <w:tc>
          <w:tcPr>
            <w:tcW w:w="536" w:type="pct"/>
            <w:tcBorders>
              <w:top w:val="double" w:sz="6" w:space="0" w:color="auto"/>
              <w:bottom w:val="single" w:sz="8" w:space="0" w:color="000000" w:themeColor="text1"/>
            </w:tcBorders>
            <w:shd w:val="clear" w:color="auto" w:fill="DAEEF3" w:themeFill="accent5" w:themeFillTint="33"/>
            <w:vAlign w:val="bottom"/>
          </w:tcPr>
          <w:p w:rsidR="00E40F2F" w:rsidRPr="00EA439B" w:rsidRDefault="00E40F2F" w:rsidP="00F31F3C">
            <w:pPr>
              <w:spacing w:line="240" w:lineRule="auto"/>
              <w:jc w:val="right"/>
              <w:rPr>
                <w:rFonts w:ascii="Times New Roman" w:hAnsi="Times New Roman"/>
                <w:b/>
                <w:bCs/>
                <w:sz w:val="20"/>
                <w:szCs w:val="20"/>
              </w:rPr>
            </w:pPr>
            <w:r w:rsidRPr="00EA439B">
              <w:rPr>
                <w:rFonts w:ascii="Times New Roman" w:hAnsi="Times New Roman"/>
                <w:b/>
                <w:bCs/>
                <w:sz w:val="20"/>
                <w:szCs w:val="20"/>
              </w:rPr>
              <w:t>2008</w:t>
            </w:r>
          </w:p>
        </w:tc>
        <w:tc>
          <w:tcPr>
            <w:tcW w:w="536" w:type="pct"/>
            <w:tcBorders>
              <w:top w:val="double" w:sz="6" w:space="0" w:color="auto"/>
              <w:bottom w:val="single" w:sz="8" w:space="0" w:color="000000" w:themeColor="text1"/>
            </w:tcBorders>
            <w:shd w:val="clear" w:color="auto" w:fill="DAEEF3" w:themeFill="accent5" w:themeFillTint="33"/>
            <w:vAlign w:val="bottom"/>
          </w:tcPr>
          <w:p w:rsidR="00E40F2F" w:rsidRPr="00EA439B" w:rsidRDefault="00E40F2F" w:rsidP="00F31F3C">
            <w:pPr>
              <w:spacing w:line="240" w:lineRule="auto"/>
              <w:jc w:val="right"/>
              <w:rPr>
                <w:rFonts w:ascii="Times New Roman" w:hAnsi="Times New Roman"/>
                <w:b/>
                <w:bCs/>
                <w:sz w:val="20"/>
                <w:szCs w:val="20"/>
              </w:rPr>
            </w:pPr>
            <w:r w:rsidRPr="00EA439B">
              <w:rPr>
                <w:rFonts w:ascii="Times New Roman" w:hAnsi="Times New Roman"/>
                <w:b/>
                <w:bCs/>
                <w:sz w:val="20"/>
                <w:szCs w:val="20"/>
              </w:rPr>
              <w:t>2009</w:t>
            </w:r>
          </w:p>
        </w:tc>
        <w:tc>
          <w:tcPr>
            <w:tcW w:w="534" w:type="pct"/>
            <w:tcBorders>
              <w:top w:val="double" w:sz="6" w:space="0" w:color="auto"/>
              <w:bottom w:val="single" w:sz="8" w:space="0" w:color="000000" w:themeColor="text1"/>
            </w:tcBorders>
            <w:shd w:val="clear" w:color="auto" w:fill="DAEEF3" w:themeFill="accent5" w:themeFillTint="33"/>
            <w:vAlign w:val="bottom"/>
          </w:tcPr>
          <w:p w:rsidR="00E40F2F" w:rsidRPr="00EA439B" w:rsidRDefault="00E40F2F" w:rsidP="00F31F3C">
            <w:pPr>
              <w:spacing w:line="240" w:lineRule="auto"/>
              <w:jc w:val="right"/>
              <w:rPr>
                <w:rFonts w:ascii="Times New Roman" w:hAnsi="Times New Roman"/>
                <w:b/>
                <w:bCs/>
                <w:sz w:val="20"/>
                <w:szCs w:val="20"/>
              </w:rPr>
            </w:pPr>
            <w:r w:rsidRPr="00EA439B">
              <w:rPr>
                <w:rFonts w:ascii="Times New Roman" w:hAnsi="Times New Roman"/>
                <w:b/>
                <w:bCs/>
                <w:sz w:val="20"/>
                <w:szCs w:val="20"/>
              </w:rPr>
              <w:t>2010</w:t>
            </w:r>
          </w:p>
        </w:tc>
      </w:tr>
      <w:tr w:rsidR="00E40F2F" w:rsidRPr="00C9734E" w:rsidTr="00DA7494">
        <w:trPr>
          <w:trHeight w:val="57"/>
        </w:trPr>
        <w:tc>
          <w:tcPr>
            <w:tcW w:w="2322" w:type="pct"/>
            <w:tcBorders>
              <w:top w:val="single" w:sz="8" w:space="0" w:color="000000" w:themeColor="text1"/>
            </w:tcBorders>
            <w:shd w:val="clear" w:color="auto" w:fill="DAEEF3" w:themeFill="accent5" w:themeFillTint="33"/>
          </w:tcPr>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 xml:space="preserve">Dotations de fonctionnement </w:t>
            </w:r>
          </w:p>
          <w:p w:rsidR="00E40F2F" w:rsidRPr="00C9734E" w:rsidRDefault="00C9734E"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E40F2F" w:rsidRPr="00C9734E">
              <w:rPr>
                <w:rFonts w:ascii="Times New Roman" w:hAnsi="Times New Roman"/>
                <w:bCs/>
                <w:sz w:val="20"/>
                <w:szCs w:val="20"/>
              </w:rPr>
              <w:t>Montants (en milliards de FCFA)</w:t>
            </w:r>
          </w:p>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C9734E" w:rsidRPr="00C9734E">
              <w:rPr>
                <w:rFonts w:ascii="Times New Roman" w:hAnsi="Times New Roman"/>
                <w:bCs/>
                <w:sz w:val="20"/>
                <w:szCs w:val="20"/>
              </w:rPr>
              <w:t xml:space="preserve"> </w:t>
            </w:r>
            <w:r w:rsidRPr="00C9734E">
              <w:rPr>
                <w:rFonts w:ascii="Times New Roman" w:hAnsi="Times New Roman"/>
                <w:bCs/>
                <w:sz w:val="20"/>
                <w:szCs w:val="20"/>
              </w:rPr>
              <w:t>Variation annuelle (%)</w:t>
            </w:r>
          </w:p>
        </w:tc>
        <w:tc>
          <w:tcPr>
            <w:tcW w:w="536" w:type="pct"/>
            <w:tcBorders>
              <w:top w:val="single" w:sz="8" w:space="0" w:color="000000" w:themeColor="text1"/>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5,1</w:t>
            </w:r>
          </w:p>
          <w:p w:rsidR="00E40F2F" w:rsidRPr="00C9734E" w:rsidRDefault="00E40F2F" w:rsidP="00F31F3C">
            <w:pPr>
              <w:spacing w:line="240" w:lineRule="auto"/>
              <w:jc w:val="right"/>
              <w:rPr>
                <w:rFonts w:ascii="Times New Roman" w:hAnsi="Times New Roman"/>
                <w:sz w:val="20"/>
                <w:szCs w:val="20"/>
              </w:rPr>
            </w:pPr>
          </w:p>
        </w:tc>
        <w:tc>
          <w:tcPr>
            <w:tcW w:w="536" w:type="pct"/>
            <w:tcBorders>
              <w:top w:val="single" w:sz="8" w:space="0" w:color="000000" w:themeColor="text1"/>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5,8</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13,7</w:t>
            </w:r>
          </w:p>
        </w:tc>
        <w:tc>
          <w:tcPr>
            <w:tcW w:w="536" w:type="pct"/>
            <w:tcBorders>
              <w:top w:val="single" w:sz="8" w:space="0" w:color="000000" w:themeColor="text1"/>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4,8</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-17,2</w:t>
            </w:r>
          </w:p>
        </w:tc>
        <w:tc>
          <w:tcPr>
            <w:tcW w:w="536" w:type="pct"/>
            <w:tcBorders>
              <w:top w:val="single" w:sz="8" w:space="0" w:color="000000" w:themeColor="text1"/>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highlight w:val="yellow"/>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9,4</w:t>
            </w:r>
          </w:p>
          <w:p w:rsidR="00E40F2F" w:rsidRPr="00C9734E" w:rsidRDefault="00E40F2F" w:rsidP="00F31F3C">
            <w:pPr>
              <w:spacing w:line="240" w:lineRule="auto"/>
              <w:jc w:val="right"/>
              <w:rPr>
                <w:rFonts w:ascii="Times New Roman" w:hAnsi="Times New Roman"/>
                <w:sz w:val="20"/>
                <w:szCs w:val="20"/>
                <w:highlight w:val="yellow"/>
              </w:rPr>
            </w:pPr>
            <w:r w:rsidRPr="00C9734E">
              <w:rPr>
                <w:rFonts w:ascii="Times New Roman" w:hAnsi="Times New Roman"/>
                <w:sz w:val="20"/>
                <w:szCs w:val="20"/>
              </w:rPr>
              <w:t>95,8</w:t>
            </w:r>
          </w:p>
        </w:tc>
        <w:tc>
          <w:tcPr>
            <w:tcW w:w="534" w:type="pct"/>
            <w:tcBorders>
              <w:top w:val="single" w:sz="8" w:space="0" w:color="000000" w:themeColor="text1"/>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highlight w:val="yellow"/>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9,4</w:t>
            </w:r>
          </w:p>
          <w:p w:rsidR="00E40F2F" w:rsidRPr="00C9734E" w:rsidRDefault="00E40F2F" w:rsidP="00F31F3C">
            <w:pPr>
              <w:spacing w:line="240" w:lineRule="auto"/>
              <w:jc w:val="right"/>
              <w:rPr>
                <w:rFonts w:ascii="Times New Roman" w:hAnsi="Times New Roman"/>
                <w:sz w:val="20"/>
                <w:szCs w:val="20"/>
                <w:highlight w:val="yellow"/>
              </w:rPr>
            </w:pPr>
            <w:r w:rsidRPr="00C9734E">
              <w:rPr>
                <w:rFonts w:ascii="Times New Roman" w:hAnsi="Times New Roman"/>
                <w:sz w:val="20"/>
                <w:szCs w:val="20"/>
              </w:rPr>
              <w:t>0,0</w:t>
            </w:r>
          </w:p>
        </w:tc>
      </w:tr>
      <w:tr w:rsidR="00E40F2F" w:rsidRPr="00C9734E" w:rsidTr="00DA7494">
        <w:trPr>
          <w:trHeight w:val="57"/>
        </w:trPr>
        <w:tc>
          <w:tcPr>
            <w:tcW w:w="2322" w:type="pct"/>
            <w:shd w:val="clear" w:color="auto" w:fill="DAEEF3" w:themeFill="accent5" w:themeFillTint="33"/>
          </w:tcPr>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Dotations d’investissement</w:t>
            </w:r>
          </w:p>
          <w:p w:rsidR="00E40F2F" w:rsidRPr="00C9734E" w:rsidRDefault="00C9734E"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E40F2F" w:rsidRPr="00C9734E">
              <w:rPr>
                <w:rFonts w:ascii="Times New Roman" w:hAnsi="Times New Roman"/>
                <w:bCs/>
                <w:sz w:val="20"/>
                <w:szCs w:val="20"/>
              </w:rPr>
              <w:t>Montants (en milliards de FCFA)</w:t>
            </w:r>
          </w:p>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C9734E" w:rsidRPr="00C9734E">
              <w:rPr>
                <w:rFonts w:ascii="Times New Roman" w:hAnsi="Times New Roman"/>
                <w:bCs/>
                <w:sz w:val="20"/>
                <w:szCs w:val="20"/>
              </w:rPr>
              <w:t xml:space="preserve"> </w:t>
            </w:r>
            <w:r w:rsidRPr="00C9734E">
              <w:rPr>
                <w:rFonts w:ascii="Times New Roman" w:hAnsi="Times New Roman"/>
                <w:bCs/>
                <w:sz w:val="20"/>
                <w:szCs w:val="20"/>
              </w:rPr>
              <w:t xml:space="preserve"> Variation annuelle (%)</w:t>
            </w:r>
          </w:p>
        </w:tc>
        <w:tc>
          <w:tcPr>
            <w:tcW w:w="536" w:type="pct"/>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1,2</w:t>
            </w:r>
          </w:p>
          <w:p w:rsidR="00E40F2F" w:rsidRPr="00C9734E" w:rsidRDefault="00E40F2F" w:rsidP="00F31F3C">
            <w:pPr>
              <w:spacing w:line="240" w:lineRule="auto"/>
              <w:jc w:val="right"/>
              <w:rPr>
                <w:rFonts w:ascii="Times New Roman" w:hAnsi="Times New Roman"/>
                <w:sz w:val="20"/>
                <w:szCs w:val="20"/>
              </w:rPr>
            </w:pPr>
          </w:p>
        </w:tc>
        <w:tc>
          <w:tcPr>
            <w:tcW w:w="536" w:type="pct"/>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1,4</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16,7</w:t>
            </w:r>
          </w:p>
        </w:tc>
        <w:tc>
          <w:tcPr>
            <w:tcW w:w="536" w:type="pct"/>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5,4</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285,7</w:t>
            </w:r>
          </w:p>
        </w:tc>
        <w:tc>
          <w:tcPr>
            <w:tcW w:w="536" w:type="pct"/>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7,4</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37,0</w:t>
            </w:r>
          </w:p>
        </w:tc>
        <w:tc>
          <w:tcPr>
            <w:tcW w:w="534" w:type="pct"/>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11,3</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52,7</w:t>
            </w:r>
          </w:p>
        </w:tc>
      </w:tr>
      <w:tr w:rsidR="00E40F2F" w:rsidRPr="00C9734E" w:rsidTr="00DA7494">
        <w:trPr>
          <w:trHeight w:val="57"/>
        </w:trPr>
        <w:tc>
          <w:tcPr>
            <w:tcW w:w="2322" w:type="pct"/>
            <w:tcBorders>
              <w:bottom w:val="double" w:sz="6" w:space="0" w:color="auto"/>
            </w:tcBorders>
            <w:shd w:val="clear" w:color="auto" w:fill="DAEEF3" w:themeFill="accent5" w:themeFillTint="33"/>
          </w:tcPr>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Total transferts aux communes</w:t>
            </w:r>
          </w:p>
          <w:p w:rsidR="00E40F2F" w:rsidRPr="00C9734E" w:rsidRDefault="00C9734E"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E40F2F" w:rsidRPr="00C9734E">
              <w:rPr>
                <w:rFonts w:ascii="Times New Roman" w:hAnsi="Times New Roman"/>
                <w:bCs/>
                <w:sz w:val="20"/>
                <w:szCs w:val="20"/>
              </w:rPr>
              <w:t>Montants (en milliards de FCFA)</w:t>
            </w:r>
          </w:p>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C9734E" w:rsidRPr="00C9734E">
              <w:rPr>
                <w:rFonts w:ascii="Times New Roman" w:hAnsi="Times New Roman"/>
                <w:bCs/>
                <w:sz w:val="20"/>
                <w:szCs w:val="20"/>
              </w:rPr>
              <w:t xml:space="preserve"> </w:t>
            </w:r>
            <w:r w:rsidRPr="00C9734E">
              <w:rPr>
                <w:rFonts w:ascii="Times New Roman" w:hAnsi="Times New Roman"/>
                <w:bCs/>
                <w:sz w:val="20"/>
                <w:szCs w:val="20"/>
              </w:rPr>
              <w:t>Variation annuelle (%)</w:t>
            </w:r>
          </w:p>
          <w:p w:rsidR="00E40F2F" w:rsidRPr="00C9734E" w:rsidRDefault="00E40F2F" w:rsidP="00F31F3C">
            <w:pPr>
              <w:spacing w:line="240" w:lineRule="auto"/>
              <w:rPr>
                <w:rFonts w:ascii="Times New Roman" w:hAnsi="Times New Roman"/>
                <w:bCs/>
                <w:sz w:val="20"/>
                <w:szCs w:val="20"/>
              </w:rPr>
            </w:pPr>
            <w:r w:rsidRPr="00C9734E">
              <w:rPr>
                <w:rFonts w:ascii="Times New Roman" w:hAnsi="Times New Roman"/>
                <w:bCs/>
                <w:sz w:val="20"/>
                <w:szCs w:val="20"/>
              </w:rPr>
              <w:t xml:space="preserve">  </w:t>
            </w:r>
            <w:r w:rsidR="00C9734E" w:rsidRPr="00C9734E">
              <w:rPr>
                <w:rFonts w:ascii="Times New Roman" w:hAnsi="Times New Roman"/>
                <w:bCs/>
                <w:sz w:val="20"/>
                <w:szCs w:val="20"/>
              </w:rPr>
              <w:t xml:space="preserve"> </w:t>
            </w:r>
            <w:r w:rsidRPr="00C9734E">
              <w:rPr>
                <w:rFonts w:ascii="Times New Roman" w:hAnsi="Times New Roman"/>
                <w:bCs/>
                <w:sz w:val="20"/>
                <w:szCs w:val="20"/>
              </w:rPr>
              <w:t xml:space="preserve"> Part dans les recettes des communes (%)</w:t>
            </w:r>
          </w:p>
        </w:tc>
        <w:tc>
          <w:tcPr>
            <w:tcW w:w="536" w:type="pct"/>
            <w:tcBorders>
              <w:bottom w:val="double" w:sz="6" w:space="0" w:color="auto"/>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6,3</w:t>
            </w:r>
          </w:p>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25</w:t>
            </w:r>
          </w:p>
        </w:tc>
        <w:tc>
          <w:tcPr>
            <w:tcW w:w="536" w:type="pct"/>
            <w:tcBorders>
              <w:bottom w:val="double" w:sz="6" w:space="0" w:color="auto"/>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7,2</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14,3</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38,7</w:t>
            </w:r>
          </w:p>
        </w:tc>
        <w:tc>
          <w:tcPr>
            <w:tcW w:w="536" w:type="pct"/>
            <w:tcBorders>
              <w:bottom w:val="double" w:sz="6" w:space="0" w:color="auto"/>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10,2</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41,7</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44,2</w:t>
            </w:r>
          </w:p>
        </w:tc>
        <w:tc>
          <w:tcPr>
            <w:tcW w:w="536" w:type="pct"/>
            <w:tcBorders>
              <w:bottom w:val="double" w:sz="6" w:space="0" w:color="auto"/>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16,8</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64,7</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51,4</w:t>
            </w:r>
          </w:p>
        </w:tc>
        <w:tc>
          <w:tcPr>
            <w:tcW w:w="534" w:type="pct"/>
            <w:tcBorders>
              <w:bottom w:val="double" w:sz="6" w:space="0" w:color="auto"/>
            </w:tcBorders>
            <w:shd w:val="clear" w:color="auto" w:fill="DAEEF3" w:themeFill="accent5" w:themeFillTint="33"/>
          </w:tcPr>
          <w:p w:rsidR="00E40F2F" w:rsidRPr="00C9734E" w:rsidRDefault="00E40F2F" w:rsidP="00F31F3C">
            <w:pPr>
              <w:spacing w:line="240" w:lineRule="auto"/>
              <w:jc w:val="right"/>
              <w:rPr>
                <w:rFonts w:ascii="Times New Roman" w:hAnsi="Times New Roman"/>
                <w:sz w:val="20"/>
                <w:szCs w:val="20"/>
              </w:rPr>
            </w:pP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20,7</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23,2</w:t>
            </w:r>
          </w:p>
          <w:p w:rsidR="00E40F2F" w:rsidRPr="00C9734E" w:rsidRDefault="00E40F2F" w:rsidP="00F31F3C">
            <w:pPr>
              <w:spacing w:line="240" w:lineRule="auto"/>
              <w:jc w:val="right"/>
              <w:rPr>
                <w:rFonts w:ascii="Times New Roman" w:hAnsi="Times New Roman"/>
                <w:sz w:val="20"/>
                <w:szCs w:val="20"/>
              </w:rPr>
            </w:pPr>
            <w:r w:rsidRPr="00C9734E">
              <w:rPr>
                <w:rFonts w:ascii="Times New Roman" w:hAnsi="Times New Roman"/>
                <w:sz w:val="20"/>
                <w:szCs w:val="20"/>
              </w:rPr>
              <w:t>n.d.</w:t>
            </w:r>
          </w:p>
        </w:tc>
      </w:tr>
      <w:tr w:rsidR="00E40F2F" w:rsidRPr="00EA439B" w:rsidTr="00F31F3C">
        <w:trPr>
          <w:trHeight w:val="57"/>
        </w:trPr>
        <w:tc>
          <w:tcPr>
            <w:tcW w:w="5000" w:type="pct"/>
            <w:gridSpan w:val="6"/>
            <w:tcBorders>
              <w:top w:val="double" w:sz="6" w:space="0" w:color="auto"/>
            </w:tcBorders>
            <w:shd w:val="clear" w:color="auto" w:fill="DAEEF3" w:themeFill="accent5" w:themeFillTint="33"/>
            <w:vAlign w:val="bottom"/>
          </w:tcPr>
          <w:p w:rsidR="00E40F2F" w:rsidRPr="008B014F" w:rsidRDefault="00E40F2F" w:rsidP="00F31F3C">
            <w:pPr>
              <w:spacing w:line="240" w:lineRule="auto"/>
              <w:rPr>
                <w:rFonts w:ascii="Times New Roman" w:hAnsi="Times New Roman"/>
                <w:sz w:val="24"/>
              </w:rPr>
            </w:pPr>
            <w:r w:rsidRPr="00206595">
              <w:rPr>
                <w:rFonts w:ascii="Times New Roman" w:hAnsi="Times New Roman"/>
                <w:sz w:val="24"/>
              </w:rPr>
              <w:t>Source: Banque Mondiale Bénin RDP 2010, juin 2012</w:t>
            </w:r>
          </w:p>
        </w:tc>
      </w:tr>
    </w:tbl>
    <w:p w:rsidR="00E40F2F" w:rsidRDefault="00E40F2F" w:rsidP="00E40F2F">
      <w:pPr>
        <w:rPr>
          <w:rFonts w:ascii="Times New Roman" w:hAnsi="Times New Roman"/>
          <w:sz w:val="24"/>
        </w:rPr>
      </w:pPr>
    </w:p>
    <w:p w:rsidR="002E3BBE" w:rsidRDefault="002E3BBE" w:rsidP="002E3BBE">
      <w:pPr>
        <w:spacing w:line="276" w:lineRule="auto"/>
        <w:rPr>
          <w:rFonts w:ascii="Times New Roman" w:hAnsi="Times New Roman"/>
          <w:sz w:val="24"/>
        </w:rPr>
      </w:pPr>
      <w:r w:rsidRPr="00F06619">
        <w:rPr>
          <w:rFonts w:ascii="Times New Roman" w:hAnsi="Times New Roman"/>
          <w:sz w:val="24"/>
        </w:rPr>
        <w:t>La part des communes et des structures déconcentrées dans les dépenses publiques totales est très faible</w:t>
      </w:r>
      <w:r w:rsidRPr="00CB197E">
        <w:rPr>
          <w:rFonts w:ascii="Times New Roman" w:hAnsi="Times New Roman"/>
          <w:sz w:val="24"/>
        </w:rPr>
        <w:t>. L</w:t>
      </w:r>
      <w:r>
        <w:rPr>
          <w:rFonts w:ascii="Times New Roman" w:hAnsi="Times New Roman"/>
          <w:sz w:val="24"/>
        </w:rPr>
        <w:t xml:space="preserve">’Administration </w:t>
      </w:r>
      <w:r w:rsidRPr="00CB197E">
        <w:rPr>
          <w:rFonts w:ascii="Times New Roman" w:hAnsi="Times New Roman"/>
          <w:sz w:val="24"/>
        </w:rPr>
        <w:t>central</w:t>
      </w:r>
      <w:r>
        <w:rPr>
          <w:rFonts w:ascii="Times New Roman" w:hAnsi="Times New Roman"/>
          <w:sz w:val="24"/>
        </w:rPr>
        <w:t>e</w:t>
      </w:r>
      <w:r w:rsidRPr="00CB197E">
        <w:rPr>
          <w:rFonts w:ascii="Times New Roman" w:hAnsi="Times New Roman"/>
          <w:sz w:val="24"/>
        </w:rPr>
        <w:t xml:space="preserve"> continue</w:t>
      </w:r>
      <w:r>
        <w:rPr>
          <w:rFonts w:ascii="Times New Roman" w:hAnsi="Times New Roman"/>
          <w:sz w:val="24"/>
        </w:rPr>
        <w:t xml:space="preserve"> d’</w:t>
      </w:r>
      <w:r w:rsidRPr="00CB197E">
        <w:rPr>
          <w:rFonts w:ascii="Times New Roman" w:hAnsi="Times New Roman"/>
          <w:sz w:val="24"/>
        </w:rPr>
        <w:t>exécute</w:t>
      </w:r>
      <w:r>
        <w:rPr>
          <w:rFonts w:ascii="Times New Roman" w:hAnsi="Times New Roman"/>
          <w:sz w:val="24"/>
        </w:rPr>
        <w:t>r</w:t>
      </w:r>
      <w:r w:rsidRPr="00CB197E">
        <w:rPr>
          <w:rFonts w:ascii="Times New Roman" w:hAnsi="Times New Roman"/>
          <w:sz w:val="24"/>
        </w:rPr>
        <w:t xml:space="preserve"> près de 94% des dépenses totales de l’État. Les dépenses  exécutées par les services déconcentrés des ministères sectoriels (crédits délégués)</w:t>
      </w:r>
      <w:r w:rsidR="00C9734E">
        <w:rPr>
          <w:rFonts w:ascii="Times New Roman" w:hAnsi="Times New Roman"/>
          <w:sz w:val="24"/>
        </w:rPr>
        <w:t xml:space="preserve"> </w:t>
      </w:r>
      <w:r w:rsidRPr="00CB197E">
        <w:rPr>
          <w:rFonts w:ascii="Times New Roman" w:hAnsi="Times New Roman"/>
          <w:sz w:val="24"/>
        </w:rPr>
        <w:t>ne représentent que 1,7%. Même si les dépenses réalisées par les communes ont augmenté d</w:t>
      </w:r>
      <w:r>
        <w:rPr>
          <w:rFonts w:ascii="Times New Roman" w:hAnsi="Times New Roman"/>
          <w:sz w:val="24"/>
        </w:rPr>
        <w:t xml:space="preserve">’environ </w:t>
      </w:r>
      <w:r w:rsidRPr="00CB197E">
        <w:rPr>
          <w:rFonts w:ascii="Times New Roman" w:hAnsi="Times New Roman"/>
          <w:sz w:val="24"/>
        </w:rPr>
        <w:t xml:space="preserve">47% entre 2004 et 2009, elles dépassent à peine </w:t>
      </w:r>
      <w:r>
        <w:rPr>
          <w:rFonts w:ascii="Times New Roman" w:hAnsi="Times New Roman"/>
          <w:sz w:val="24"/>
        </w:rPr>
        <w:t>5</w:t>
      </w:r>
      <w:r w:rsidRPr="00CB197E">
        <w:rPr>
          <w:rFonts w:ascii="Times New Roman" w:hAnsi="Times New Roman"/>
          <w:sz w:val="24"/>
        </w:rPr>
        <w:t>% des dépenses totales de l’État, dont 2,6% sont financées par des transferts e</w:t>
      </w:r>
      <w:r>
        <w:rPr>
          <w:rFonts w:ascii="Times New Roman" w:hAnsi="Times New Roman"/>
          <w:sz w:val="24"/>
        </w:rPr>
        <w:t xml:space="preserve">t subventions de l’État central. Par conséquent, </w:t>
      </w:r>
      <w:r w:rsidRPr="00CB197E">
        <w:rPr>
          <w:rFonts w:ascii="Times New Roman" w:hAnsi="Times New Roman"/>
          <w:sz w:val="24"/>
        </w:rPr>
        <w:t xml:space="preserve">les dépenses des collectivités locales financées </w:t>
      </w:r>
      <w:r>
        <w:rPr>
          <w:rFonts w:ascii="Times New Roman" w:hAnsi="Times New Roman"/>
          <w:sz w:val="24"/>
        </w:rPr>
        <w:t>sur</w:t>
      </w:r>
      <w:r w:rsidRPr="00CB197E">
        <w:rPr>
          <w:rFonts w:ascii="Times New Roman" w:hAnsi="Times New Roman"/>
          <w:sz w:val="24"/>
        </w:rPr>
        <w:t xml:space="preserve"> ressources propres représentent moins de </w:t>
      </w:r>
      <w:r>
        <w:rPr>
          <w:rFonts w:ascii="Times New Roman" w:hAnsi="Times New Roman"/>
          <w:sz w:val="24"/>
        </w:rPr>
        <w:t>3</w:t>
      </w:r>
      <w:r w:rsidRPr="00CB197E">
        <w:rPr>
          <w:rFonts w:ascii="Times New Roman" w:hAnsi="Times New Roman"/>
          <w:sz w:val="24"/>
        </w:rPr>
        <w:t xml:space="preserve">% des dépenses publiques totales. </w:t>
      </w:r>
      <w:r>
        <w:rPr>
          <w:rFonts w:ascii="Times New Roman" w:hAnsi="Times New Roman"/>
          <w:sz w:val="24"/>
        </w:rPr>
        <w:t>Par ailleurs, l</w:t>
      </w:r>
      <w:r w:rsidRPr="00CB197E">
        <w:rPr>
          <w:rFonts w:ascii="Times New Roman" w:hAnsi="Times New Roman"/>
          <w:sz w:val="24"/>
        </w:rPr>
        <w:t>es investissements sont pratiquement programmés et exécutés au niveau central. Au total, les dépenses totales exécutées au niveau décentralisé et déconcentré ne représentent que 6,4% des dépenses publiques totales.</w:t>
      </w:r>
    </w:p>
    <w:p w:rsidR="007D3070" w:rsidRDefault="007D3070" w:rsidP="008A05C0">
      <w:pPr>
        <w:spacing w:line="276" w:lineRule="auto"/>
        <w:rPr>
          <w:rFonts w:ascii="Times New Roman" w:hAnsi="Times New Roman"/>
          <w:sz w:val="24"/>
        </w:rPr>
      </w:pPr>
    </w:p>
    <w:p w:rsidR="008A05C0" w:rsidRDefault="008A05C0" w:rsidP="008A05C0">
      <w:pPr>
        <w:spacing w:line="276" w:lineRule="auto"/>
        <w:rPr>
          <w:rFonts w:ascii="Times New Roman" w:hAnsi="Times New Roman"/>
          <w:sz w:val="24"/>
        </w:rPr>
      </w:pPr>
      <w:r w:rsidRPr="00F06619">
        <w:rPr>
          <w:rFonts w:ascii="Times New Roman" w:hAnsi="Times New Roman"/>
          <w:sz w:val="24"/>
        </w:rPr>
        <w:t>La répartition des dépenses communales présente des disparités très importantes</w:t>
      </w:r>
      <w:r w:rsidRPr="00CB197E">
        <w:rPr>
          <w:rFonts w:ascii="Times New Roman" w:hAnsi="Times New Roman"/>
          <w:sz w:val="24"/>
        </w:rPr>
        <w:t xml:space="preserve">. En effet, près de 63% des dépenses totales des communes sont réalisées dans les 10 premières communes qui ont les dépenses les plus importantes. En particulier, les trois villes à statut particulier absorbent à elles seules plus de 50% des dépenses totales exécutées par les communes. </w:t>
      </w:r>
    </w:p>
    <w:p w:rsidR="008A05C0" w:rsidRPr="00CB197E" w:rsidRDefault="008A05C0" w:rsidP="008A05C0">
      <w:pPr>
        <w:spacing w:line="276" w:lineRule="auto"/>
        <w:rPr>
          <w:rFonts w:ascii="Times New Roman" w:hAnsi="Times New Roman"/>
          <w:sz w:val="24"/>
        </w:rPr>
      </w:pPr>
    </w:p>
    <w:p w:rsidR="008A05C0" w:rsidRDefault="008A05C0" w:rsidP="008A05C0">
      <w:pPr>
        <w:spacing w:line="276" w:lineRule="auto"/>
        <w:rPr>
          <w:rFonts w:ascii="Times New Roman" w:hAnsi="Times New Roman"/>
          <w:sz w:val="24"/>
        </w:rPr>
      </w:pPr>
      <w:r w:rsidRPr="00F06619">
        <w:rPr>
          <w:rFonts w:ascii="Times New Roman" w:hAnsi="Times New Roman"/>
          <w:sz w:val="24"/>
        </w:rPr>
        <w:t>Les dépenses de fonctionnement représentent l’essentiel des dépenses communales, laissant peu de ressources pour les dépenses d’investissement. Sur la période 2004-2008, les dépenses ordinaires ont absorbé en moyenne près de 74% des dépenses totales des communes contre 26% pour les investissements, même si ces derniers ont connu une hausse annuelle moyenne de 18%</w:t>
      </w:r>
      <w:r w:rsidRPr="00F06619">
        <w:rPr>
          <w:rFonts w:ascii="Times New Roman" w:hAnsi="Times New Roman"/>
          <w:sz w:val="24"/>
          <w:vertAlign w:val="superscript"/>
        </w:rPr>
        <w:footnoteReference w:id="76"/>
      </w:r>
      <w:r w:rsidRPr="00F06619">
        <w:rPr>
          <w:rFonts w:ascii="Times New Roman" w:hAnsi="Times New Roman"/>
          <w:sz w:val="24"/>
        </w:rPr>
        <w:t xml:space="preserve">. En particulier, les dépenses de personnel ont représenté entre 22% et 33% des dépenses ordinaires. </w:t>
      </w:r>
    </w:p>
    <w:p w:rsidR="00E40F2F" w:rsidRDefault="00E40F2F" w:rsidP="00E40F2F"/>
    <w:p w:rsidR="00E40F2F" w:rsidRDefault="00E40F2F" w:rsidP="00E40F2F"/>
    <w:p w:rsidR="00D433D8" w:rsidRDefault="00D433D8" w:rsidP="00E40F2F"/>
    <w:p w:rsidR="00E40F2F" w:rsidRPr="00E40F2F" w:rsidRDefault="00E40F2F" w:rsidP="00E40F2F"/>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E40F2F" w:rsidRPr="001D556B" w:rsidTr="00F31F3C">
        <w:trPr>
          <w:trHeight w:val="347"/>
          <w:jc w:val="center"/>
        </w:trPr>
        <w:tc>
          <w:tcPr>
            <w:tcW w:w="9180" w:type="dxa"/>
            <w:shd w:val="clear" w:color="auto" w:fill="92CDDC" w:themeFill="accent5" w:themeFillTint="99"/>
          </w:tcPr>
          <w:p w:rsidR="00E40F2F" w:rsidRPr="001D556B" w:rsidRDefault="001D556B" w:rsidP="00F31F3C">
            <w:pPr>
              <w:spacing w:line="240" w:lineRule="auto"/>
              <w:rPr>
                <w:rFonts w:ascii="Times New Roman" w:hAnsi="Times New Roman"/>
                <w:sz w:val="24"/>
                <w:szCs w:val="24"/>
              </w:rPr>
            </w:pPr>
            <w:bookmarkStart w:id="132" w:name="_Toc369726133"/>
            <w:bookmarkStart w:id="133" w:name="_Toc369726697"/>
            <w:bookmarkStart w:id="134" w:name="_Toc369728070"/>
            <w:r w:rsidRPr="001D556B">
              <w:rPr>
                <w:rFonts w:ascii="Times New Roman" w:hAnsi="Times New Roman"/>
              </w:rPr>
              <w:t xml:space="preserve">Graphique 4. </w:t>
            </w:r>
            <w:r w:rsidR="00182C97" w:rsidRPr="001D556B">
              <w:rPr>
                <w:rFonts w:ascii="Times New Roman" w:hAnsi="Times New Roman"/>
              </w:rPr>
              <w:fldChar w:fldCharType="begin"/>
            </w:r>
            <w:r w:rsidRPr="001D556B">
              <w:rPr>
                <w:rFonts w:ascii="Times New Roman" w:hAnsi="Times New Roman"/>
              </w:rPr>
              <w:instrText xml:space="preserve"> SEQ Graphiaue_4. \* ARABIC </w:instrText>
            </w:r>
            <w:r w:rsidR="00182C97" w:rsidRPr="001D556B">
              <w:rPr>
                <w:rFonts w:ascii="Times New Roman" w:hAnsi="Times New Roman"/>
              </w:rPr>
              <w:fldChar w:fldCharType="separate"/>
            </w:r>
            <w:r w:rsidR="00AB1967">
              <w:rPr>
                <w:rFonts w:ascii="Times New Roman" w:hAnsi="Times New Roman"/>
                <w:noProof/>
              </w:rPr>
              <w:t>4</w:t>
            </w:r>
            <w:r w:rsidR="00182C97" w:rsidRPr="001D556B">
              <w:rPr>
                <w:rFonts w:ascii="Times New Roman" w:hAnsi="Times New Roman"/>
              </w:rPr>
              <w:fldChar w:fldCharType="end"/>
            </w:r>
            <w:r w:rsidRPr="001D556B">
              <w:rPr>
                <w:rFonts w:ascii="Times New Roman" w:hAnsi="Times New Roman"/>
              </w:rPr>
              <w:t>:</w:t>
            </w:r>
            <w:r w:rsidR="00E40F2F" w:rsidRPr="001D556B">
              <w:rPr>
                <w:rFonts w:ascii="Times New Roman" w:hAnsi="Times New Roman"/>
                <w:sz w:val="24"/>
                <w:szCs w:val="24"/>
              </w:rPr>
              <w:t xml:space="preserve"> Répartition des dépenses publiques entre le niveau central, déconcentré et décentralisé</w:t>
            </w:r>
            <w:bookmarkEnd w:id="132"/>
            <w:bookmarkEnd w:id="133"/>
            <w:bookmarkEnd w:id="134"/>
          </w:p>
        </w:tc>
      </w:tr>
      <w:tr w:rsidR="00E40F2F" w:rsidTr="00F31F3C">
        <w:trPr>
          <w:jc w:val="center"/>
        </w:trPr>
        <w:tc>
          <w:tcPr>
            <w:tcW w:w="9180" w:type="dxa"/>
            <w:shd w:val="clear" w:color="auto" w:fill="DAEEF3" w:themeFill="accent5" w:themeFillTint="33"/>
          </w:tcPr>
          <w:p w:rsidR="00E40F2F" w:rsidRDefault="00E40F2F" w:rsidP="00F31F3C">
            <w:pPr>
              <w:spacing w:before="120" w:after="120" w:line="240" w:lineRule="auto"/>
              <w:ind w:left="-57"/>
              <w:jc w:val="center"/>
            </w:pPr>
            <w:r w:rsidRPr="007D538D">
              <w:rPr>
                <w:noProof/>
                <w:lang w:eastAsia="fr-FR"/>
              </w:rPr>
              <w:drawing>
                <wp:inline distT="0" distB="0" distL="0" distR="0" wp14:anchorId="008E70DE" wp14:editId="738CB024">
                  <wp:extent cx="5630467" cy="2556588"/>
                  <wp:effectExtent l="19050" t="0" r="27383" b="0"/>
                  <wp:docPr id="94"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r w:rsidR="00E40F2F" w:rsidRPr="00E40F2F" w:rsidTr="008A05C0">
        <w:trPr>
          <w:trHeight w:val="227"/>
          <w:jc w:val="center"/>
        </w:trPr>
        <w:tc>
          <w:tcPr>
            <w:tcW w:w="9180" w:type="dxa"/>
            <w:shd w:val="clear" w:color="auto" w:fill="DAEEF3" w:themeFill="accent5" w:themeFillTint="33"/>
          </w:tcPr>
          <w:p w:rsidR="00E40F2F" w:rsidRPr="00E40F2F" w:rsidRDefault="00E40F2F" w:rsidP="008A05C0">
            <w:pPr>
              <w:keepNext/>
              <w:keepLines/>
              <w:spacing w:before="60" w:line="276" w:lineRule="auto"/>
              <w:rPr>
                <w:rFonts w:ascii="Times New Roman" w:hAnsi="Times New Roman"/>
                <w:sz w:val="20"/>
                <w:szCs w:val="20"/>
              </w:rPr>
            </w:pPr>
            <w:r w:rsidRPr="00E40F2F">
              <w:rPr>
                <w:rFonts w:ascii="Times New Roman" w:hAnsi="Times New Roman"/>
                <w:sz w:val="20"/>
                <w:szCs w:val="20"/>
              </w:rPr>
              <w:t>Source : Banque Mondiale Bénin RDP 2010, juin 2012</w:t>
            </w:r>
          </w:p>
        </w:tc>
      </w:tr>
    </w:tbl>
    <w:p w:rsidR="00E40F2F" w:rsidRPr="007D538D" w:rsidRDefault="00E40F2F" w:rsidP="00E40F2F"/>
    <w:p w:rsidR="002E3BBE" w:rsidRDefault="002E3BBE" w:rsidP="002E3BBE">
      <w:pPr>
        <w:spacing w:line="276" w:lineRule="auto"/>
        <w:rPr>
          <w:rFonts w:ascii="Times New Roman" w:hAnsi="Times New Roman"/>
          <w:sz w:val="24"/>
        </w:rPr>
      </w:pPr>
      <w:r w:rsidRPr="00F06619">
        <w:rPr>
          <w:rFonts w:ascii="Times New Roman" w:hAnsi="Times New Roman"/>
          <w:sz w:val="24"/>
        </w:rPr>
        <w:t xml:space="preserve">Les résultats de l’exécution budgétaire au niveau communal présentent un profil similaire à celui qui est observé au niveau national, mais avec des tendances plus marquées. En effet, le taux d’exécution des dépenses communales a été très faible et n’a pas dépassé 70% sur la période 2004-2009 contre 77,9% en moyenne au niveau national. Comme pour le niveau central, les dépenses d’investissement affichent le taux d’exécution budgétaire le plus faible, s’élevant en moyenne à 54%. Ces résultats peuvent paraître, à priori, surprenants compte tenu du faible niveau de dépenses des communes, mais ils s’expliquent par </w:t>
      </w:r>
      <w:r>
        <w:rPr>
          <w:rFonts w:ascii="Times New Roman" w:hAnsi="Times New Roman"/>
          <w:sz w:val="24"/>
        </w:rPr>
        <w:t xml:space="preserve">la faiblesse </w:t>
      </w:r>
      <w:r w:rsidRPr="00F06619">
        <w:rPr>
          <w:rFonts w:ascii="Times New Roman" w:hAnsi="Times New Roman"/>
          <w:sz w:val="24"/>
        </w:rPr>
        <w:t xml:space="preserve">des capacités </w:t>
      </w:r>
      <w:r>
        <w:rPr>
          <w:rFonts w:ascii="Times New Roman" w:hAnsi="Times New Roman"/>
          <w:sz w:val="24"/>
        </w:rPr>
        <w:t xml:space="preserve">d’absorption </w:t>
      </w:r>
      <w:r w:rsidRPr="00F06619">
        <w:rPr>
          <w:rFonts w:ascii="Times New Roman" w:hAnsi="Times New Roman"/>
          <w:sz w:val="24"/>
        </w:rPr>
        <w:t xml:space="preserve">au niveau communal. En particulier, on note la faible maîtrise des procédures d’exécution du budget par l’administration communale et le manque de réalisme dans les projections de recettes (les budgets communaux ne tiennent pas compte de la capacité de mobilisation des ressources). À cela s’ajoute la faible prévisibilité des ressources attendues de l’État central. </w:t>
      </w:r>
    </w:p>
    <w:p w:rsidR="002E3BBE" w:rsidRPr="00F06619" w:rsidRDefault="002E3BBE" w:rsidP="002E3BBE">
      <w:pPr>
        <w:spacing w:line="276" w:lineRule="auto"/>
        <w:rPr>
          <w:rFonts w:ascii="Times New Roman" w:hAnsi="Times New Roman"/>
          <w:sz w:val="24"/>
        </w:rPr>
      </w:pPr>
    </w:p>
    <w:tbl>
      <w:tblPr>
        <w:tblW w:w="5095" w:type="pct"/>
        <w:tblLook w:val="04A0" w:firstRow="1" w:lastRow="0" w:firstColumn="1" w:lastColumn="0" w:noHBand="0" w:noVBand="1"/>
      </w:tblPr>
      <w:tblGrid>
        <w:gridCol w:w="1696"/>
        <w:gridCol w:w="810"/>
        <w:gridCol w:w="958"/>
        <w:gridCol w:w="956"/>
        <w:gridCol w:w="1033"/>
        <w:gridCol w:w="956"/>
        <w:gridCol w:w="956"/>
        <w:gridCol w:w="2097"/>
      </w:tblGrid>
      <w:tr w:rsidR="0025325F" w:rsidRPr="000B5F5C" w:rsidTr="0025325F">
        <w:tc>
          <w:tcPr>
            <w:tcW w:w="5000" w:type="pct"/>
            <w:gridSpan w:val="8"/>
            <w:tcBorders>
              <w:bottom w:val="double" w:sz="6" w:space="0" w:color="auto"/>
            </w:tcBorders>
            <w:shd w:val="clear" w:color="auto" w:fill="92CDDC" w:themeFill="accent5" w:themeFillTint="99"/>
            <w:vAlign w:val="center"/>
          </w:tcPr>
          <w:p w:rsidR="0025325F" w:rsidRPr="0025325F" w:rsidRDefault="0025325F" w:rsidP="0025325F">
            <w:pPr>
              <w:jc w:val="left"/>
              <w:rPr>
                <w:rFonts w:ascii="Times New Roman" w:hAnsi="Times New Roman"/>
                <w:b/>
                <w:bCs/>
                <w:sz w:val="24"/>
                <w:szCs w:val="24"/>
              </w:rPr>
            </w:pPr>
            <w:bookmarkStart w:id="135" w:name="_Toc363421455"/>
            <w:bookmarkStart w:id="136" w:name="_Toc369714619"/>
            <w:bookmarkStart w:id="137" w:name="_Toc369720639"/>
            <w:r w:rsidRPr="0025325F">
              <w:rPr>
                <w:rFonts w:ascii="Times New Roman" w:hAnsi="Times New Roman"/>
                <w:sz w:val="24"/>
                <w:szCs w:val="24"/>
              </w:rPr>
              <w:t xml:space="preserve">Tableau 4. </w:t>
            </w:r>
            <w:r w:rsidR="00182C97" w:rsidRPr="0025325F">
              <w:rPr>
                <w:rFonts w:ascii="Times New Roman" w:hAnsi="Times New Roman"/>
                <w:sz w:val="24"/>
                <w:szCs w:val="24"/>
              </w:rPr>
              <w:fldChar w:fldCharType="begin"/>
            </w:r>
            <w:r w:rsidRPr="0025325F">
              <w:rPr>
                <w:rFonts w:ascii="Times New Roman" w:hAnsi="Times New Roman"/>
                <w:sz w:val="24"/>
                <w:szCs w:val="24"/>
              </w:rPr>
              <w:instrText xml:space="preserve"> SEQ Tableau_4. \* ARABIC </w:instrText>
            </w:r>
            <w:r w:rsidR="00182C97" w:rsidRPr="0025325F">
              <w:rPr>
                <w:rFonts w:ascii="Times New Roman" w:hAnsi="Times New Roman"/>
                <w:sz w:val="24"/>
                <w:szCs w:val="24"/>
              </w:rPr>
              <w:fldChar w:fldCharType="separate"/>
            </w:r>
            <w:r w:rsidR="00AB1967">
              <w:rPr>
                <w:rFonts w:ascii="Times New Roman" w:hAnsi="Times New Roman"/>
                <w:noProof/>
                <w:sz w:val="24"/>
                <w:szCs w:val="24"/>
              </w:rPr>
              <w:t>5</w:t>
            </w:r>
            <w:r w:rsidR="00182C97" w:rsidRPr="0025325F">
              <w:rPr>
                <w:rFonts w:ascii="Times New Roman" w:hAnsi="Times New Roman"/>
                <w:sz w:val="24"/>
                <w:szCs w:val="24"/>
              </w:rPr>
              <w:fldChar w:fldCharType="end"/>
            </w:r>
            <w:r w:rsidRPr="0025325F">
              <w:rPr>
                <w:rFonts w:ascii="Times New Roman" w:hAnsi="Times New Roman"/>
                <w:sz w:val="24"/>
                <w:szCs w:val="24"/>
              </w:rPr>
              <w:t>: Taux d’exécution des dépenses des communes, 2004-2009 (en %)</w:t>
            </w:r>
            <w:bookmarkEnd w:id="135"/>
            <w:bookmarkEnd w:id="136"/>
            <w:bookmarkEnd w:id="137"/>
          </w:p>
        </w:tc>
      </w:tr>
      <w:tr w:rsidR="00E40F2F" w:rsidRPr="000B5F5C" w:rsidTr="0025325F">
        <w:tc>
          <w:tcPr>
            <w:tcW w:w="897"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rPr>
                <w:rFonts w:ascii="Times New Roman" w:hAnsi="Times New Roman"/>
                <w:b/>
                <w:bCs/>
                <w:sz w:val="20"/>
                <w:szCs w:val="20"/>
              </w:rPr>
            </w:pPr>
          </w:p>
        </w:tc>
        <w:tc>
          <w:tcPr>
            <w:tcW w:w="428"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2004</w:t>
            </w:r>
          </w:p>
        </w:tc>
        <w:tc>
          <w:tcPr>
            <w:tcW w:w="506"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2005</w:t>
            </w:r>
          </w:p>
        </w:tc>
        <w:tc>
          <w:tcPr>
            <w:tcW w:w="505"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2006</w:t>
            </w:r>
          </w:p>
        </w:tc>
        <w:tc>
          <w:tcPr>
            <w:tcW w:w="546"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2007</w:t>
            </w:r>
          </w:p>
        </w:tc>
        <w:tc>
          <w:tcPr>
            <w:tcW w:w="505"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2008</w:t>
            </w:r>
          </w:p>
        </w:tc>
        <w:tc>
          <w:tcPr>
            <w:tcW w:w="505"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2009</w:t>
            </w:r>
          </w:p>
        </w:tc>
        <w:tc>
          <w:tcPr>
            <w:tcW w:w="1107" w:type="pct"/>
            <w:tcBorders>
              <w:top w:val="double" w:sz="6" w:space="0" w:color="auto"/>
              <w:bottom w:val="single" w:sz="8" w:space="0" w:color="auto"/>
            </w:tcBorders>
            <w:shd w:val="clear" w:color="auto" w:fill="DAEEF3" w:themeFill="accent5" w:themeFillTint="33"/>
            <w:vAlign w:val="center"/>
          </w:tcPr>
          <w:p w:rsidR="00E40F2F" w:rsidRPr="000B5F5C" w:rsidRDefault="00E40F2F" w:rsidP="00F31F3C">
            <w:pPr>
              <w:jc w:val="center"/>
              <w:rPr>
                <w:rFonts w:ascii="Times New Roman" w:hAnsi="Times New Roman"/>
                <w:b/>
                <w:bCs/>
                <w:sz w:val="20"/>
                <w:szCs w:val="20"/>
              </w:rPr>
            </w:pPr>
            <w:r w:rsidRPr="000B5F5C">
              <w:rPr>
                <w:rFonts w:ascii="Times New Roman" w:hAnsi="Times New Roman"/>
                <w:b/>
                <w:bCs/>
                <w:sz w:val="20"/>
                <w:szCs w:val="20"/>
              </w:rPr>
              <w:t>Moyenne 2004-2009</w:t>
            </w:r>
          </w:p>
        </w:tc>
      </w:tr>
      <w:tr w:rsidR="00E40F2F" w:rsidRPr="000B5F5C" w:rsidTr="0025325F">
        <w:tc>
          <w:tcPr>
            <w:tcW w:w="897" w:type="pct"/>
            <w:tcBorders>
              <w:top w:val="single" w:sz="8" w:space="0" w:color="auto"/>
            </w:tcBorders>
            <w:shd w:val="clear" w:color="auto" w:fill="DAEEF3" w:themeFill="accent5" w:themeFillTint="33"/>
          </w:tcPr>
          <w:p w:rsidR="00E40F2F" w:rsidRPr="000B5F5C" w:rsidRDefault="00E40F2F" w:rsidP="00F31F3C">
            <w:pPr>
              <w:rPr>
                <w:rFonts w:ascii="Times New Roman" w:hAnsi="Times New Roman"/>
                <w:b/>
                <w:bCs/>
                <w:i/>
                <w:sz w:val="20"/>
                <w:szCs w:val="20"/>
                <w:lang w:eastAsia="fr-FR"/>
              </w:rPr>
            </w:pPr>
            <w:r w:rsidRPr="000B5F5C">
              <w:rPr>
                <w:rFonts w:ascii="Times New Roman" w:hAnsi="Times New Roman"/>
                <w:bCs/>
                <w:sz w:val="20"/>
                <w:szCs w:val="20"/>
              </w:rPr>
              <w:t>Fonctionnement</w:t>
            </w:r>
          </w:p>
        </w:tc>
        <w:tc>
          <w:tcPr>
            <w:tcW w:w="428"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75</w:t>
            </w:r>
          </w:p>
        </w:tc>
        <w:tc>
          <w:tcPr>
            <w:tcW w:w="506"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64</w:t>
            </w:r>
          </w:p>
        </w:tc>
        <w:tc>
          <w:tcPr>
            <w:tcW w:w="505"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76</w:t>
            </w:r>
          </w:p>
        </w:tc>
        <w:tc>
          <w:tcPr>
            <w:tcW w:w="546"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125</w:t>
            </w:r>
          </w:p>
        </w:tc>
        <w:tc>
          <w:tcPr>
            <w:tcW w:w="505"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60</w:t>
            </w:r>
          </w:p>
        </w:tc>
        <w:tc>
          <w:tcPr>
            <w:tcW w:w="505"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67</w:t>
            </w:r>
          </w:p>
        </w:tc>
        <w:tc>
          <w:tcPr>
            <w:tcW w:w="1107" w:type="pct"/>
            <w:tcBorders>
              <w:top w:val="single" w:sz="8" w:space="0" w:color="auto"/>
            </w:tcBorders>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78</w:t>
            </w:r>
          </w:p>
        </w:tc>
      </w:tr>
      <w:tr w:rsidR="00E40F2F" w:rsidRPr="000B5F5C" w:rsidTr="0025325F">
        <w:tc>
          <w:tcPr>
            <w:tcW w:w="897" w:type="pct"/>
            <w:shd w:val="clear" w:color="auto" w:fill="DAEEF3" w:themeFill="accent5" w:themeFillTint="33"/>
          </w:tcPr>
          <w:p w:rsidR="00E40F2F" w:rsidRPr="000B5F5C" w:rsidRDefault="00E40F2F" w:rsidP="00F31F3C">
            <w:pPr>
              <w:rPr>
                <w:rFonts w:ascii="Times New Roman" w:hAnsi="Times New Roman"/>
                <w:b/>
                <w:bCs/>
                <w:sz w:val="20"/>
                <w:szCs w:val="20"/>
              </w:rPr>
            </w:pPr>
            <w:r w:rsidRPr="000B5F5C">
              <w:rPr>
                <w:rFonts w:ascii="Times New Roman" w:hAnsi="Times New Roman"/>
                <w:bCs/>
                <w:sz w:val="20"/>
                <w:szCs w:val="20"/>
              </w:rPr>
              <w:t>Investissement</w:t>
            </w:r>
          </w:p>
        </w:tc>
        <w:tc>
          <w:tcPr>
            <w:tcW w:w="428"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41</w:t>
            </w:r>
          </w:p>
        </w:tc>
        <w:tc>
          <w:tcPr>
            <w:tcW w:w="506"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30</w:t>
            </w:r>
          </w:p>
        </w:tc>
        <w:tc>
          <w:tcPr>
            <w:tcW w:w="505"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48</w:t>
            </w:r>
          </w:p>
        </w:tc>
        <w:tc>
          <w:tcPr>
            <w:tcW w:w="546"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42</w:t>
            </w:r>
          </w:p>
        </w:tc>
        <w:tc>
          <w:tcPr>
            <w:tcW w:w="505"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88</w:t>
            </w:r>
          </w:p>
        </w:tc>
        <w:tc>
          <w:tcPr>
            <w:tcW w:w="505"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76</w:t>
            </w:r>
          </w:p>
        </w:tc>
        <w:tc>
          <w:tcPr>
            <w:tcW w:w="1107" w:type="pct"/>
            <w:shd w:val="clear" w:color="auto" w:fill="DAEEF3" w:themeFill="accent5" w:themeFillTint="33"/>
          </w:tcPr>
          <w:p w:rsidR="00E40F2F" w:rsidRPr="000B5F5C" w:rsidRDefault="00E40F2F" w:rsidP="00F31F3C">
            <w:pPr>
              <w:jc w:val="center"/>
              <w:rPr>
                <w:rFonts w:ascii="Times New Roman" w:hAnsi="Times New Roman"/>
                <w:sz w:val="20"/>
                <w:szCs w:val="20"/>
              </w:rPr>
            </w:pPr>
            <w:r w:rsidRPr="000B5F5C">
              <w:rPr>
                <w:rFonts w:ascii="Times New Roman" w:hAnsi="Times New Roman"/>
                <w:sz w:val="20"/>
                <w:szCs w:val="20"/>
              </w:rPr>
              <w:t>54</w:t>
            </w:r>
          </w:p>
        </w:tc>
      </w:tr>
      <w:tr w:rsidR="00E40F2F" w:rsidRPr="000B5F5C" w:rsidTr="0025325F">
        <w:tc>
          <w:tcPr>
            <w:tcW w:w="897" w:type="pct"/>
            <w:tcBorders>
              <w:bottom w:val="double" w:sz="6" w:space="0" w:color="auto"/>
            </w:tcBorders>
            <w:shd w:val="clear" w:color="auto" w:fill="DAEEF3" w:themeFill="accent5" w:themeFillTint="33"/>
          </w:tcPr>
          <w:p w:rsidR="00E40F2F" w:rsidRPr="000B5F5C" w:rsidRDefault="00E40F2F" w:rsidP="00F31F3C">
            <w:pPr>
              <w:rPr>
                <w:rFonts w:ascii="Times New Roman" w:hAnsi="Times New Roman"/>
                <w:b/>
                <w:bCs/>
                <w:sz w:val="20"/>
                <w:szCs w:val="20"/>
              </w:rPr>
            </w:pPr>
            <w:r w:rsidRPr="000B5F5C">
              <w:rPr>
                <w:rFonts w:ascii="Times New Roman" w:hAnsi="Times New Roman"/>
                <w:b/>
                <w:bCs/>
                <w:sz w:val="20"/>
                <w:szCs w:val="20"/>
              </w:rPr>
              <w:t>Dépenses totales</w:t>
            </w:r>
          </w:p>
        </w:tc>
        <w:tc>
          <w:tcPr>
            <w:tcW w:w="428"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58</w:t>
            </w:r>
          </w:p>
        </w:tc>
        <w:tc>
          <w:tcPr>
            <w:tcW w:w="506"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47</w:t>
            </w:r>
          </w:p>
        </w:tc>
        <w:tc>
          <w:tcPr>
            <w:tcW w:w="505"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62</w:t>
            </w:r>
          </w:p>
        </w:tc>
        <w:tc>
          <w:tcPr>
            <w:tcW w:w="546"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83</w:t>
            </w:r>
          </w:p>
        </w:tc>
        <w:tc>
          <w:tcPr>
            <w:tcW w:w="505"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67</w:t>
            </w:r>
          </w:p>
        </w:tc>
        <w:tc>
          <w:tcPr>
            <w:tcW w:w="505"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70</w:t>
            </w:r>
          </w:p>
        </w:tc>
        <w:tc>
          <w:tcPr>
            <w:tcW w:w="1107" w:type="pct"/>
            <w:tcBorders>
              <w:bottom w:val="double" w:sz="6" w:space="0" w:color="auto"/>
            </w:tcBorders>
            <w:shd w:val="clear" w:color="auto" w:fill="DAEEF3" w:themeFill="accent5" w:themeFillTint="33"/>
          </w:tcPr>
          <w:p w:rsidR="00E40F2F" w:rsidRPr="000B5F5C" w:rsidRDefault="00E40F2F" w:rsidP="00F31F3C">
            <w:pPr>
              <w:jc w:val="center"/>
              <w:rPr>
                <w:rFonts w:ascii="Times New Roman" w:hAnsi="Times New Roman"/>
                <w:b/>
                <w:sz w:val="20"/>
                <w:szCs w:val="20"/>
              </w:rPr>
            </w:pPr>
            <w:r w:rsidRPr="000B5F5C">
              <w:rPr>
                <w:rFonts w:ascii="Times New Roman" w:hAnsi="Times New Roman"/>
                <w:b/>
                <w:sz w:val="20"/>
                <w:szCs w:val="20"/>
              </w:rPr>
              <w:t>65</w:t>
            </w:r>
          </w:p>
        </w:tc>
      </w:tr>
      <w:tr w:rsidR="00E40F2F" w:rsidRPr="008B014F" w:rsidTr="00F31F3C">
        <w:tc>
          <w:tcPr>
            <w:tcW w:w="5000" w:type="pct"/>
            <w:gridSpan w:val="8"/>
            <w:tcBorders>
              <w:top w:val="double" w:sz="6" w:space="0" w:color="auto"/>
            </w:tcBorders>
            <w:shd w:val="clear" w:color="auto" w:fill="DAEEF3" w:themeFill="accent5" w:themeFillTint="33"/>
          </w:tcPr>
          <w:p w:rsidR="00E40F2F" w:rsidRPr="008B014F" w:rsidRDefault="00E40F2F" w:rsidP="00F31F3C">
            <w:pPr>
              <w:rPr>
                <w:rFonts w:ascii="Times New Roman" w:hAnsi="Times New Roman"/>
                <w:sz w:val="20"/>
                <w:szCs w:val="20"/>
              </w:rPr>
            </w:pPr>
            <w:r w:rsidRPr="008B014F">
              <w:rPr>
                <w:rFonts w:ascii="Times New Roman" w:hAnsi="Times New Roman"/>
                <w:sz w:val="20"/>
                <w:szCs w:val="20"/>
              </w:rPr>
              <w:t>Source: Banque Mondiale, Benin RDP 2010, juin 2012</w:t>
            </w:r>
          </w:p>
        </w:tc>
      </w:tr>
    </w:tbl>
    <w:p w:rsidR="00E40F2F" w:rsidRPr="00F06619" w:rsidRDefault="00E40F2F" w:rsidP="00E40F2F">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r w:rsidRPr="00F06619">
        <w:rPr>
          <w:rFonts w:ascii="Times New Roman" w:hAnsi="Times New Roman"/>
          <w:sz w:val="24"/>
        </w:rPr>
        <w:t xml:space="preserve">Pour accompagner la décentralisation, le Gouvernement a également entrepris une politique de déconcentration à travers laquelle, un certain nombre de ministères sectoriels ont créé des services au niveau départemental afin d’apporter une assistance-conseil aux communes. Les crédits délégués ont presque exclusivement été absorbés par les dépenses courantes et principalement dans les secteurs de l’éducation, de la santé, de l’hydraulique. La part de la santé dans le total des crédits délégués a été de 39,5% contre 25,8% pour l’hydraulique et 7,1% pour l’enseignement maternel et primaire. La part des autres secteurs représente à peine 28%. </w:t>
      </w:r>
    </w:p>
    <w:p w:rsidR="002E3BBE" w:rsidRPr="008A05C0" w:rsidRDefault="002E3BBE" w:rsidP="002E3BBE">
      <w:pPr>
        <w:spacing w:line="276" w:lineRule="auto"/>
        <w:rPr>
          <w:rFonts w:ascii="Times New Roman" w:hAnsi="Times New Roman"/>
          <w:sz w:val="12"/>
          <w:szCs w:val="12"/>
        </w:rPr>
      </w:pPr>
    </w:p>
    <w:p w:rsidR="002E3BBE" w:rsidRDefault="002E3BBE" w:rsidP="002E3BBE">
      <w:pPr>
        <w:spacing w:line="276" w:lineRule="auto"/>
        <w:rPr>
          <w:rFonts w:ascii="Times New Roman" w:hAnsi="Times New Roman"/>
          <w:sz w:val="24"/>
        </w:rPr>
      </w:pPr>
      <w:r>
        <w:rPr>
          <w:rFonts w:ascii="Times New Roman" w:hAnsi="Times New Roman"/>
          <w:sz w:val="24"/>
        </w:rPr>
        <w:t>A</w:t>
      </w:r>
      <w:r w:rsidRPr="00F06619">
        <w:rPr>
          <w:rFonts w:ascii="Times New Roman" w:hAnsi="Times New Roman"/>
          <w:sz w:val="24"/>
        </w:rPr>
        <w:t xml:space="preserve"> part l’hydraulique, aucun ministère n’a eu un ratio de déconcentration de plus de 20%. La gestion budgétaire demeure donc très centralisée avec plus de 93% des dépenses exécutées au niveau central. Il s’avère alors nécessaire de la déconcentrer davantage, en particulier dans les secteurs où la plus grande partie de la fourniture des services publics s’effectue au niveau local, si l’on veut que les structures déconcentrées soient en mesure d’apporter une assistance de qualité aux collectivités locales.</w:t>
      </w:r>
    </w:p>
    <w:p w:rsidR="002E3BBE" w:rsidRPr="00F06619" w:rsidRDefault="002E3BBE" w:rsidP="002E3BBE">
      <w:pPr>
        <w:spacing w:line="276" w:lineRule="auto"/>
        <w:rPr>
          <w:rFonts w:ascii="Times New Roman" w:hAnsi="Times New Roman"/>
          <w:sz w:val="24"/>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9"/>
      </w:tblGrid>
      <w:tr w:rsidR="00E40F2F" w:rsidRPr="00443E6D" w:rsidTr="00F31F3C">
        <w:trPr>
          <w:trHeight w:val="347"/>
          <w:jc w:val="center"/>
        </w:trPr>
        <w:tc>
          <w:tcPr>
            <w:tcW w:w="9180" w:type="dxa"/>
            <w:shd w:val="clear" w:color="auto" w:fill="92CDDC" w:themeFill="accent5" w:themeFillTint="99"/>
          </w:tcPr>
          <w:p w:rsidR="00E40F2F" w:rsidRPr="00443E6D" w:rsidRDefault="00CC09F3" w:rsidP="00F31F3C">
            <w:pPr>
              <w:spacing w:line="240" w:lineRule="auto"/>
              <w:rPr>
                <w:rFonts w:ascii="Times New Roman" w:hAnsi="Times New Roman"/>
                <w:sz w:val="24"/>
                <w:szCs w:val="24"/>
              </w:rPr>
            </w:pPr>
            <w:bookmarkStart w:id="138" w:name="_Toc369726134"/>
            <w:bookmarkStart w:id="139" w:name="_Toc369726698"/>
            <w:bookmarkStart w:id="140" w:name="_Toc369727391"/>
            <w:bookmarkStart w:id="141" w:name="_Toc369728071"/>
            <w:r w:rsidRPr="001D556B">
              <w:rPr>
                <w:rFonts w:ascii="Times New Roman" w:hAnsi="Times New Roman"/>
              </w:rPr>
              <w:t xml:space="preserve">Graphique 4. </w:t>
            </w:r>
            <w:r w:rsidR="00182C97" w:rsidRPr="001D556B">
              <w:rPr>
                <w:rFonts w:ascii="Times New Roman" w:hAnsi="Times New Roman"/>
              </w:rPr>
              <w:fldChar w:fldCharType="begin"/>
            </w:r>
            <w:r w:rsidRPr="001D556B">
              <w:rPr>
                <w:rFonts w:ascii="Times New Roman" w:hAnsi="Times New Roman"/>
              </w:rPr>
              <w:instrText xml:space="preserve"> SEQ Graphiaue_4. \* ARABIC </w:instrText>
            </w:r>
            <w:r w:rsidR="00182C97" w:rsidRPr="001D556B">
              <w:rPr>
                <w:rFonts w:ascii="Times New Roman" w:hAnsi="Times New Roman"/>
              </w:rPr>
              <w:fldChar w:fldCharType="separate"/>
            </w:r>
            <w:r w:rsidR="00AB1967">
              <w:rPr>
                <w:rFonts w:ascii="Times New Roman" w:hAnsi="Times New Roman"/>
                <w:noProof/>
              </w:rPr>
              <w:t>5</w:t>
            </w:r>
            <w:r w:rsidR="00182C97" w:rsidRPr="001D556B">
              <w:rPr>
                <w:rFonts w:ascii="Times New Roman" w:hAnsi="Times New Roman"/>
              </w:rPr>
              <w:fldChar w:fldCharType="end"/>
            </w:r>
            <w:r w:rsidR="00E40F2F" w:rsidRPr="00443E6D">
              <w:rPr>
                <w:rFonts w:ascii="Times New Roman" w:hAnsi="Times New Roman"/>
                <w:sz w:val="24"/>
                <w:szCs w:val="24"/>
              </w:rPr>
              <w:t>: Part des crédits délégués dans les allocations sectorielles en 2009</w:t>
            </w:r>
            <w:bookmarkEnd w:id="138"/>
            <w:bookmarkEnd w:id="139"/>
            <w:bookmarkEnd w:id="140"/>
            <w:bookmarkEnd w:id="141"/>
          </w:p>
        </w:tc>
      </w:tr>
      <w:tr w:rsidR="00E40F2F" w:rsidTr="00F31F3C">
        <w:trPr>
          <w:jc w:val="center"/>
        </w:trPr>
        <w:tc>
          <w:tcPr>
            <w:tcW w:w="9180" w:type="dxa"/>
            <w:shd w:val="clear" w:color="auto" w:fill="DAEEF3" w:themeFill="accent5" w:themeFillTint="33"/>
          </w:tcPr>
          <w:p w:rsidR="00E40F2F" w:rsidRDefault="00E40F2F" w:rsidP="00F31F3C">
            <w:pPr>
              <w:spacing w:before="120" w:after="120" w:line="240" w:lineRule="auto"/>
              <w:ind w:left="-57"/>
              <w:jc w:val="center"/>
            </w:pPr>
            <w:r w:rsidRPr="007D538D">
              <w:rPr>
                <w:noProof/>
                <w:lang w:eastAsia="fr-FR"/>
              </w:rPr>
              <w:drawing>
                <wp:inline distT="0" distB="0" distL="0" distR="0" wp14:anchorId="774E3775" wp14:editId="0EB27BEB">
                  <wp:extent cx="5708650" cy="3028950"/>
                  <wp:effectExtent l="19050" t="0" r="25400" b="0"/>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r w:rsidR="00E40F2F" w:rsidRPr="00E40F2F" w:rsidTr="00F31F3C">
        <w:trPr>
          <w:jc w:val="center"/>
        </w:trPr>
        <w:tc>
          <w:tcPr>
            <w:tcW w:w="9180" w:type="dxa"/>
            <w:shd w:val="clear" w:color="auto" w:fill="DAEEF3" w:themeFill="accent5" w:themeFillTint="33"/>
          </w:tcPr>
          <w:p w:rsidR="00E40F2F" w:rsidRPr="00E40F2F" w:rsidRDefault="00E40F2F" w:rsidP="00E40F2F">
            <w:pPr>
              <w:keepNext/>
              <w:keepLines/>
              <w:spacing w:line="240" w:lineRule="auto"/>
              <w:rPr>
                <w:rFonts w:ascii="Times New Roman" w:hAnsi="Times New Roman"/>
                <w:sz w:val="20"/>
                <w:szCs w:val="20"/>
              </w:rPr>
            </w:pPr>
            <w:r w:rsidRPr="00E40F2F">
              <w:rPr>
                <w:rFonts w:ascii="Times New Roman" w:hAnsi="Times New Roman"/>
                <w:sz w:val="20"/>
                <w:szCs w:val="20"/>
              </w:rPr>
              <w:t>Source : Banque Mondiale Bénin RDP 2010, juin 2012</w:t>
            </w:r>
          </w:p>
        </w:tc>
      </w:tr>
    </w:tbl>
    <w:p w:rsidR="00E40F2F" w:rsidRPr="007D538D" w:rsidRDefault="00E40F2F" w:rsidP="00E40F2F"/>
    <w:p w:rsidR="002E3BBE" w:rsidRPr="008A05C0" w:rsidRDefault="002E3BBE" w:rsidP="008A05C0">
      <w:pPr>
        <w:pStyle w:val="Titre2"/>
        <w:spacing w:before="120" w:after="0" w:line="240" w:lineRule="auto"/>
        <w:rPr>
          <w:rFonts w:ascii="Times New Roman" w:hAnsi="Times New Roman"/>
          <w:i w:val="0"/>
          <w:color w:val="31849B" w:themeColor="accent5" w:themeShade="BF"/>
        </w:rPr>
      </w:pPr>
      <w:bookmarkStart w:id="142" w:name="_Toc382322940"/>
      <w:r w:rsidRPr="008A05C0">
        <w:rPr>
          <w:rFonts w:ascii="Times New Roman" w:hAnsi="Times New Roman"/>
          <w:i w:val="0"/>
          <w:color w:val="31849B" w:themeColor="accent5" w:themeShade="BF"/>
        </w:rPr>
        <w:t>4.3</w:t>
      </w:r>
      <w:r w:rsidR="00036F9B">
        <w:rPr>
          <w:rFonts w:ascii="Times New Roman" w:hAnsi="Times New Roman"/>
          <w:i w:val="0"/>
          <w:color w:val="31849B" w:themeColor="accent5" w:themeShade="BF"/>
        </w:rPr>
        <w:t xml:space="preserve"> </w:t>
      </w:r>
      <w:r w:rsidRPr="008A05C0">
        <w:rPr>
          <w:rFonts w:ascii="Times New Roman" w:hAnsi="Times New Roman"/>
          <w:i w:val="0"/>
          <w:color w:val="31849B" w:themeColor="accent5" w:themeShade="BF"/>
        </w:rPr>
        <w:t>Contribution des dépenses publiques à la réduction de la pauvreté</w:t>
      </w:r>
      <w:bookmarkEnd w:id="142"/>
    </w:p>
    <w:p w:rsidR="008A05C0" w:rsidRDefault="008A05C0" w:rsidP="002E3BBE">
      <w:pPr>
        <w:spacing w:line="276" w:lineRule="auto"/>
        <w:rPr>
          <w:rFonts w:ascii="Times New Roman" w:hAnsi="Times New Roman"/>
          <w:sz w:val="24"/>
          <w:szCs w:val="26"/>
        </w:rPr>
      </w:pPr>
    </w:p>
    <w:p w:rsidR="002E3BBE" w:rsidRPr="00F92AF7" w:rsidRDefault="002E3BBE" w:rsidP="002E3BBE">
      <w:pPr>
        <w:spacing w:line="276" w:lineRule="auto"/>
        <w:rPr>
          <w:rFonts w:ascii="Times New Roman" w:hAnsi="Times New Roman"/>
          <w:sz w:val="24"/>
          <w:szCs w:val="26"/>
        </w:rPr>
      </w:pPr>
      <w:r w:rsidRPr="00F92AF7">
        <w:rPr>
          <w:rFonts w:ascii="Times New Roman" w:hAnsi="Times New Roman"/>
          <w:sz w:val="24"/>
          <w:szCs w:val="26"/>
        </w:rPr>
        <w:t>Cette section analyse l’effet redistributif de la politique budgétaire sur la réduction de la pauvreté. Il s’agit d’identifier les bénéficiaires des dépenses publiques, de déterminer si les pauvres en profitent effectivement, en particulier dans les secteurs clés comme l’agriculture, l’éducation et la santé. A cet effet, elle présente une brève revue de littérature sur l’inter-relation entre les dépenses publiques et la pauvreté. Ensuite, sont présentés la structure du modèle d’estimation et les résultats des simulations.</w:t>
      </w:r>
    </w:p>
    <w:p w:rsidR="002E3BBE" w:rsidRPr="008A05C0" w:rsidRDefault="002E3BBE" w:rsidP="002E3BBE">
      <w:pPr>
        <w:spacing w:line="276" w:lineRule="auto"/>
        <w:rPr>
          <w:rFonts w:ascii="Times New Roman" w:hAnsi="Times New Roman"/>
          <w:sz w:val="12"/>
          <w:szCs w:val="12"/>
        </w:rPr>
      </w:pPr>
    </w:p>
    <w:p w:rsidR="002E3BBE" w:rsidRPr="002A0A3B" w:rsidRDefault="002E3BBE" w:rsidP="002E3BBE">
      <w:pPr>
        <w:pStyle w:val="T511"/>
        <w:numPr>
          <w:ilvl w:val="0"/>
          <w:numId w:val="0"/>
        </w:numPr>
        <w:spacing w:after="0"/>
        <w:rPr>
          <w:highlight w:val="yellow"/>
        </w:rPr>
      </w:pPr>
      <w:r w:rsidRPr="00656D62">
        <w:t xml:space="preserve">Revue de littérature. </w:t>
      </w:r>
      <w:r w:rsidRPr="00656D62">
        <w:rPr>
          <w:b w:val="0"/>
        </w:rPr>
        <w:t xml:space="preserve">Plusieurs travaux ont été réalisés pour apprécier l’impact des dépenses publiques sur la pauvreté. </w:t>
      </w:r>
      <w:r w:rsidRPr="00B73552">
        <w:rPr>
          <w:b w:val="0"/>
        </w:rPr>
        <w:t>Nous présentons ici quelques uns</w:t>
      </w:r>
      <w:r>
        <w:rPr>
          <w:b w:val="0"/>
        </w:rPr>
        <w:t xml:space="preserve"> à même d’orienter et de situer les résultats de cette étude</w:t>
      </w:r>
      <w:r w:rsidRPr="00B73552">
        <w:rPr>
          <w:b w:val="0"/>
        </w:rPr>
        <w:t xml:space="preserve">. </w:t>
      </w:r>
      <w:r>
        <w:rPr>
          <w:b w:val="0"/>
        </w:rPr>
        <w:t xml:space="preserve">Globalement, ces travaux mettent en exergue </w:t>
      </w:r>
      <w:r w:rsidRPr="005065F3">
        <w:rPr>
          <w:b w:val="0"/>
        </w:rPr>
        <w:t>le rôle crucial que jouent la recherche agricole, l’éducation et les infrastructures dans la réduction de la pauvreté</w:t>
      </w:r>
      <w:r>
        <w:rPr>
          <w:b w:val="0"/>
        </w:rPr>
        <w:t xml:space="preserve"> en particulier rurale. </w:t>
      </w:r>
      <w:r w:rsidRPr="0085320D">
        <w:rPr>
          <w:b w:val="0"/>
        </w:rPr>
        <w:t xml:space="preserve">Ainsi, Fan, Hazzel et Thorat (2000) ont examiné les effets de différents types de dépenses publiques sur la pauvreté et la productivité en Inde. Les résultats montrent que pour réduire significativement la pauvreté, le Gouvernement indien devrait donner la priorité à la construction de routes rurales et à la recherche agricole. L’impact positif des dépenses d’éducation se classe en troisième position. Les autres  dépenses telles que celles liées à l’irrigation, </w:t>
      </w:r>
      <w:r w:rsidR="007367AB">
        <w:rPr>
          <w:b w:val="0"/>
        </w:rPr>
        <w:t xml:space="preserve">à </w:t>
      </w:r>
      <w:r w:rsidRPr="0085320D">
        <w:rPr>
          <w:b w:val="0"/>
        </w:rPr>
        <w:t xml:space="preserve">la conservation de l’eau, </w:t>
      </w:r>
      <w:r w:rsidR="007367AB">
        <w:rPr>
          <w:b w:val="0"/>
        </w:rPr>
        <w:t xml:space="preserve">à </w:t>
      </w:r>
      <w:r w:rsidRPr="0085320D">
        <w:rPr>
          <w:b w:val="0"/>
        </w:rPr>
        <w:t xml:space="preserve">la santé et </w:t>
      </w:r>
      <w:r w:rsidR="007367AB">
        <w:rPr>
          <w:b w:val="0"/>
        </w:rPr>
        <w:t>au</w:t>
      </w:r>
      <w:r w:rsidR="007367AB" w:rsidRPr="0085320D">
        <w:rPr>
          <w:b w:val="0"/>
        </w:rPr>
        <w:t xml:space="preserve"> </w:t>
      </w:r>
      <w:r w:rsidRPr="0085320D">
        <w:rPr>
          <w:b w:val="0"/>
        </w:rPr>
        <w:t>développement rural n’ont eu que des effets modestes sur la pauvreté rurale.</w:t>
      </w:r>
    </w:p>
    <w:p w:rsidR="002E3BBE" w:rsidRPr="00517125" w:rsidRDefault="002E3BBE" w:rsidP="002E3BBE">
      <w:pPr>
        <w:spacing w:line="276" w:lineRule="auto"/>
        <w:rPr>
          <w:rFonts w:ascii="Times New Roman" w:hAnsi="Times New Roman"/>
          <w:sz w:val="18"/>
          <w:szCs w:val="18"/>
          <w:highlight w:val="yellow"/>
        </w:rPr>
      </w:pPr>
    </w:p>
    <w:p w:rsidR="002E3BBE" w:rsidRPr="0085320D" w:rsidRDefault="002E3BBE" w:rsidP="002E3BBE">
      <w:pPr>
        <w:spacing w:line="276" w:lineRule="auto"/>
        <w:rPr>
          <w:rFonts w:ascii="Times New Roman" w:hAnsi="Times New Roman"/>
          <w:sz w:val="24"/>
        </w:rPr>
      </w:pPr>
      <w:r w:rsidRPr="0085320D">
        <w:rPr>
          <w:rFonts w:ascii="Times New Roman" w:hAnsi="Times New Roman"/>
          <w:sz w:val="24"/>
        </w:rPr>
        <w:t>En Ouganda, Fan, Zhang et Rao (2004) ont estimé les effets des dépenses publiques sur la croissance agricole et la réduction de la pauvreté rurale. Se basant sur des estimations économétriques d’équations simultanées avec des données des préfectures, l’étude montre que les dépenses publiques dans la recherche et l’extension agricole ont significativement et positivement affecté la production agricole du pays. Ce type de dépense a aussi le plus important effet sur la réduction de la pauvreté. L’étude montre également que les dépenses d’infrastructures, notamment les routes, ont un effet important sur la réduction de la pauvreté. S’agissant de l’éducation et de la santé, l’effet des dépenses dans l’éducation sur la pauvreté rurale est positif tandis que les dépenses dans la santé ne semblent pas avoir un effet significatif sur la pauvreté rurale, certainement en raison des erreurs de mesure liées à cette variable.</w:t>
      </w:r>
    </w:p>
    <w:p w:rsidR="002E3BBE" w:rsidRPr="00517125" w:rsidRDefault="002E3BBE" w:rsidP="002E3BBE">
      <w:pPr>
        <w:spacing w:line="276" w:lineRule="auto"/>
        <w:rPr>
          <w:rFonts w:ascii="Times New Roman" w:hAnsi="Times New Roman"/>
          <w:sz w:val="18"/>
          <w:szCs w:val="18"/>
          <w:highlight w:val="yellow"/>
        </w:rPr>
      </w:pPr>
    </w:p>
    <w:p w:rsidR="002E3BBE" w:rsidRPr="00F24676" w:rsidRDefault="002E3BBE" w:rsidP="002E3BBE">
      <w:pPr>
        <w:spacing w:line="276" w:lineRule="auto"/>
        <w:rPr>
          <w:rFonts w:ascii="Times New Roman" w:hAnsi="Times New Roman"/>
          <w:sz w:val="24"/>
        </w:rPr>
      </w:pPr>
      <w:r w:rsidRPr="00F24676">
        <w:rPr>
          <w:rFonts w:ascii="Times New Roman" w:hAnsi="Times New Roman"/>
          <w:sz w:val="24"/>
        </w:rPr>
        <w:t>La relation entre les investissements publics et la pauvreté a été également analysée pour le cas de la Thaïlande (Fan, Jitsuchon, et Methakunnavut (2004)), de la  Chine et de l’Inde (Fan et Thorat (2007)). Ces différentes études sont parvenues aux mêmes conclusions, en particulier le rôle crucial que jouent la recherche agricole, l’éducation et les infrastructures dans la réduction de la pauvreté. Elles ont également mis en exergue l’effet différencié des différents types d’investissements publics sur la pauvreté.</w:t>
      </w:r>
    </w:p>
    <w:p w:rsidR="002E3BBE" w:rsidRPr="00517125" w:rsidRDefault="002E3BBE" w:rsidP="002E3BBE">
      <w:pPr>
        <w:spacing w:line="276" w:lineRule="auto"/>
        <w:rPr>
          <w:rFonts w:ascii="Times New Roman" w:hAnsi="Times New Roman"/>
          <w:sz w:val="18"/>
          <w:szCs w:val="18"/>
          <w:highlight w:val="yellow"/>
        </w:rPr>
      </w:pPr>
    </w:p>
    <w:p w:rsidR="002E3BBE" w:rsidRPr="00F61AFC" w:rsidRDefault="002E3BBE" w:rsidP="002E3BBE">
      <w:pPr>
        <w:spacing w:line="276" w:lineRule="auto"/>
        <w:rPr>
          <w:rFonts w:ascii="Times New Roman" w:hAnsi="Times New Roman"/>
          <w:sz w:val="24"/>
        </w:rPr>
      </w:pPr>
      <w:r w:rsidRPr="00F61AFC">
        <w:rPr>
          <w:rFonts w:ascii="Times New Roman" w:hAnsi="Times New Roman"/>
          <w:sz w:val="24"/>
        </w:rPr>
        <w:t>Ngandu, Garcia et Arndt (2010) ont analysé les effets des dépenses d’infrastructure en Afrique du Sud à l’aide de la méthode SPA (</w:t>
      </w:r>
      <w:r w:rsidR="005922DF">
        <w:rPr>
          <w:rFonts w:ascii="Times New Roman" w:hAnsi="Times New Roman"/>
          <w:sz w:val="24"/>
        </w:rPr>
        <w:t>S</w:t>
      </w:r>
      <w:r w:rsidRPr="00F61AFC">
        <w:rPr>
          <w:rFonts w:ascii="Times New Roman" w:hAnsi="Times New Roman"/>
          <w:sz w:val="24"/>
        </w:rPr>
        <w:t>tructural Path</w:t>
      </w:r>
      <w:r w:rsidR="00036F9B">
        <w:rPr>
          <w:rFonts w:ascii="Times New Roman" w:hAnsi="Times New Roman"/>
          <w:sz w:val="24"/>
        </w:rPr>
        <w:t xml:space="preserve"> </w:t>
      </w:r>
      <w:r w:rsidRPr="00F61AFC">
        <w:rPr>
          <w:rFonts w:ascii="Times New Roman" w:hAnsi="Times New Roman"/>
          <w:sz w:val="24"/>
        </w:rPr>
        <w:t>Analysis). Cette étude visait l’analyse des effets économiques d’un important programme de construction d’infrastructures que le Gouvernement sud-africain s’apprêtait à mettre en œuvre. Il s’agissait aussi pour les auteurs de mettre en lumière les canaux par lesquels les dépenses d’infrastructures affecteraient l’économie. L’étude montre que le secteur de la construction est un bon choix pour une injection de liquidité du fait de ses effets simultanés sur les autres branches d’activité et les ménages.</w:t>
      </w:r>
    </w:p>
    <w:p w:rsidR="002E3BBE" w:rsidRPr="00517125" w:rsidRDefault="002E3BBE" w:rsidP="002E3BBE">
      <w:pPr>
        <w:spacing w:line="276" w:lineRule="auto"/>
        <w:rPr>
          <w:rFonts w:ascii="Times New Roman" w:hAnsi="Times New Roman"/>
          <w:sz w:val="18"/>
          <w:szCs w:val="18"/>
        </w:rPr>
      </w:pPr>
    </w:p>
    <w:p w:rsidR="002E3BBE" w:rsidRPr="00F61AFC" w:rsidRDefault="002E3BBE" w:rsidP="002E3BBE">
      <w:pPr>
        <w:spacing w:line="276" w:lineRule="auto"/>
        <w:rPr>
          <w:rFonts w:ascii="Times New Roman" w:hAnsi="Times New Roman"/>
          <w:sz w:val="24"/>
        </w:rPr>
      </w:pPr>
      <w:r w:rsidRPr="00F61AFC">
        <w:rPr>
          <w:rFonts w:ascii="Times New Roman" w:hAnsi="Times New Roman"/>
          <w:sz w:val="24"/>
        </w:rPr>
        <w:t>Arndt, Garcia, Tarp et Thurlow  (2011) ont analysé la relation entre la structure de l’économie et la réduction de la pauvreté en comparant les économies du Mozambique et du Vietnam. Partant du constat que les performances économiques de ces deux pays sont similaires en termes de croissance économique et de sa composition, les auteurs, sur la base des résultats de l’analyse SPA, montrent que la structure de l’économie vietnamienne conduit naturellement à une réduction de la pauvreté. Pour une croissance donnée de l’économie, l’effet ressenti sur les ménages vietnamiens est supérieur à celui des ménages mozambicains. Le niveau d’éducation, le commerce extérieur et le système de transport sont ressortis comme les contraintes majeures à la croissance au Mozambique.</w:t>
      </w:r>
    </w:p>
    <w:p w:rsidR="002E3BBE" w:rsidRPr="00517125" w:rsidRDefault="002E3BBE" w:rsidP="002E3BBE">
      <w:pPr>
        <w:spacing w:line="276" w:lineRule="auto"/>
        <w:rPr>
          <w:rFonts w:ascii="Times New Roman" w:hAnsi="Times New Roman"/>
          <w:sz w:val="18"/>
          <w:szCs w:val="18"/>
        </w:rPr>
      </w:pPr>
    </w:p>
    <w:p w:rsidR="002E3BBE" w:rsidRDefault="002E3BBE" w:rsidP="002E3BBE">
      <w:pPr>
        <w:spacing w:line="276" w:lineRule="auto"/>
        <w:rPr>
          <w:rFonts w:ascii="Times New Roman" w:hAnsi="Times New Roman"/>
          <w:sz w:val="24"/>
        </w:rPr>
      </w:pPr>
      <w:r w:rsidRPr="00F61AFC">
        <w:rPr>
          <w:rFonts w:ascii="Times New Roman" w:hAnsi="Times New Roman"/>
          <w:sz w:val="24"/>
        </w:rPr>
        <w:t>Savard et Adjovi (1998)</w:t>
      </w:r>
      <w:r w:rsidRPr="00F61AFC">
        <w:rPr>
          <w:rFonts w:ascii="Times New Roman" w:hAnsi="Times New Roman"/>
          <w:sz w:val="24"/>
          <w:vertAlign w:val="superscript"/>
        </w:rPr>
        <w:footnoteReference w:id="77"/>
      </w:r>
      <w:r w:rsidRPr="00F61AFC">
        <w:rPr>
          <w:rFonts w:ascii="Times New Roman" w:hAnsi="Times New Roman"/>
          <w:sz w:val="24"/>
        </w:rPr>
        <w:t xml:space="preserve"> ont montré à l’aide d’un modèle d’équilibre général calculable (MEGC) pour le Bénin que la réduction des dépenses de santé et d’éducation contribue non seulement à la contraction de la croissance économique mais aussi à une réduction du revenu des ménages. En conséquence, la pauvreté augmente. Au contraire, la réduction des dépenses hors celles de la santé et de l’éducation ainsi que la baisse des salaires affectent faiblement la croissance économique.</w:t>
      </w:r>
    </w:p>
    <w:p w:rsidR="002E3BBE" w:rsidRPr="00517125" w:rsidRDefault="002E3BBE" w:rsidP="002E3BBE">
      <w:pPr>
        <w:spacing w:line="276" w:lineRule="auto"/>
        <w:rPr>
          <w:rFonts w:ascii="Times New Roman" w:hAnsi="Times New Roman"/>
          <w:sz w:val="18"/>
          <w:szCs w:val="18"/>
          <w:highlight w:val="yellow"/>
        </w:rPr>
      </w:pPr>
    </w:p>
    <w:p w:rsidR="002E3BBE" w:rsidRPr="005244AC" w:rsidRDefault="002E3BBE" w:rsidP="002E3BBE">
      <w:pPr>
        <w:spacing w:line="276" w:lineRule="auto"/>
        <w:rPr>
          <w:rFonts w:ascii="Times New Roman" w:hAnsi="Times New Roman"/>
          <w:sz w:val="24"/>
        </w:rPr>
      </w:pPr>
      <w:r w:rsidRPr="005244AC">
        <w:rPr>
          <w:rFonts w:ascii="Times New Roman" w:hAnsi="Times New Roman"/>
          <w:sz w:val="24"/>
        </w:rPr>
        <w:t>Akapan et Ekpo (2009) se sont intéressés aux effets des dépenses publiques sur  la réduction de la pauvreté dans les Etats du Sud-Est du Nigeria. Les objectifs visés par ces auteurs sont : (i) analyser l’impact de la pauvreté sur le développement humain ; (i) examiner les implications des allocations budgétaires et (iii) évaluer l’efficacité des politiques de réduction de la pauvreté. Ces investigations ont été réalisées sur la base des méthodes non paramétriques. Les données utilisées proviennent à la fois des sources primaires et secondaires. L’étude montre que malgré les nombreuses initiatives publiques, l’incidence de la pauvreté reste élevée et les différents programmes de réduction de la pauvreté sont de faible efficacité.</w:t>
      </w:r>
    </w:p>
    <w:p w:rsidR="002E3BBE" w:rsidRDefault="002E3BBE" w:rsidP="002E3BBE">
      <w:pPr>
        <w:spacing w:line="276" w:lineRule="auto"/>
        <w:rPr>
          <w:rFonts w:ascii="Times New Roman" w:hAnsi="Times New Roman"/>
          <w:sz w:val="18"/>
          <w:szCs w:val="18"/>
          <w:highlight w:val="yello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4"/>
      </w:tblGrid>
      <w:tr w:rsidR="004438B3" w:rsidRPr="00F752BF" w:rsidTr="00C5639D">
        <w:tc>
          <w:tcPr>
            <w:tcW w:w="910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4438B3" w:rsidRPr="004438B3" w:rsidRDefault="004438B3" w:rsidP="00C5639D">
            <w:pPr>
              <w:spacing w:line="276" w:lineRule="auto"/>
              <w:rPr>
                <w:rFonts w:ascii="Times New Roman" w:eastAsia="Arial Unicode MS" w:hAnsi="Times New Roman"/>
                <w:b/>
                <w:sz w:val="24"/>
                <w:szCs w:val="24"/>
              </w:rPr>
            </w:pPr>
            <w:r w:rsidRPr="004438B3">
              <w:rPr>
                <w:rFonts w:ascii="Times New Roman" w:eastAsia="Arial Unicode MS" w:hAnsi="Times New Roman"/>
                <w:b/>
                <w:sz w:val="24"/>
                <w:szCs w:val="24"/>
              </w:rPr>
              <w:t xml:space="preserve">Encadré </w:t>
            </w:r>
            <w:r w:rsidR="00C5639D">
              <w:rPr>
                <w:rFonts w:ascii="Times New Roman" w:eastAsia="Arial Unicode MS" w:hAnsi="Times New Roman"/>
                <w:b/>
                <w:sz w:val="24"/>
                <w:szCs w:val="24"/>
              </w:rPr>
              <w:t>4</w:t>
            </w:r>
            <w:r w:rsidRPr="004438B3">
              <w:rPr>
                <w:rFonts w:ascii="Times New Roman" w:eastAsia="Arial Unicode MS" w:hAnsi="Times New Roman"/>
                <w:b/>
                <w:sz w:val="24"/>
                <w:szCs w:val="24"/>
              </w:rPr>
              <w:t>.1</w:t>
            </w:r>
            <w:r w:rsidRPr="004438B3">
              <w:rPr>
                <w:rFonts w:ascii="Times New Roman" w:eastAsia="Arial Unicode MS" w:hAnsi="Times New Roman"/>
                <w:sz w:val="24"/>
                <w:szCs w:val="24"/>
              </w:rPr>
              <w:t xml:space="preserve">: </w:t>
            </w:r>
            <w:r w:rsidRPr="004438B3">
              <w:rPr>
                <w:rFonts w:ascii="Times New Roman" w:hAnsi="Times New Roman"/>
                <w:sz w:val="24"/>
                <w:szCs w:val="24"/>
              </w:rPr>
              <w:t>Structure du modèle de simulation</w:t>
            </w:r>
          </w:p>
        </w:tc>
      </w:tr>
      <w:tr w:rsidR="004438B3" w:rsidRPr="00F752BF" w:rsidTr="00813086">
        <w:trPr>
          <w:trHeight w:val="217"/>
        </w:trPr>
        <w:tc>
          <w:tcPr>
            <w:tcW w:w="9104" w:type="dxa"/>
            <w:tcBorders>
              <w:top w:val="single" w:sz="4" w:space="0" w:color="31849B" w:themeColor="accent5" w:themeShade="BF"/>
              <w:bottom w:val="single" w:sz="4" w:space="0" w:color="000000"/>
            </w:tcBorders>
            <w:shd w:val="clear" w:color="auto" w:fill="DBE5F1" w:themeFill="accent1" w:themeFillTint="33"/>
          </w:tcPr>
          <w:p w:rsidR="004438B3" w:rsidRPr="004438B3" w:rsidRDefault="004438B3" w:rsidP="004438B3">
            <w:pPr>
              <w:spacing w:line="240" w:lineRule="auto"/>
              <w:rPr>
                <w:rFonts w:ascii="Times New Roman" w:eastAsia="Arial Unicode MS" w:hAnsi="Times New Roman"/>
                <w:sz w:val="12"/>
                <w:szCs w:val="12"/>
              </w:rPr>
            </w:pPr>
          </w:p>
          <w:p w:rsidR="004438B3" w:rsidRPr="004438B3" w:rsidRDefault="004438B3" w:rsidP="004438B3">
            <w:pPr>
              <w:pStyle w:val="T511"/>
              <w:numPr>
                <w:ilvl w:val="0"/>
                <w:numId w:val="0"/>
              </w:numPr>
              <w:spacing w:after="0"/>
              <w:rPr>
                <w:b w:val="0"/>
                <w:sz w:val="20"/>
                <w:szCs w:val="20"/>
              </w:rPr>
            </w:pPr>
            <w:r w:rsidRPr="004438B3">
              <w:rPr>
                <w:b w:val="0"/>
                <w:sz w:val="20"/>
                <w:szCs w:val="20"/>
              </w:rPr>
              <w:t>Dans le cadre de cette analyse, nous avons utilisé le modèle MAMS</w:t>
            </w:r>
            <w:r w:rsidRPr="004438B3">
              <w:rPr>
                <w:b w:val="0"/>
                <w:sz w:val="20"/>
                <w:szCs w:val="20"/>
                <w:vertAlign w:val="superscript"/>
              </w:rPr>
              <w:footnoteReference w:id="78"/>
            </w:r>
            <w:r w:rsidRPr="004438B3">
              <w:rPr>
                <w:b w:val="0"/>
                <w:sz w:val="20"/>
                <w:szCs w:val="20"/>
              </w:rPr>
              <w:t>. Il s’agit d’un modèle d’équilibre général calculable dynamique, conçu pour la simulation et l’analyse des stratégies de développement de moyen et long termes. Il a plusieurs utilisations potentielles : analyse des stratégies pour la réalisation des OMD et la réduction de la pauvreté, simulation des effets des politiques budgétaires alternatives (notamment les arbitrages entre les différents postes de dépenses), simulation de l’impact de l’aide extérieure et des réductions de dettes, analyse des conséquences des chocs extérieurs (prix mondiaux, baisse de la demande d’exportation, etc.), analyse des liens démographie-éducation-emploi, évaluation des effets de politiques de promotion de l’emploi et élaboration des scénarii de croissance à long terme.</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Comme la plupart des MEGC et contrairement aux modèles d’analyse sectorielle, le modèle MAMS, tient compte de l’ensemble des flux et des interactions dans une économie. Le modèle MAMS peut être divisé en trois modules qui sont intégrés simultanément dans un système d’équations linéaires et non-linéaires : un module intra-périodique, un module dynamique et un module OMD. Les deux premiers forment ensemble le noyau du MEGC dynamique.</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Le module intra-périodique inclut la production, la consommation, l’investissement et les décisions liées à l’échange dans l’économie à chaque période. Le module dynamique assure les liens dans le temps, en actualisant les paramètres choisis (parmi lesquels l’offre des facteurs, les données démographiques et la productivité des facteurs) sur la base des évolutions exogènes et des valeurs antérieures des variables endogènes. Enfin, le module OMD intègre les processus qui déterminent la réalisation des OMD, en particulier la mise à disposition des services dans le domaine de l’éducation, de la santé, de l’eau et assainissement et des autres infrastructures publiques.</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La taille et la composition qualitative de la main-d’œuvre sont endogènes et dépendent largement de l’évolution des comportements d’éducation. Le module OMD a des effets en retour sur toute l’économie, à travers le marché du travail. Dans le modèle MAMS, la croissance dépend de l’accumulation des facteurs de production (le travail selon les différents types d’éducation, le capital privé et autres facteurs tels que la terre) et des variations de la productivité des facteurs qui, à son tour, est déterminée par l’accumulation des stocks de capital public et par l’ouverture au commerce international.</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 xml:space="preserve">A chaque période, les équations du modèle donnent l’information sur les décisions économiques et les paiements qu’elles entraînent par rapport à la production, à la consommation (publique et privée), à l’investissement, au commerce, à l’imposition, aux transferts entre les institutions et aux liens entre les facteurs et les institutions. Elles couvrent également les contraintes du marché, les équilibres macro-économiques et l’actualisation des équations dynamiques qui déterminent le comportement des agents. Ainsi, pour chaque année, la solution du modèle définit plusieurs indicateurs de performance économique. </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Les trois modules et équations qui les composent sont présentés en détail en annexes. La Matrice de Comptabilité Sociale (MCS) de base utilisée dans le cadre de la présente étude a été conçue par l’Institut National de Statistique et de l’Analyse Économique (INSAE) pour 2003. Cette matrice comprend 25 branches dont une pour l’éducation publique, une pour la santé publique et une pour autres administrations publiques ; 06 facteurs de production et 07 agents économiques. Elle a été restructurée pour tenir compte des spécificités du MAMS et  comprend alors 18 branches dont 04 pour l’éducation publique (éducation primaire, secondaire générale, secondaire technique et supérieure) et 03 pour la santé (maternelle, infantile et autre) ; 08 facteurs de production et 05 agents économiques.</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Pour appréhender des dépenses sur la pauvreté, un exercice de micro-simulation a été effectué. En effet, de façon générale, à partir de sa structure sectorielle et de ses caractéristiques macroéconomiques, un MEGC ne fournit que des informations agrégées pour les niveaux de l’emploi (parfois selon des catégories), des salaires, des productions sectorielles, etc. Pour approcher les impacts des différentes politiques économiques sur les revenus et les dépenses de consommation des ménages, seules quelques catégories de ménages (dits représentatifs) sont considérées dans ce type de modèles. Ces derniers ne permettent de déduire que des différences d’impacts entre les catégories de ménages considérées à la suite de toute simulation de politique économique. Pour déduire des résultats plus fins sur les impacts distributifs complets en termes de revenus ou de dépenses, et donc en termes de pauvreté, il faut intégrer dans ce type de modèles ou lui annexer un module de micro-simulation.</w:t>
            </w:r>
          </w:p>
          <w:p w:rsidR="004438B3" w:rsidRPr="004438B3" w:rsidRDefault="004438B3" w:rsidP="004438B3">
            <w:pPr>
              <w:spacing w:line="276" w:lineRule="auto"/>
              <w:rPr>
                <w:rFonts w:ascii="Times New Roman" w:hAnsi="Times New Roman"/>
                <w:sz w:val="12"/>
                <w:szCs w:val="12"/>
              </w:rPr>
            </w:pPr>
          </w:p>
          <w:p w:rsidR="004438B3" w:rsidRPr="004438B3" w:rsidRDefault="004438B3" w:rsidP="004438B3">
            <w:pPr>
              <w:spacing w:line="276" w:lineRule="auto"/>
              <w:rPr>
                <w:rFonts w:ascii="Times New Roman" w:hAnsi="Times New Roman"/>
                <w:sz w:val="20"/>
                <w:szCs w:val="20"/>
              </w:rPr>
            </w:pPr>
            <w:r w:rsidRPr="004438B3">
              <w:rPr>
                <w:rFonts w:ascii="Times New Roman" w:hAnsi="Times New Roman"/>
                <w:sz w:val="20"/>
                <w:szCs w:val="20"/>
              </w:rPr>
              <w:t>Pour le cas du Bénin, l’agent ménage a été introduit selon trois catégories : ménage rural non pauvre, ménage rural pauvre et ménage urbain. Deux variables sont donc à la base de cette segmentation : le milieu de résidence du ménage et le statut vis-à-vis de la pauvreté en milieu rural (pauvre / non pauvre). A partir de cette structure, MAMS-Bénin n’est pas conçu pour faire des micro-simulations dites complètement intégrées. C’est plutôt des versions de micro-simulations du « haut vers le bas », dites top-down, qui sont utilisées. Dans ce type de micro-simulations, à la suite de toute simulation du MEGC (agrégé) dans sa forme habituelle, les impacts sur certaines grandeurs pertinentes sont récupérés puis appliqués aux données microéconomiques, telles qu’elles sont fournies dans une enquête auprès des ménages, avec tous les coefficients d’extrapolation. Un des avantages de ce type de micro-simulations est qu’elles peuvent être effectuées, de façon séparée du MEGC, sans avoir à concilier les résultats obtenus avec ceux agrégés. Les liens entre la partie macroéconomique et les données de l’enquête se font à plusieurs niveaux : les prix et la répartition des revenus des facteurs (capital et travail selon leurs catégories respectives), les autres revenus et les prix des biens. Une étape cruciale dans la conduite des micro-simulations est celle qui spécifie les sources de revenu et les types de dépenses des ménages pour les lier aux variations des indicateurs macroéconomiques que le modèle produit.</w:t>
            </w:r>
          </w:p>
          <w:p w:rsidR="004438B3" w:rsidRPr="004438B3" w:rsidRDefault="004438B3" w:rsidP="004438B3">
            <w:pPr>
              <w:spacing w:line="276" w:lineRule="auto"/>
              <w:rPr>
                <w:rFonts w:ascii="Times New Roman" w:hAnsi="Times New Roman"/>
                <w:sz w:val="12"/>
                <w:szCs w:val="12"/>
              </w:rPr>
            </w:pPr>
          </w:p>
          <w:p w:rsidR="004438B3" w:rsidRPr="006B0732" w:rsidRDefault="004438B3" w:rsidP="004438B3">
            <w:pPr>
              <w:spacing w:line="240" w:lineRule="auto"/>
              <w:rPr>
                <w:rFonts w:ascii="Times New Roman" w:eastAsia="Arial Unicode MS" w:hAnsi="Times New Roman"/>
                <w:sz w:val="20"/>
                <w:szCs w:val="20"/>
              </w:rPr>
            </w:pPr>
            <w:r w:rsidRPr="004438B3">
              <w:rPr>
                <w:rFonts w:ascii="Times New Roman" w:hAnsi="Times New Roman"/>
                <w:sz w:val="20"/>
                <w:szCs w:val="20"/>
              </w:rPr>
              <w:t>Un canal privilégié de transmission par lequel passent plusieurs effets en matière de revenu et de dépense (et donc des effets sur la pauvreté) est celui du marché du travail. Outre les variations de salaires, à la suite des chocs extérieurs ou de politiques économiques, il y a aussi des changements dans les statuts des personnes sur ce marché (inactif, en chômage, actif, type d’emploi, secteur d’activité, situation dans l’emploi, etc.). Ces changements modifient les niveaux de revenus et de dépenses des ménages, parfois même plus que les variations des autres variables. Pour les approches micro-simulées, il s’agit justement d’approcher des changements de statuts sur le marché du travail.</w:t>
            </w:r>
          </w:p>
        </w:tc>
      </w:tr>
      <w:tr w:rsidR="004438B3" w:rsidRPr="00F752BF" w:rsidTr="00C5639D">
        <w:tc>
          <w:tcPr>
            <w:tcW w:w="9104" w:type="dxa"/>
            <w:tcBorders>
              <w:top w:val="single" w:sz="4" w:space="0" w:color="000000"/>
              <w:left w:val="nil"/>
              <w:bottom w:val="nil"/>
              <w:right w:val="nil"/>
            </w:tcBorders>
            <w:shd w:val="clear" w:color="auto" w:fill="DBE5F1" w:themeFill="accent1" w:themeFillTint="33"/>
          </w:tcPr>
          <w:p w:rsidR="004438B3" w:rsidRPr="00F752BF" w:rsidRDefault="004438B3" w:rsidP="004438B3">
            <w:pPr>
              <w:spacing w:line="240" w:lineRule="auto"/>
              <w:jc w:val="left"/>
              <w:rPr>
                <w:rFonts w:ascii="Times New Roman" w:eastAsia="Arial Unicode MS" w:hAnsi="Times New Roman"/>
                <w:sz w:val="20"/>
                <w:szCs w:val="20"/>
              </w:rPr>
            </w:pPr>
            <w:r w:rsidRPr="00797146">
              <w:rPr>
                <w:rFonts w:ascii="Times New Roman" w:eastAsia="Arial Unicode MS" w:hAnsi="Times New Roman"/>
                <w:sz w:val="20"/>
                <w:szCs w:val="20"/>
              </w:rPr>
              <w:t xml:space="preserve">Source : </w:t>
            </w:r>
            <w:r>
              <w:rPr>
                <w:rFonts w:ascii="Times New Roman" w:eastAsia="Arial Unicode MS" w:hAnsi="Times New Roman"/>
                <w:sz w:val="20"/>
                <w:szCs w:val="20"/>
              </w:rPr>
              <w:t>DGAE</w:t>
            </w:r>
            <w:r w:rsidRPr="00797146">
              <w:rPr>
                <w:rFonts w:ascii="Times New Roman" w:eastAsia="Arial Unicode MS" w:hAnsi="Times New Roman"/>
                <w:sz w:val="20"/>
                <w:szCs w:val="20"/>
              </w:rPr>
              <w:t>, 2013</w:t>
            </w:r>
          </w:p>
        </w:tc>
      </w:tr>
    </w:tbl>
    <w:p w:rsidR="00036F9B" w:rsidRDefault="00036F9B" w:rsidP="002E3BBE">
      <w:pPr>
        <w:spacing w:line="276" w:lineRule="auto"/>
        <w:rPr>
          <w:rFonts w:ascii="Times New Roman" w:hAnsi="Times New Roman"/>
          <w:sz w:val="18"/>
          <w:szCs w:val="18"/>
          <w:highlight w:val="yellow"/>
        </w:rPr>
      </w:pPr>
    </w:p>
    <w:p w:rsidR="002E3BBE" w:rsidRPr="008A05C0" w:rsidRDefault="002E3BBE" w:rsidP="002E3BBE">
      <w:pPr>
        <w:spacing w:line="276" w:lineRule="auto"/>
        <w:rPr>
          <w:rFonts w:ascii="Times New Roman" w:hAnsi="Times New Roman"/>
          <w:sz w:val="12"/>
          <w:szCs w:val="12"/>
        </w:rPr>
      </w:pPr>
    </w:p>
    <w:p w:rsidR="002E3BBE" w:rsidRPr="003D269E" w:rsidRDefault="002E3BBE" w:rsidP="002E3BBE">
      <w:pPr>
        <w:pStyle w:val="T511"/>
        <w:numPr>
          <w:ilvl w:val="0"/>
          <w:numId w:val="0"/>
        </w:numPr>
        <w:spacing w:after="0"/>
        <w:rPr>
          <w:b w:val="0"/>
        </w:rPr>
      </w:pPr>
      <w:r>
        <w:t xml:space="preserve">Simulations et résultats. </w:t>
      </w:r>
      <w:r w:rsidRPr="003D269E">
        <w:rPr>
          <w:b w:val="0"/>
        </w:rPr>
        <w:t xml:space="preserve">Pour illustrer les effets de quelques mesures de politiques économiques, </w:t>
      </w:r>
      <w:r w:rsidR="00D16004">
        <w:rPr>
          <w:b w:val="0"/>
        </w:rPr>
        <w:t>quatre</w:t>
      </w:r>
      <w:r w:rsidR="00D16004" w:rsidRPr="003D269E">
        <w:rPr>
          <w:b w:val="0"/>
        </w:rPr>
        <w:t xml:space="preserve"> </w:t>
      </w:r>
      <w:r w:rsidRPr="003D269E">
        <w:rPr>
          <w:b w:val="0"/>
        </w:rPr>
        <w:t xml:space="preserve">simulations sont présentées. </w:t>
      </w:r>
      <w:r>
        <w:rPr>
          <w:b w:val="0"/>
        </w:rPr>
        <w:t>Les deux premières</w:t>
      </w:r>
      <w:r w:rsidRPr="003D269E">
        <w:rPr>
          <w:b w:val="0"/>
        </w:rPr>
        <w:t xml:space="preserve"> </w:t>
      </w:r>
      <w:r w:rsidR="00D16004">
        <w:rPr>
          <w:b w:val="0"/>
        </w:rPr>
        <w:t xml:space="preserve">et la quatrième </w:t>
      </w:r>
      <w:r w:rsidRPr="003D269E">
        <w:rPr>
          <w:b w:val="0"/>
        </w:rPr>
        <w:t xml:space="preserve">considèrent une hausse de 10% respective des dépenses d’éducation maternelle et primaire ainsi que de santé </w:t>
      </w:r>
      <w:r w:rsidR="00D16004">
        <w:rPr>
          <w:b w:val="0"/>
        </w:rPr>
        <w:t xml:space="preserve">et de l’agriculture </w:t>
      </w:r>
      <w:r w:rsidRPr="003D269E">
        <w:rPr>
          <w:b w:val="0"/>
        </w:rPr>
        <w:t xml:space="preserve">en réduisant </w:t>
      </w:r>
      <w:r w:rsidR="009B538A">
        <w:rPr>
          <w:b w:val="0"/>
        </w:rPr>
        <w:t>proportionnellement</w:t>
      </w:r>
      <w:r w:rsidR="009B538A" w:rsidRPr="003D269E">
        <w:rPr>
          <w:b w:val="0"/>
        </w:rPr>
        <w:t xml:space="preserve"> </w:t>
      </w:r>
      <w:r w:rsidRPr="003D269E">
        <w:rPr>
          <w:b w:val="0"/>
        </w:rPr>
        <w:t>les autres catégories de dépenses publiques afin de maintenir le déficit public constant (par rapport au scénario de base).</w:t>
      </w:r>
      <w:r>
        <w:rPr>
          <w:b w:val="0"/>
        </w:rPr>
        <w:t xml:space="preserve"> La troisième simulation suppose une hausse de 30% des investissements publics en faveur des infrastructures liées à l’assainissement afin de réaliser l’OMD 7.</w:t>
      </w:r>
    </w:p>
    <w:p w:rsidR="002E3BBE" w:rsidRPr="008A05C0" w:rsidRDefault="002E3BBE" w:rsidP="002E3BBE">
      <w:pPr>
        <w:spacing w:line="276" w:lineRule="auto"/>
        <w:rPr>
          <w:rFonts w:ascii="Times New Roman" w:hAnsi="Times New Roman"/>
          <w:sz w:val="12"/>
          <w:szCs w:val="12"/>
        </w:rPr>
      </w:pPr>
    </w:p>
    <w:p w:rsidR="009A6F1D" w:rsidRDefault="002E3BBE" w:rsidP="002E3BBE">
      <w:pPr>
        <w:spacing w:line="276" w:lineRule="auto"/>
        <w:rPr>
          <w:rFonts w:ascii="Times New Roman" w:hAnsi="Times New Roman"/>
          <w:sz w:val="24"/>
        </w:rPr>
      </w:pPr>
      <w:r w:rsidRPr="00B0197E">
        <w:rPr>
          <w:rFonts w:ascii="Times New Roman" w:hAnsi="Times New Roman"/>
          <w:b/>
          <w:sz w:val="24"/>
        </w:rPr>
        <w:t>Première simulation</w:t>
      </w:r>
      <w:r>
        <w:rPr>
          <w:rFonts w:ascii="Times New Roman" w:hAnsi="Times New Roman"/>
          <w:sz w:val="24"/>
        </w:rPr>
        <w:t xml:space="preserve"> : La première simulation est fondée sur une hausse de 10% des dépenses d’éducation maternelle et primaire aux dépens des autres secteurs afin de maintenir inchangé le déficit budgétaire. L’augmentation des dépenses d’éducation entraîne une baisse de la production (en volume) de 0,8 point de pourcentage par rapport au scénario de base. Cette contraction de la production est tirée principalement par les secteurs coton et industrie. </w:t>
      </w:r>
    </w:p>
    <w:p w:rsidR="002E3BBE" w:rsidRDefault="009A6F1D" w:rsidP="002E3BBE">
      <w:pPr>
        <w:spacing w:line="276" w:lineRule="auto"/>
        <w:rPr>
          <w:rFonts w:ascii="Times New Roman" w:hAnsi="Times New Roman"/>
          <w:sz w:val="24"/>
        </w:rPr>
      </w:pPr>
      <w:r w:rsidRPr="009A6F1D">
        <w:rPr>
          <w:rFonts w:ascii="Times New Roman" w:hAnsi="Times New Roman"/>
          <w:sz w:val="24"/>
        </w:rPr>
        <w:t>Une des raisons en est que le facteur travail a été libéré ces secteurs d’activités, notamment le coton et l’industrie, est constitué essentiellement de jeunes employés qui retournent à l’école. En conséquence, le secteur de l’éducation ne les utilise pas directement utilisé dans le processus de sa production.</w:t>
      </w:r>
      <w:r>
        <w:rPr>
          <w:rFonts w:ascii="Times New Roman" w:hAnsi="Times New Roman"/>
          <w:sz w:val="24"/>
        </w:rPr>
        <w:t xml:space="preserve"> </w:t>
      </w:r>
      <w:r w:rsidR="002E3BBE" w:rsidRPr="00676D3D">
        <w:rPr>
          <w:rFonts w:ascii="Times New Roman" w:hAnsi="Times New Roman"/>
          <w:sz w:val="24"/>
        </w:rPr>
        <w:t>Cette situation est confirmée par l’augmentation de la rémunération</w:t>
      </w:r>
      <w:r w:rsidR="002E3BBE">
        <w:rPr>
          <w:rFonts w:ascii="Times New Roman" w:hAnsi="Times New Roman"/>
          <w:sz w:val="24"/>
        </w:rPr>
        <w:t xml:space="preserve"> de la main-d’œuvre non qualifiée (travail moins du secondaire et secondaire général), particulièrement sollicitée par les activités de coton et de l’industrie.</w:t>
      </w:r>
    </w:p>
    <w:p w:rsidR="002E3BBE" w:rsidRPr="008A05C0" w:rsidRDefault="002E3BBE" w:rsidP="002E3BBE">
      <w:pPr>
        <w:spacing w:line="276" w:lineRule="auto"/>
        <w:rPr>
          <w:rFonts w:ascii="Times New Roman" w:hAnsi="Times New Roman"/>
          <w:sz w:val="12"/>
          <w:szCs w:val="12"/>
        </w:rPr>
      </w:pPr>
    </w:p>
    <w:p w:rsidR="002E3BBE" w:rsidRDefault="002E3BBE" w:rsidP="002E3BBE">
      <w:pPr>
        <w:spacing w:line="276" w:lineRule="auto"/>
        <w:rPr>
          <w:rFonts w:ascii="Times New Roman" w:hAnsi="Times New Roman"/>
          <w:sz w:val="24"/>
        </w:rPr>
      </w:pPr>
      <w:r>
        <w:rPr>
          <w:rFonts w:ascii="Times New Roman" w:hAnsi="Times New Roman"/>
          <w:sz w:val="24"/>
        </w:rPr>
        <w:t xml:space="preserve">Cependant, la production vivrière connaît une légère amélioration de 0,1 point de pourcentage par rapport au scénario de base, ce qui signifie que la promotion des enseignements maternel et primaire induit une réorientation de la production agricole vers les vivriers. Cette situation s’explique par le fait que la baisse de la production du coton induite entre autres par </w:t>
      </w:r>
      <w:r w:rsidRPr="00676D3D">
        <w:rPr>
          <w:rFonts w:ascii="Times New Roman" w:hAnsi="Times New Roman"/>
          <w:sz w:val="24"/>
        </w:rPr>
        <w:t>l’augmentation de la rémunération de la main-d’œuvre</w:t>
      </w:r>
      <w:r>
        <w:rPr>
          <w:rFonts w:ascii="Times New Roman" w:hAnsi="Times New Roman"/>
          <w:sz w:val="24"/>
        </w:rPr>
        <w:t xml:space="preserve"> a libéré le capital agricole qui est utilisé par les cultures vivrières dont la production a crû en conséquence.</w:t>
      </w:r>
    </w:p>
    <w:p w:rsidR="002E3BBE" w:rsidRPr="008A05C0" w:rsidRDefault="002E3BBE" w:rsidP="002E3BBE">
      <w:pPr>
        <w:spacing w:line="276" w:lineRule="auto"/>
        <w:rPr>
          <w:rFonts w:ascii="Times New Roman" w:hAnsi="Times New Roman"/>
          <w:sz w:val="12"/>
          <w:szCs w:val="12"/>
        </w:rPr>
      </w:pPr>
    </w:p>
    <w:p w:rsidR="002E3BBE" w:rsidRDefault="002E3BBE" w:rsidP="002E3BBE">
      <w:pPr>
        <w:spacing w:line="276" w:lineRule="auto"/>
        <w:rPr>
          <w:rFonts w:ascii="Times New Roman" w:hAnsi="Times New Roman"/>
          <w:sz w:val="24"/>
        </w:rPr>
      </w:pPr>
      <w:r>
        <w:rPr>
          <w:rFonts w:ascii="Times New Roman" w:hAnsi="Times New Roman"/>
          <w:sz w:val="24"/>
        </w:rPr>
        <w:t xml:space="preserve">Par ailleurs, l’augmentation des dépenses d’éducation entraîne une hausse de la rémunération du facteur travail et une baisse de celle des facteurs terre et capital privé. En conséquence, les revenus des ménages urbains et ruraux pauvres connaissent une augmentation de 0,4 point et de 1,2 point de pourcentage respectivement. Par contre, les revenus des ménages ruraux riches enregistrent une contraction de 0,4 point en lien non seulement avec la baisse des productions cotonnière et industrielle, mais aussi en relation avec </w:t>
      </w:r>
      <w:r w:rsidRPr="00DF4E5A">
        <w:rPr>
          <w:rFonts w:ascii="Times New Roman" w:hAnsi="Times New Roman"/>
          <w:sz w:val="24"/>
        </w:rPr>
        <w:t>la baisse du revenu tiré de leur patrimoine qu’est la terre. Cette réduction d</w:t>
      </w:r>
      <w:r>
        <w:rPr>
          <w:rFonts w:ascii="Times New Roman" w:hAnsi="Times New Roman"/>
          <w:sz w:val="24"/>
        </w:rPr>
        <w:t>u revenu du ménage rural riche explique elle-même une baisse du volume consommé des divers produits. Ce qui n’est pas sans conséquence sur le niveau de la pauvreté pour cette catégorie de ménage.</w:t>
      </w:r>
    </w:p>
    <w:p w:rsidR="00CE1899" w:rsidRDefault="00CE1899" w:rsidP="002E3BBE">
      <w:pPr>
        <w:spacing w:line="276" w:lineRule="auto"/>
        <w:rPr>
          <w:rFonts w:ascii="Times New Roman" w:hAnsi="Times New Roman"/>
          <w:sz w:val="12"/>
          <w:szCs w:val="12"/>
        </w:rPr>
      </w:pPr>
    </w:p>
    <w:p w:rsidR="00085EB0" w:rsidRDefault="00085EB0" w:rsidP="002E3BBE">
      <w:pPr>
        <w:spacing w:line="276" w:lineRule="auto"/>
        <w:rPr>
          <w:rFonts w:ascii="Times New Roman" w:hAnsi="Times New Roman"/>
          <w:sz w:val="12"/>
          <w:szCs w:val="12"/>
        </w:rPr>
      </w:pPr>
    </w:p>
    <w:p w:rsidR="00085EB0" w:rsidRDefault="00085EB0" w:rsidP="002E3BBE">
      <w:pPr>
        <w:spacing w:line="276" w:lineRule="auto"/>
        <w:rPr>
          <w:rFonts w:ascii="Times New Roman" w:hAnsi="Times New Roman"/>
          <w:sz w:val="12"/>
          <w:szCs w:val="12"/>
        </w:rPr>
      </w:pPr>
    </w:p>
    <w:p w:rsidR="00085EB0" w:rsidRPr="00CE1899" w:rsidRDefault="00085EB0" w:rsidP="002E3BBE">
      <w:pPr>
        <w:spacing w:line="276" w:lineRule="auto"/>
        <w:rPr>
          <w:rFonts w:ascii="Times New Roman" w:hAnsi="Times New Roman"/>
          <w:sz w:val="12"/>
          <w:szCs w:val="12"/>
        </w:rPr>
      </w:pPr>
    </w:p>
    <w:p w:rsidR="002E3BBE" w:rsidRDefault="002E3BBE" w:rsidP="002E3BBE">
      <w:pPr>
        <w:spacing w:line="276" w:lineRule="auto"/>
        <w:rPr>
          <w:rFonts w:ascii="Times New Roman" w:hAnsi="Times New Roman"/>
          <w:sz w:val="18"/>
          <w:szCs w:val="18"/>
        </w:rPr>
      </w:pPr>
    </w:p>
    <w:p w:rsidR="00085EB0" w:rsidRDefault="00085EB0" w:rsidP="002E3BBE">
      <w:pPr>
        <w:spacing w:line="276" w:lineRule="auto"/>
        <w:rPr>
          <w:rFonts w:ascii="Times New Roman" w:hAnsi="Times New Roman"/>
          <w:sz w:val="18"/>
          <w:szCs w:val="18"/>
        </w:rPr>
      </w:pPr>
    </w:p>
    <w:p w:rsidR="00085EB0" w:rsidRDefault="00085EB0" w:rsidP="002E3BBE">
      <w:pPr>
        <w:spacing w:line="276" w:lineRule="auto"/>
        <w:rPr>
          <w:rFonts w:ascii="Times New Roman" w:hAnsi="Times New Roman"/>
          <w:sz w:val="18"/>
          <w:szCs w:val="18"/>
        </w:rPr>
      </w:pPr>
    </w:p>
    <w:p w:rsidR="00085EB0" w:rsidRDefault="00085EB0" w:rsidP="002E3BBE">
      <w:pPr>
        <w:spacing w:line="276" w:lineRule="auto"/>
        <w:rPr>
          <w:rFonts w:ascii="Times New Roman" w:hAnsi="Times New Roman"/>
          <w:sz w:val="18"/>
          <w:szCs w:val="18"/>
        </w:rPr>
      </w:pPr>
    </w:p>
    <w:p w:rsidR="00813086" w:rsidRDefault="00813086" w:rsidP="002E3BBE">
      <w:pPr>
        <w:spacing w:line="276" w:lineRule="auto"/>
        <w:rPr>
          <w:rFonts w:ascii="Times New Roman" w:hAnsi="Times New Roman"/>
          <w:sz w:val="18"/>
          <w:szCs w:val="18"/>
        </w:rPr>
      </w:pPr>
    </w:p>
    <w:p w:rsidR="00813086" w:rsidRDefault="00813086" w:rsidP="002E3BBE">
      <w:pPr>
        <w:spacing w:line="276" w:lineRule="auto"/>
        <w:rPr>
          <w:rFonts w:ascii="Times New Roman" w:hAnsi="Times New Roman"/>
          <w:sz w:val="18"/>
          <w:szCs w:val="18"/>
        </w:rPr>
      </w:pPr>
    </w:p>
    <w:p w:rsidR="00085EB0" w:rsidRDefault="00085EB0" w:rsidP="002E3BBE">
      <w:pPr>
        <w:spacing w:line="276" w:lineRule="auto"/>
        <w:rPr>
          <w:rFonts w:ascii="Times New Roman" w:hAnsi="Times New Roman"/>
          <w:sz w:val="18"/>
          <w:szCs w:val="18"/>
        </w:rPr>
      </w:pPr>
    </w:p>
    <w:p w:rsidR="0025325F" w:rsidRDefault="0025325F" w:rsidP="002E3BBE">
      <w:pPr>
        <w:spacing w:line="276" w:lineRule="auto"/>
        <w:rPr>
          <w:rFonts w:ascii="Times New Roman" w:hAnsi="Times New Roman"/>
          <w:sz w:val="18"/>
          <w:szCs w:val="18"/>
        </w:rPr>
      </w:pPr>
    </w:p>
    <w:p w:rsidR="0025325F" w:rsidRDefault="0025325F" w:rsidP="002E3BBE">
      <w:pPr>
        <w:spacing w:line="276" w:lineRule="auto"/>
        <w:rPr>
          <w:rFonts w:ascii="Times New Roman" w:hAnsi="Times New Roman"/>
          <w:sz w:val="18"/>
          <w:szCs w:val="18"/>
        </w:rPr>
      </w:pPr>
    </w:p>
    <w:p w:rsidR="0025325F" w:rsidRPr="00517125" w:rsidRDefault="0025325F" w:rsidP="002E3BBE">
      <w:pPr>
        <w:spacing w:line="276" w:lineRule="auto"/>
        <w:rPr>
          <w:rFonts w:ascii="Times New Roman" w:hAnsi="Times New Roman"/>
          <w:sz w:val="18"/>
          <w:szCs w:val="18"/>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4"/>
        <w:gridCol w:w="916"/>
        <w:gridCol w:w="666"/>
        <w:gridCol w:w="1244"/>
        <w:gridCol w:w="1244"/>
        <w:gridCol w:w="1334"/>
        <w:gridCol w:w="1276"/>
      </w:tblGrid>
      <w:tr w:rsidR="00E40F2F" w:rsidRPr="00D433D8" w:rsidTr="00BD0A5E">
        <w:trPr>
          <w:trHeight w:val="296"/>
        </w:trPr>
        <w:tc>
          <w:tcPr>
            <w:tcW w:w="9214" w:type="dxa"/>
            <w:gridSpan w:val="7"/>
            <w:tcBorders>
              <w:top w:val="nil"/>
              <w:left w:val="nil"/>
              <w:bottom w:val="double" w:sz="4" w:space="0" w:color="auto"/>
              <w:right w:val="nil"/>
            </w:tcBorders>
            <w:shd w:val="clear" w:color="auto" w:fill="92CDDC" w:themeFill="accent5" w:themeFillTint="99"/>
            <w:noWrap/>
            <w:vAlign w:val="bottom"/>
            <w:hideMark/>
          </w:tcPr>
          <w:p w:rsidR="00E40F2F" w:rsidRPr="00D433D8" w:rsidRDefault="00D433D8" w:rsidP="00D433D8">
            <w:pPr>
              <w:spacing w:line="276" w:lineRule="auto"/>
              <w:rPr>
                <w:rFonts w:ascii="Times New Roman" w:hAnsi="Times New Roman"/>
                <w:sz w:val="24"/>
                <w:szCs w:val="24"/>
              </w:rPr>
            </w:pPr>
            <w:bookmarkStart w:id="143" w:name="_Toc369714620"/>
            <w:bookmarkStart w:id="144" w:name="_Toc369720640"/>
            <w:r w:rsidRPr="00D433D8">
              <w:rPr>
                <w:rFonts w:ascii="Times New Roman" w:hAnsi="Times New Roman"/>
                <w:sz w:val="24"/>
                <w:szCs w:val="24"/>
              </w:rPr>
              <w:t xml:space="preserve">Tableau 4. </w:t>
            </w:r>
            <w:r w:rsidR="00182C97" w:rsidRPr="00D433D8">
              <w:rPr>
                <w:rFonts w:ascii="Times New Roman" w:hAnsi="Times New Roman"/>
                <w:sz w:val="24"/>
                <w:szCs w:val="24"/>
              </w:rPr>
              <w:fldChar w:fldCharType="begin"/>
            </w:r>
            <w:r w:rsidRPr="00D433D8">
              <w:rPr>
                <w:rFonts w:ascii="Times New Roman" w:hAnsi="Times New Roman"/>
                <w:sz w:val="24"/>
                <w:szCs w:val="24"/>
              </w:rPr>
              <w:instrText xml:space="preserve"> SEQ Tableau_4. \* ARABIC </w:instrText>
            </w:r>
            <w:r w:rsidR="00182C97" w:rsidRPr="00D433D8">
              <w:rPr>
                <w:rFonts w:ascii="Times New Roman" w:hAnsi="Times New Roman"/>
                <w:sz w:val="24"/>
                <w:szCs w:val="24"/>
              </w:rPr>
              <w:fldChar w:fldCharType="separate"/>
            </w:r>
            <w:r w:rsidR="00AB1967">
              <w:rPr>
                <w:rFonts w:ascii="Times New Roman" w:hAnsi="Times New Roman"/>
                <w:noProof/>
                <w:sz w:val="24"/>
                <w:szCs w:val="24"/>
              </w:rPr>
              <w:t>6</w:t>
            </w:r>
            <w:r w:rsidR="00182C97" w:rsidRPr="00D433D8">
              <w:rPr>
                <w:rFonts w:ascii="Times New Roman" w:hAnsi="Times New Roman"/>
                <w:sz w:val="24"/>
                <w:szCs w:val="24"/>
              </w:rPr>
              <w:fldChar w:fldCharType="end"/>
            </w:r>
            <w:r w:rsidR="00E40F2F" w:rsidRPr="00D433D8">
              <w:rPr>
                <w:rFonts w:ascii="Times New Roman" w:hAnsi="Times New Roman"/>
                <w:sz w:val="24"/>
                <w:szCs w:val="24"/>
              </w:rPr>
              <w:t>: Résultats de simulation</w:t>
            </w:r>
            <w:bookmarkEnd w:id="143"/>
            <w:bookmarkEnd w:id="144"/>
          </w:p>
        </w:tc>
      </w:tr>
      <w:tr w:rsidR="00BD0A5E" w:rsidRPr="004541A7" w:rsidTr="00BD0A5E">
        <w:trPr>
          <w:trHeight w:val="276"/>
        </w:trPr>
        <w:tc>
          <w:tcPr>
            <w:tcW w:w="2534" w:type="dxa"/>
            <w:tcBorders>
              <w:top w:val="double" w:sz="4" w:space="0" w:color="auto"/>
              <w:left w:val="nil"/>
              <w:bottom w:val="single" w:sz="4" w:space="0" w:color="auto"/>
              <w:right w:val="nil"/>
            </w:tcBorders>
            <w:shd w:val="clear" w:color="auto" w:fill="DAEEF3" w:themeFill="accent5" w:themeFillTint="33"/>
            <w:noWrap/>
            <w:vAlign w:val="bottom"/>
            <w:hideMark/>
          </w:tcPr>
          <w:p w:rsidR="00BD0A5E" w:rsidRPr="00A15B61" w:rsidRDefault="00BD0A5E" w:rsidP="00C464FF">
            <w:pPr>
              <w:spacing w:line="240" w:lineRule="auto"/>
              <w:rPr>
                <w:rFonts w:ascii="Times New Roman" w:eastAsia="Times New Roman" w:hAnsi="Times New Roman"/>
                <w:b/>
                <w:color w:val="000000"/>
                <w:sz w:val="20"/>
                <w:szCs w:val="20"/>
              </w:rPr>
            </w:pPr>
            <w:r w:rsidRPr="00B2399A">
              <w:rPr>
                <w:rFonts w:ascii="Times New Roman" w:eastAsia="Times New Roman" w:hAnsi="Times New Roman"/>
                <w:b/>
                <w:color w:val="000000"/>
                <w:sz w:val="20"/>
                <w:szCs w:val="20"/>
              </w:rPr>
              <w:t>Variables</w:t>
            </w:r>
          </w:p>
        </w:tc>
        <w:tc>
          <w:tcPr>
            <w:tcW w:w="916" w:type="dxa"/>
            <w:tcBorders>
              <w:top w:val="double" w:sz="4" w:space="0" w:color="auto"/>
              <w:left w:val="nil"/>
              <w:bottom w:val="single" w:sz="4" w:space="0" w:color="auto"/>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2003</w:t>
            </w:r>
          </w:p>
        </w:tc>
        <w:tc>
          <w:tcPr>
            <w:tcW w:w="666" w:type="dxa"/>
            <w:tcBorders>
              <w:top w:val="double" w:sz="4" w:space="0" w:color="auto"/>
              <w:left w:val="nil"/>
              <w:bottom w:val="single" w:sz="4" w:space="0" w:color="auto"/>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Base</w:t>
            </w:r>
          </w:p>
        </w:tc>
        <w:tc>
          <w:tcPr>
            <w:tcW w:w="1244" w:type="dxa"/>
            <w:tcBorders>
              <w:top w:val="double" w:sz="4" w:space="0" w:color="auto"/>
              <w:left w:val="nil"/>
              <w:bottom w:val="single" w:sz="4" w:space="0" w:color="auto"/>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Simulation 1</w:t>
            </w:r>
          </w:p>
        </w:tc>
        <w:tc>
          <w:tcPr>
            <w:tcW w:w="1244" w:type="dxa"/>
            <w:tcBorders>
              <w:top w:val="double" w:sz="4" w:space="0" w:color="auto"/>
              <w:left w:val="nil"/>
              <w:bottom w:val="single" w:sz="4" w:space="0" w:color="auto"/>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Simulation 2</w:t>
            </w:r>
          </w:p>
        </w:tc>
        <w:tc>
          <w:tcPr>
            <w:tcW w:w="1334" w:type="dxa"/>
            <w:tcBorders>
              <w:top w:val="double" w:sz="4" w:space="0" w:color="auto"/>
              <w:left w:val="nil"/>
              <w:bottom w:val="single" w:sz="4" w:space="0" w:color="auto"/>
              <w:right w:val="nil"/>
            </w:tcBorders>
            <w:shd w:val="clear" w:color="auto" w:fill="DAEEF3" w:themeFill="accent5" w:themeFillTint="33"/>
            <w:vAlign w:val="bottom"/>
          </w:tcPr>
          <w:p w:rsidR="00BD0A5E" w:rsidRPr="00BD0A5E" w:rsidRDefault="00832112" w:rsidP="00C464FF">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Simulation 3</w:t>
            </w:r>
          </w:p>
        </w:tc>
        <w:tc>
          <w:tcPr>
            <w:tcW w:w="1276" w:type="dxa"/>
            <w:tcBorders>
              <w:top w:val="double" w:sz="4" w:space="0" w:color="auto"/>
              <w:left w:val="nil"/>
              <w:bottom w:val="single" w:sz="4" w:space="0" w:color="auto"/>
              <w:right w:val="nil"/>
            </w:tcBorders>
            <w:shd w:val="clear" w:color="auto" w:fill="DAEEF3" w:themeFill="accent5" w:themeFillTint="33"/>
            <w:vAlign w:val="bottom"/>
          </w:tcPr>
          <w:p w:rsidR="00BD0A5E" w:rsidRPr="00BD0A5E" w:rsidRDefault="00832112" w:rsidP="00C5639D">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Simulation 4</w:t>
            </w:r>
          </w:p>
        </w:tc>
      </w:tr>
      <w:tr w:rsidR="00BD0A5E" w:rsidRPr="00FB40ED" w:rsidTr="00BD0A5E">
        <w:trPr>
          <w:trHeight w:val="255"/>
        </w:trPr>
        <w:tc>
          <w:tcPr>
            <w:tcW w:w="2534" w:type="dxa"/>
            <w:tcBorders>
              <w:top w:val="single" w:sz="4" w:space="0" w:color="auto"/>
              <w:left w:val="nil"/>
              <w:bottom w:val="nil"/>
              <w:right w:val="nil"/>
            </w:tcBorders>
            <w:shd w:val="clear" w:color="auto" w:fill="DAEEF3" w:themeFill="accent5" w:themeFillTint="33"/>
            <w:noWrap/>
            <w:vAlign w:val="bottom"/>
            <w:hideMark/>
          </w:tcPr>
          <w:p w:rsidR="00BD0A5E" w:rsidRPr="00A15B61" w:rsidRDefault="00BD0A5E" w:rsidP="00C464FF">
            <w:pPr>
              <w:spacing w:line="240" w:lineRule="auto"/>
              <w:rPr>
                <w:rFonts w:ascii="Times New Roman" w:eastAsia="Times New Roman" w:hAnsi="Times New Roman"/>
                <w:color w:val="000000"/>
                <w:sz w:val="20"/>
                <w:szCs w:val="20"/>
              </w:rPr>
            </w:pPr>
            <w:r w:rsidRPr="00FB40ED">
              <w:rPr>
                <w:rFonts w:ascii="Times New Roman" w:eastAsia="Times New Roman" w:hAnsi="Times New Roman"/>
                <w:color w:val="000000"/>
                <w:sz w:val="20"/>
                <w:szCs w:val="20"/>
              </w:rPr>
              <w:t>Rémunération des facteurs</w:t>
            </w:r>
          </w:p>
        </w:tc>
        <w:tc>
          <w:tcPr>
            <w:tcW w:w="916" w:type="dxa"/>
            <w:tcBorders>
              <w:top w:val="single" w:sz="4" w:space="0" w:color="auto"/>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 </w:t>
            </w:r>
          </w:p>
        </w:tc>
        <w:tc>
          <w:tcPr>
            <w:tcW w:w="666" w:type="dxa"/>
            <w:tcBorders>
              <w:top w:val="single" w:sz="4" w:space="0" w:color="auto"/>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 </w:t>
            </w:r>
          </w:p>
        </w:tc>
        <w:tc>
          <w:tcPr>
            <w:tcW w:w="1244" w:type="dxa"/>
            <w:tcBorders>
              <w:top w:val="single" w:sz="4" w:space="0" w:color="auto"/>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 </w:t>
            </w:r>
          </w:p>
        </w:tc>
        <w:tc>
          <w:tcPr>
            <w:tcW w:w="1244" w:type="dxa"/>
            <w:tcBorders>
              <w:top w:val="single" w:sz="4" w:space="0" w:color="auto"/>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 </w:t>
            </w:r>
          </w:p>
        </w:tc>
        <w:tc>
          <w:tcPr>
            <w:tcW w:w="1334" w:type="dxa"/>
            <w:tcBorders>
              <w:top w:val="single" w:sz="4" w:space="0" w:color="auto"/>
              <w:left w:val="nil"/>
              <w:bottom w:val="nil"/>
              <w:right w:val="nil"/>
            </w:tcBorders>
            <w:shd w:val="clear" w:color="auto" w:fill="DAEEF3" w:themeFill="accent5" w:themeFillTint="33"/>
          </w:tcPr>
          <w:p w:rsidR="00BD0A5E" w:rsidRPr="00BD0A5E" w:rsidRDefault="00BD0A5E" w:rsidP="00C464FF">
            <w:pPr>
              <w:spacing w:line="240" w:lineRule="auto"/>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 </w:t>
            </w:r>
          </w:p>
        </w:tc>
        <w:tc>
          <w:tcPr>
            <w:tcW w:w="1276" w:type="dxa"/>
            <w:tcBorders>
              <w:top w:val="single" w:sz="4" w:space="0" w:color="auto"/>
              <w:left w:val="nil"/>
              <w:bottom w:val="nil"/>
              <w:right w:val="nil"/>
            </w:tcBorders>
            <w:shd w:val="clear" w:color="auto" w:fill="DAEEF3" w:themeFill="accent5" w:themeFillTint="33"/>
          </w:tcPr>
          <w:p w:rsidR="00BD0A5E" w:rsidRPr="00BD0A5E" w:rsidRDefault="00BD0A5E" w:rsidP="00C464FF">
            <w:pPr>
              <w:spacing w:line="240" w:lineRule="auto"/>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 </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A15B61" w:rsidRDefault="00BD0A5E" w:rsidP="00E40F2F">
            <w:pPr>
              <w:spacing w:line="240" w:lineRule="auto"/>
              <w:jc w:val="left"/>
              <w:rPr>
                <w:rFonts w:ascii="Times New Roman" w:eastAsia="Times New Roman" w:hAnsi="Times New Roman"/>
                <w:color w:val="000000"/>
                <w:sz w:val="20"/>
                <w:szCs w:val="20"/>
              </w:rPr>
            </w:pPr>
            <w:r w:rsidRPr="00FB40ED">
              <w:rPr>
                <w:rFonts w:ascii="Times New Roman" w:eastAsia="Times New Roman" w:hAnsi="Times New Roman"/>
                <w:color w:val="000000"/>
                <w:sz w:val="20"/>
                <w:szCs w:val="20"/>
              </w:rPr>
              <w:t>Travail – moins du secondaire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0,09</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2,40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7,02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3,79</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3,01</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2,52</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E40F2F">
            <w:pPr>
              <w:spacing w:line="240" w:lineRule="auto"/>
              <w:jc w:val="left"/>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Travail – secondaire général</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0,22</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2,68</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5,73</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3,74</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3,21</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2,73</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E40F2F">
            <w:pPr>
              <w:spacing w:line="240" w:lineRule="auto"/>
              <w:jc w:val="left"/>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Travail – secondaire technique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0,48</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5,69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8,78</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6,58</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6,27</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5,74</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E40F2F">
            <w:pPr>
              <w:spacing w:line="240" w:lineRule="auto"/>
              <w:jc w:val="left"/>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Travail – tertiaire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0,40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1,69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5,43</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2,80</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2,30</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1,73</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E40F2F">
            <w:pPr>
              <w:spacing w:line="240" w:lineRule="auto"/>
              <w:jc w:val="left"/>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Capital</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0,29</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5,01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3,61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4,36</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4,92</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5,03</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E40F2F">
            <w:pPr>
              <w:spacing w:line="240" w:lineRule="auto"/>
              <w:jc w:val="left"/>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 xml:space="preserve">Terre </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1,00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2,70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1,79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1,93</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0,00</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2,73</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rPr>
            </w:pPr>
            <w:r w:rsidRPr="00FB40ED">
              <w:rPr>
                <w:rFonts w:ascii="Times New Roman" w:eastAsia="Times New Roman" w:hAnsi="Times New Roman"/>
                <w:color w:val="000000"/>
                <w:sz w:val="20"/>
                <w:szCs w:val="20"/>
              </w:rPr>
              <w:t>PIB au coût des facteurs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eastAsia="Times New Roman" w:cs="Arial"/>
                <w:color w:val="000000"/>
              </w:rPr>
              <w:t> </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eastAsia="Times New Roman" w:cs="Arial"/>
                <w:color w:val="000000"/>
              </w:rPr>
              <w:t> </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eastAsia="Times New Roman" w:cs="Arial"/>
                <w:color w:val="000000"/>
              </w:rPr>
              <w:t> </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eastAsia="Times New Roman" w:cs="Arial"/>
                <w:color w:val="000000"/>
              </w:rPr>
              <w:t> </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rPr>
              <w:t> </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rPr>
              <w:t> </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Agriculture vivrière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427,37</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4,40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4,18</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4,52</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4,36</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Coton graine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53,12</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6,16</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-12,74</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-0,92</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2,33</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5,89</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Autres produits agricoles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188,57</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4,29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4,17</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4,51</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4,34</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Industrie agroalimentaire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94,64</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4,09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4,10</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4,48</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4,34</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Égrenage de coton</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15,36</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6,16</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-12,71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-0,92</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2,33</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5,89</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Autres industries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66,55</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4,03</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2,35</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3,90</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3,97</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4,12</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BTP</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55,00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3,58</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3,51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4,59</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3,74</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3,79</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Transport et communication</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168,16</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4,42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2,86</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3,79</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4,37</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4,45</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Autres services marchands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581,93</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3,00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3,88</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4,30</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4,35</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b/>
                <w:bCs/>
                <w:color w:val="000000"/>
                <w:sz w:val="20"/>
                <w:szCs w:val="20"/>
                <w:lang w:val="en-US"/>
              </w:rPr>
            </w:pPr>
            <w:r w:rsidRPr="00FB40ED">
              <w:rPr>
                <w:rFonts w:ascii="Times New Roman" w:eastAsia="Times New Roman" w:hAnsi="Times New Roman"/>
                <w:b/>
                <w:bCs/>
                <w:color w:val="000000"/>
                <w:sz w:val="20"/>
                <w:szCs w:val="20"/>
              </w:rPr>
              <w:t>Total</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1 805,11</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4,33</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3,50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3,90</w:t>
            </w:r>
          </w:p>
        </w:tc>
        <w:tc>
          <w:tcPr>
            <w:tcW w:w="1334" w:type="dxa"/>
            <w:tcBorders>
              <w:top w:val="nil"/>
              <w:left w:val="nil"/>
              <w:bottom w:val="nil"/>
              <w:right w:val="nil"/>
            </w:tcBorders>
            <w:shd w:val="clear" w:color="auto" w:fill="DAEEF3" w:themeFill="accent5" w:themeFillTint="33"/>
            <w:vAlign w:val="bottom"/>
          </w:tcPr>
          <w:p w:rsidR="00BD0A5E" w:rsidRPr="00BD0A5E" w:rsidRDefault="00832112" w:rsidP="00C464FF">
            <w:pPr>
              <w:spacing w:line="240" w:lineRule="auto"/>
              <w:jc w:val="center"/>
              <w:rPr>
                <w:rFonts w:ascii="Times New Roman" w:eastAsia="Times New Roman" w:hAnsi="Times New Roman"/>
                <w:bCs/>
                <w:color w:val="000000"/>
                <w:sz w:val="20"/>
                <w:szCs w:val="20"/>
              </w:rPr>
            </w:pPr>
            <w:r w:rsidRPr="00832112">
              <w:rPr>
                <w:rFonts w:ascii="Times New Roman" w:eastAsia="Times New Roman" w:hAnsi="Times New Roman"/>
                <w:bCs/>
                <w:color w:val="000000"/>
                <w:sz w:val="20"/>
                <w:szCs w:val="20"/>
                <w:lang w:val="en-US"/>
              </w:rPr>
              <w:t>4,39</w:t>
            </w:r>
          </w:p>
        </w:tc>
        <w:tc>
          <w:tcPr>
            <w:tcW w:w="1276" w:type="dxa"/>
            <w:tcBorders>
              <w:top w:val="nil"/>
              <w:left w:val="nil"/>
              <w:bottom w:val="nil"/>
              <w:right w:val="nil"/>
            </w:tcBorders>
            <w:shd w:val="clear" w:color="auto" w:fill="DAEEF3" w:themeFill="accent5" w:themeFillTint="33"/>
            <w:vAlign w:val="bottom"/>
          </w:tcPr>
          <w:p w:rsidR="00BD0A5E" w:rsidRPr="00BD0A5E" w:rsidRDefault="00832112" w:rsidP="00C5639D">
            <w:pPr>
              <w:spacing w:line="240" w:lineRule="auto"/>
              <w:jc w:val="center"/>
              <w:rPr>
                <w:rFonts w:ascii="Times New Roman" w:eastAsia="Times New Roman" w:hAnsi="Times New Roman"/>
                <w:bCs/>
                <w:color w:val="000000"/>
                <w:sz w:val="20"/>
                <w:szCs w:val="20"/>
              </w:rPr>
            </w:pPr>
            <w:r w:rsidRPr="00832112">
              <w:rPr>
                <w:rFonts w:ascii="Times New Roman" w:eastAsia="Times New Roman" w:hAnsi="Times New Roman"/>
                <w:bCs/>
                <w:color w:val="000000"/>
                <w:sz w:val="20"/>
                <w:szCs w:val="20"/>
                <w:lang w:val="en-US"/>
              </w:rPr>
              <w:t>4,36</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Importations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623,44</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4,19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4,24</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4,40</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4,28</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Exportations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414,49</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4,93</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-1,70</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2,50</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3,77</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4,99</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Consommation des ménages</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 </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 </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Ménage rural riche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658,08</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3,94</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3,97</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4,44</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4,34</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Ménage rural pauvre</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87,13</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4,31</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5,52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4,43</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4,67</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4,36</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Ménage urbain</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894,60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4,27</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4,64</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4,12</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4,46</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4,31</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b/>
                <w:bCs/>
                <w:color w:val="000000"/>
                <w:sz w:val="20"/>
                <w:szCs w:val="20"/>
                <w:lang w:val="en-US"/>
              </w:rPr>
            </w:pPr>
            <w:r w:rsidRPr="00FB40ED">
              <w:rPr>
                <w:rFonts w:ascii="Times New Roman" w:eastAsia="Times New Roman" w:hAnsi="Times New Roman"/>
                <w:b/>
                <w:bCs/>
                <w:color w:val="000000"/>
                <w:sz w:val="20"/>
                <w:szCs w:val="20"/>
              </w:rPr>
              <w:t>Total</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1 639,82</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4,29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4,42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832112" w:rsidP="00C464FF">
            <w:pPr>
              <w:spacing w:line="240" w:lineRule="auto"/>
              <w:jc w:val="center"/>
              <w:rPr>
                <w:rFonts w:ascii="Times New Roman" w:eastAsia="Times New Roman" w:hAnsi="Times New Roman"/>
                <w:bCs/>
                <w:color w:val="000000"/>
                <w:sz w:val="20"/>
                <w:szCs w:val="20"/>
                <w:lang w:val="en-US"/>
              </w:rPr>
            </w:pPr>
            <w:r w:rsidRPr="00832112">
              <w:rPr>
                <w:rFonts w:ascii="Times New Roman" w:eastAsia="Times New Roman" w:hAnsi="Times New Roman"/>
                <w:bCs/>
                <w:color w:val="000000"/>
                <w:sz w:val="20"/>
                <w:szCs w:val="20"/>
                <w:lang w:val="en-US"/>
              </w:rPr>
              <w:t>4,08</w:t>
            </w:r>
          </w:p>
        </w:tc>
        <w:tc>
          <w:tcPr>
            <w:tcW w:w="1334" w:type="dxa"/>
            <w:tcBorders>
              <w:top w:val="nil"/>
              <w:left w:val="nil"/>
              <w:bottom w:val="nil"/>
              <w:right w:val="nil"/>
            </w:tcBorders>
            <w:shd w:val="clear" w:color="auto" w:fill="DAEEF3" w:themeFill="accent5" w:themeFillTint="33"/>
            <w:vAlign w:val="bottom"/>
          </w:tcPr>
          <w:p w:rsidR="00BD0A5E" w:rsidRPr="00BD0A5E" w:rsidRDefault="00832112" w:rsidP="00C464FF">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4,46</w:t>
            </w:r>
          </w:p>
        </w:tc>
        <w:tc>
          <w:tcPr>
            <w:tcW w:w="1276" w:type="dxa"/>
            <w:tcBorders>
              <w:top w:val="nil"/>
              <w:left w:val="nil"/>
              <w:bottom w:val="nil"/>
              <w:right w:val="nil"/>
            </w:tcBorders>
            <w:shd w:val="clear" w:color="auto" w:fill="DAEEF3" w:themeFill="accent5" w:themeFillTint="33"/>
            <w:vAlign w:val="bottom"/>
          </w:tcPr>
          <w:p w:rsidR="00BD0A5E" w:rsidRPr="00BD0A5E" w:rsidRDefault="00832112" w:rsidP="00C5639D">
            <w:pPr>
              <w:spacing w:line="240" w:lineRule="auto"/>
              <w:jc w:val="center"/>
              <w:rPr>
                <w:rFonts w:ascii="Times New Roman" w:eastAsia="Times New Roman" w:hAnsi="Times New Roman"/>
                <w:color w:val="000000"/>
                <w:sz w:val="20"/>
                <w:szCs w:val="20"/>
              </w:rPr>
            </w:pPr>
            <w:r w:rsidRPr="00832112">
              <w:rPr>
                <w:rFonts w:ascii="Times New Roman" w:eastAsia="Times New Roman" w:hAnsi="Times New Roman"/>
                <w:bCs/>
                <w:color w:val="000000"/>
                <w:sz w:val="20"/>
                <w:szCs w:val="20"/>
                <w:lang w:val="en-US"/>
              </w:rPr>
              <w:t>4,32</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eastAsia="Times New Roman" w:cs="Arial"/>
                <w:color w:val="000000"/>
                <w:lang w:val="en-US"/>
              </w:rPr>
              <w:t> </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 </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 </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 1</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28,50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26,82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27,67</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31,05</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26,21</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26,70</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 2</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59,46</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60,74</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81,82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59,93</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62,19</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60,91</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 4</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76,10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79,28</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71,72</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27,14</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61,58</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78,94</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 5</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47,40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51,79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58,87</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35,26</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43,56</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51,23</w:t>
            </w:r>
          </w:p>
        </w:tc>
      </w:tr>
      <w:tr w:rsidR="00BD0A5E" w:rsidRPr="00FB40ED" w:rsidTr="00BD0A5E">
        <w:trPr>
          <w:trHeight w:val="255"/>
        </w:trPr>
        <w:tc>
          <w:tcPr>
            <w:tcW w:w="2534" w:type="dxa"/>
            <w:tcBorders>
              <w:top w:val="nil"/>
              <w:left w:val="nil"/>
              <w:bottom w:val="nil"/>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 7a</w:t>
            </w:r>
          </w:p>
        </w:tc>
        <w:tc>
          <w:tcPr>
            <w:tcW w:w="91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61,00</w:t>
            </w:r>
          </w:p>
        </w:tc>
        <w:tc>
          <w:tcPr>
            <w:tcW w:w="666"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60,14</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51,79</w:t>
            </w:r>
          </w:p>
        </w:tc>
        <w:tc>
          <w:tcPr>
            <w:tcW w:w="1244" w:type="dxa"/>
            <w:tcBorders>
              <w:top w:val="nil"/>
              <w:left w:val="nil"/>
              <w:bottom w:val="nil"/>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56,12</w:t>
            </w:r>
          </w:p>
        </w:tc>
        <w:tc>
          <w:tcPr>
            <w:tcW w:w="1334" w:type="dxa"/>
            <w:tcBorders>
              <w:top w:val="nil"/>
              <w:left w:val="nil"/>
              <w:bottom w:val="nil"/>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100,00</w:t>
            </w:r>
          </w:p>
        </w:tc>
        <w:tc>
          <w:tcPr>
            <w:tcW w:w="1276" w:type="dxa"/>
            <w:tcBorders>
              <w:top w:val="nil"/>
              <w:left w:val="nil"/>
              <w:bottom w:val="nil"/>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60,31</w:t>
            </w:r>
          </w:p>
        </w:tc>
      </w:tr>
      <w:tr w:rsidR="00BD0A5E" w:rsidRPr="00FB40ED" w:rsidTr="00BD0A5E">
        <w:trPr>
          <w:trHeight w:val="255"/>
        </w:trPr>
        <w:tc>
          <w:tcPr>
            <w:tcW w:w="2534" w:type="dxa"/>
            <w:tcBorders>
              <w:top w:val="nil"/>
              <w:left w:val="nil"/>
              <w:bottom w:val="double" w:sz="4" w:space="0" w:color="auto"/>
              <w:right w:val="nil"/>
            </w:tcBorders>
            <w:shd w:val="clear" w:color="auto" w:fill="DAEEF3" w:themeFill="accent5" w:themeFillTint="33"/>
            <w:noWrap/>
            <w:vAlign w:val="bottom"/>
            <w:hideMark/>
          </w:tcPr>
          <w:p w:rsidR="00BD0A5E" w:rsidRPr="00FB40ED" w:rsidRDefault="00BD0A5E" w:rsidP="00C464FF">
            <w:pPr>
              <w:spacing w:line="240" w:lineRule="auto"/>
              <w:rPr>
                <w:rFonts w:ascii="Times New Roman" w:eastAsia="Times New Roman" w:hAnsi="Times New Roman"/>
                <w:color w:val="000000"/>
                <w:sz w:val="20"/>
                <w:szCs w:val="20"/>
                <w:lang w:val="en-US"/>
              </w:rPr>
            </w:pPr>
            <w:r w:rsidRPr="00FB40ED">
              <w:rPr>
                <w:rFonts w:ascii="Times New Roman" w:eastAsia="Times New Roman" w:hAnsi="Times New Roman"/>
                <w:color w:val="000000"/>
                <w:sz w:val="20"/>
                <w:szCs w:val="20"/>
              </w:rPr>
              <w:t>OMD 7b</w:t>
            </w:r>
          </w:p>
        </w:tc>
        <w:tc>
          <w:tcPr>
            <w:tcW w:w="916" w:type="dxa"/>
            <w:tcBorders>
              <w:top w:val="nil"/>
              <w:left w:val="nil"/>
              <w:bottom w:val="double" w:sz="4" w:space="0" w:color="auto"/>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13,00</w:t>
            </w:r>
          </w:p>
        </w:tc>
        <w:tc>
          <w:tcPr>
            <w:tcW w:w="666" w:type="dxa"/>
            <w:tcBorders>
              <w:top w:val="nil"/>
              <w:left w:val="nil"/>
              <w:bottom w:val="double" w:sz="4" w:space="0" w:color="auto"/>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12,71</w:t>
            </w:r>
          </w:p>
        </w:tc>
        <w:tc>
          <w:tcPr>
            <w:tcW w:w="1244" w:type="dxa"/>
            <w:tcBorders>
              <w:top w:val="nil"/>
              <w:left w:val="nil"/>
              <w:bottom w:val="double" w:sz="4" w:space="0" w:color="auto"/>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11,19</w:t>
            </w:r>
          </w:p>
        </w:tc>
        <w:tc>
          <w:tcPr>
            <w:tcW w:w="1244" w:type="dxa"/>
            <w:tcBorders>
              <w:top w:val="nil"/>
              <w:left w:val="nil"/>
              <w:bottom w:val="double" w:sz="4" w:space="0" w:color="auto"/>
              <w:right w:val="nil"/>
            </w:tcBorders>
            <w:shd w:val="clear" w:color="auto" w:fill="DAEEF3" w:themeFill="accent5" w:themeFillTint="33"/>
            <w:noWrap/>
            <w:vAlign w:val="bottom"/>
            <w:hideMark/>
          </w:tcPr>
          <w:p w:rsidR="00BD0A5E" w:rsidRPr="00BD0A5E" w:rsidRDefault="00BD0A5E" w:rsidP="00C464FF">
            <w:pPr>
              <w:spacing w:line="240" w:lineRule="auto"/>
              <w:jc w:val="center"/>
              <w:rPr>
                <w:rFonts w:ascii="Times New Roman" w:eastAsia="Times New Roman" w:hAnsi="Times New Roman"/>
                <w:color w:val="000000"/>
                <w:sz w:val="20"/>
                <w:szCs w:val="20"/>
                <w:lang w:val="en-US"/>
              </w:rPr>
            </w:pPr>
            <w:r w:rsidRPr="00BD0A5E">
              <w:rPr>
                <w:rFonts w:ascii="Times New Roman" w:eastAsia="Times New Roman" w:hAnsi="Times New Roman"/>
                <w:color w:val="000000"/>
                <w:sz w:val="20"/>
                <w:szCs w:val="20"/>
                <w:lang w:val="en-US"/>
              </w:rPr>
              <w:t>12,19</w:t>
            </w:r>
          </w:p>
        </w:tc>
        <w:tc>
          <w:tcPr>
            <w:tcW w:w="1334" w:type="dxa"/>
            <w:tcBorders>
              <w:top w:val="nil"/>
              <w:left w:val="nil"/>
              <w:bottom w:val="double" w:sz="4" w:space="0" w:color="auto"/>
              <w:right w:val="nil"/>
            </w:tcBorders>
            <w:shd w:val="clear" w:color="auto" w:fill="DAEEF3" w:themeFill="accent5" w:themeFillTint="33"/>
            <w:vAlign w:val="bottom"/>
          </w:tcPr>
          <w:p w:rsidR="00BD0A5E" w:rsidRPr="00BD0A5E" w:rsidRDefault="00BD0A5E" w:rsidP="00C464FF">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58,00</w:t>
            </w:r>
          </w:p>
        </w:tc>
        <w:tc>
          <w:tcPr>
            <w:tcW w:w="1276" w:type="dxa"/>
            <w:tcBorders>
              <w:top w:val="nil"/>
              <w:left w:val="nil"/>
              <w:bottom w:val="double" w:sz="4" w:space="0" w:color="auto"/>
              <w:right w:val="nil"/>
            </w:tcBorders>
            <w:shd w:val="clear" w:color="auto" w:fill="DAEEF3" w:themeFill="accent5" w:themeFillTint="33"/>
            <w:vAlign w:val="bottom"/>
          </w:tcPr>
          <w:p w:rsidR="00BD0A5E" w:rsidRPr="00BD0A5E" w:rsidRDefault="00BD0A5E" w:rsidP="00C5639D">
            <w:pPr>
              <w:spacing w:line="240" w:lineRule="auto"/>
              <w:jc w:val="center"/>
              <w:rPr>
                <w:rFonts w:ascii="Times New Roman" w:eastAsia="Times New Roman" w:hAnsi="Times New Roman"/>
                <w:color w:val="000000"/>
                <w:sz w:val="20"/>
                <w:szCs w:val="20"/>
              </w:rPr>
            </w:pPr>
            <w:r w:rsidRPr="00BD0A5E">
              <w:rPr>
                <w:rFonts w:ascii="Times New Roman" w:eastAsia="Times New Roman" w:hAnsi="Times New Roman"/>
                <w:color w:val="000000"/>
                <w:sz w:val="20"/>
                <w:szCs w:val="20"/>
                <w:lang w:val="en-US"/>
              </w:rPr>
              <w:t>12,83</w:t>
            </w:r>
          </w:p>
        </w:tc>
      </w:tr>
      <w:tr w:rsidR="00C5639D" w:rsidRPr="00E40F2F" w:rsidTr="00BD0A5E">
        <w:trPr>
          <w:trHeight w:val="276"/>
        </w:trPr>
        <w:tc>
          <w:tcPr>
            <w:tcW w:w="9214" w:type="dxa"/>
            <w:gridSpan w:val="7"/>
            <w:tcBorders>
              <w:top w:val="double" w:sz="4" w:space="0" w:color="auto"/>
              <w:left w:val="nil"/>
              <w:bottom w:val="nil"/>
              <w:right w:val="single" w:sz="4" w:space="0" w:color="auto"/>
            </w:tcBorders>
            <w:shd w:val="clear" w:color="auto" w:fill="DAEEF3" w:themeFill="accent5" w:themeFillTint="33"/>
            <w:noWrap/>
            <w:vAlign w:val="bottom"/>
            <w:hideMark/>
          </w:tcPr>
          <w:p w:rsidR="00C5639D" w:rsidRPr="00E40F2F" w:rsidRDefault="00C5639D" w:rsidP="00C5639D">
            <w:pPr>
              <w:spacing w:line="276" w:lineRule="auto"/>
              <w:rPr>
                <w:rFonts w:ascii="Times New Roman" w:hAnsi="Times New Roman"/>
                <w:sz w:val="20"/>
                <w:szCs w:val="20"/>
              </w:rPr>
            </w:pPr>
            <w:r w:rsidRPr="00E40F2F">
              <w:rPr>
                <w:rFonts w:ascii="Times New Roman" w:hAnsi="Times New Roman"/>
                <w:sz w:val="20"/>
                <w:szCs w:val="20"/>
              </w:rPr>
              <w:t>Source : Estimation des auteurs, 2013</w:t>
            </w:r>
          </w:p>
        </w:tc>
      </w:tr>
    </w:tbl>
    <w:p w:rsidR="002E3BBE" w:rsidRDefault="002E3BBE" w:rsidP="002E3BBE">
      <w:pPr>
        <w:spacing w:line="276" w:lineRule="auto"/>
        <w:rPr>
          <w:rFonts w:ascii="Times New Roman" w:hAnsi="Times New Roman"/>
          <w:sz w:val="24"/>
        </w:rPr>
      </w:pPr>
    </w:p>
    <w:p w:rsidR="00085EB0" w:rsidRDefault="00085EB0"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r>
        <w:rPr>
          <w:rFonts w:ascii="Times New Roman" w:hAnsi="Times New Roman"/>
          <w:sz w:val="24"/>
        </w:rPr>
        <w:t>Pour les indicateurs OMD, on observe par rapport au scénario de base, une nette amélioration de l’OMD 2 (taux net d’achèvement du primaire) et de l’OMD 4 (taux de mortalité infantile), ce qui souligne les effets bénéfiques de la promotion sur l’enseignement de base sur la santé infantile. Par contre, la réduction des autres types de dépenses a un effet néfaste sur l’OMD 1 (incidence de la pauvreté), l’OMD 5 (taux de mortalité maternelle), l’OMD 7a (proportion de la population ayant accès à l’eau potable) et l’OMD 7b (proportion de la population ayant accès à un assainissement sûr). L’augmentation de l’incidence de la pauvreté est induite par un accroissement plus rapide des prix à la consommation que le revenu des ménages et ceci en relation avec la hausse des salaires.</w:t>
      </w:r>
    </w:p>
    <w:p w:rsidR="002E3BBE" w:rsidRPr="008A05C0" w:rsidRDefault="002E3BBE" w:rsidP="002E3BBE">
      <w:pPr>
        <w:spacing w:line="276" w:lineRule="auto"/>
        <w:rPr>
          <w:rFonts w:ascii="Times New Roman" w:hAnsi="Times New Roman"/>
          <w:sz w:val="12"/>
          <w:szCs w:val="12"/>
        </w:rPr>
      </w:pPr>
    </w:p>
    <w:p w:rsidR="002E3BBE" w:rsidRDefault="002E3BBE" w:rsidP="002E3BBE">
      <w:pPr>
        <w:spacing w:line="276" w:lineRule="auto"/>
        <w:rPr>
          <w:rFonts w:ascii="Times New Roman" w:hAnsi="Times New Roman"/>
          <w:sz w:val="24"/>
        </w:rPr>
      </w:pPr>
      <w:r w:rsidRPr="00B0197E">
        <w:rPr>
          <w:rFonts w:ascii="Times New Roman" w:hAnsi="Times New Roman"/>
          <w:b/>
          <w:sz w:val="24"/>
        </w:rPr>
        <w:t>Deuxième simulation</w:t>
      </w:r>
      <w:r>
        <w:rPr>
          <w:rFonts w:ascii="Times New Roman" w:hAnsi="Times New Roman"/>
          <w:sz w:val="24"/>
        </w:rPr>
        <w:t> : La deuxième simulation, c’est une hausse de 10% des dépenses de santé aux dépens des autres secteurs afin de maintenir inchangé le déficit budgétaire. Les résultats obtenus sont similaires à ceux de la première simulation mais avec des amplitudes différent</w:t>
      </w:r>
      <w:r w:rsidR="007367AB">
        <w:rPr>
          <w:rFonts w:ascii="Times New Roman" w:hAnsi="Times New Roman"/>
          <w:sz w:val="24"/>
        </w:rPr>
        <w:t>e</w:t>
      </w:r>
      <w:r>
        <w:rPr>
          <w:rFonts w:ascii="Times New Roman" w:hAnsi="Times New Roman"/>
          <w:sz w:val="24"/>
        </w:rPr>
        <w:t>s compte tenu du niveau des dépenses publiques en jeu. Cette hausse des dépenses de santé entraîne une baisse de la production (en volume) de 0,4 point par rapport au scénario de base. Cette contraction de la production est tirée par tous les secteurs. Par ailleurs, elle entraîne une hausse de la rémunération du facteur travail et une baisse de celle des facteurs terre et capital privé. Seuls les revenus des ménages ruraux pauvres connaissent une augmentation par rapport au scénario de base, ce qui signifie qu’une telle politique engendre des externalités positives sur les populations rurales pauvres.</w:t>
      </w:r>
    </w:p>
    <w:p w:rsidR="002E3BBE" w:rsidRDefault="002E3BBE" w:rsidP="002E3BBE">
      <w:pPr>
        <w:spacing w:line="276" w:lineRule="auto"/>
        <w:rPr>
          <w:rFonts w:ascii="Times New Roman" w:hAnsi="Times New Roman"/>
          <w:sz w:val="24"/>
        </w:rPr>
      </w:pPr>
    </w:p>
    <w:p w:rsidR="002E3BBE" w:rsidRDefault="002E3BBE" w:rsidP="002E3BBE">
      <w:pPr>
        <w:spacing w:line="276" w:lineRule="auto"/>
        <w:rPr>
          <w:rFonts w:ascii="Times New Roman" w:hAnsi="Times New Roman"/>
          <w:sz w:val="24"/>
        </w:rPr>
      </w:pPr>
      <w:r>
        <w:rPr>
          <w:rFonts w:ascii="Times New Roman" w:hAnsi="Times New Roman"/>
          <w:sz w:val="24"/>
        </w:rPr>
        <w:t>Pour les indicateurs OMD, on observe par rapport au scénario de base, une nette amélioration de l’OMD 4 (taux de mortalité infantile) et de l’OMD 5 (taux de mortalité maternelle). Par contre, la réduction des autres types de dépenses a un effet néfaste sur l’OMD 1 (incidence de la pauvreté), l’OMD 2 (taux net d’achèvement du primaire), l’OMD 7a (proportion de la population ayant accès à l’eau potable) et l’OMD 7b (proportion de la population ayant accès à un assainissement sûr).</w:t>
      </w:r>
    </w:p>
    <w:p w:rsidR="002E3BBE" w:rsidRDefault="002E3BBE" w:rsidP="002E3BBE">
      <w:pPr>
        <w:pStyle w:val="T511"/>
        <w:numPr>
          <w:ilvl w:val="0"/>
          <w:numId w:val="0"/>
        </w:numPr>
        <w:spacing w:after="0" w:line="240" w:lineRule="auto"/>
      </w:pPr>
    </w:p>
    <w:p w:rsidR="002E3BBE" w:rsidRDefault="002E3BBE" w:rsidP="002E3BBE">
      <w:pPr>
        <w:spacing w:line="276" w:lineRule="auto"/>
        <w:rPr>
          <w:rFonts w:ascii="Times New Roman" w:hAnsi="Times New Roman"/>
          <w:sz w:val="24"/>
        </w:rPr>
      </w:pPr>
      <w:r>
        <w:rPr>
          <w:rFonts w:ascii="Times New Roman" w:hAnsi="Times New Roman"/>
          <w:b/>
          <w:sz w:val="24"/>
        </w:rPr>
        <w:t xml:space="preserve">Troisième </w:t>
      </w:r>
      <w:r w:rsidRPr="00B0197E">
        <w:rPr>
          <w:rFonts w:ascii="Times New Roman" w:hAnsi="Times New Roman"/>
          <w:b/>
          <w:sz w:val="24"/>
        </w:rPr>
        <w:t>simulation</w:t>
      </w:r>
      <w:r>
        <w:rPr>
          <w:rFonts w:ascii="Times New Roman" w:hAnsi="Times New Roman"/>
          <w:sz w:val="24"/>
        </w:rPr>
        <w:t xml:space="preserve"> : La troisième simulation se fonde sur une hausse de 30% des dépenses d’infrastructures au profit des infrastructures d’assainissement. Cette hausse des dépenses d’investissement a peu d’effet sur la croissance économique. En effet, la production (en volume) n’augmente que de 0,1 point de pourcentage par rapport au scénario de base, tirée par l’amélioration non seulement des services non marchands induits par la mise en place des infrastructures socioéconomiques mais aussi par la hausse de la production agricole hors coton. Par contre, la production cotonnière est en recul par rapport au </w:t>
      </w:r>
      <w:r w:rsidR="007367AB">
        <w:rPr>
          <w:rFonts w:ascii="Times New Roman" w:hAnsi="Times New Roman"/>
          <w:sz w:val="24"/>
        </w:rPr>
        <w:t xml:space="preserve">scénario </w:t>
      </w:r>
      <w:r>
        <w:rPr>
          <w:rFonts w:ascii="Times New Roman" w:hAnsi="Times New Roman"/>
          <w:sz w:val="24"/>
        </w:rPr>
        <w:t>de base.</w:t>
      </w:r>
    </w:p>
    <w:p w:rsidR="002E3BBE" w:rsidRPr="00FB09F3" w:rsidRDefault="002E3BBE" w:rsidP="002E3BBE">
      <w:pPr>
        <w:spacing w:line="276" w:lineRule="auto"/>
        <w:rPr>
          <w:rFonts w:ascii="Times New Roman" w:hAnsi="Times New Roman"/>
          <w:sz w:val="18"/>
          <w:szCs w:val="18"/>
        </w:rPr>
      </w:pPr>
    </w:p>
    <w:p w:rsidR="002E3BBE" w:rsidRDefault="002E3BBE" w:rsidP="002E3BBE">
      <w:pPr>
        <w:spacing w:line="276" w:lineRule="auto"/>
        <w:rPr>
          <w:rFonts w:ascii="Times New Roman" w:hAnsi="Times New Roman"/>
          <w:sz w:val="24"/>
        </w:rPr>
      </w:pPr>
      <w:r>
        <w:rPr>
          <w:rFonts w:ascii="Times New Roman" w:hAnsi="Times New Roman"/>
          <w:sz w:val="24"/>
        </w:rPr>
        <w:t>Par ailleurs, l’augmentation des investissements en faveur des infrastructures d’assainissement induit une amélioration de la rémunération du facteur travail, notamment pour la main-d’œuvre du niveau tertiaire et moins du secondaire général. Cependant, la rémunération des facteurs capital privé et terre a baissé comparativement au scénario de base. Cette situation profite donc plus aux ménages ruraux riches et urbains dont les consommations sont en progression respectivement de 0,4 et 0,2 point de pourcentage par rapport au scénario de base contre une hausse d’environ 0,1 pour les ménages ruraux pauvres.</w:t>
      </w:r>
    </w:p>
    <w:p w:rsidR="002E3BBE" w:rsidRPr="00517125" w:rsidRDefault="002E3BBE" w:rsidP="002E3BBE">
      <w:pPr>
        <w:spacing w:line="276" w:lineRule="auto"/>
        <w:rPr>
          <w:rFonts w:ascii="Times New Roman" w:hAnsi="Times New Roman"/>
          <w:sz w:val="18"/>
          <w:szCs w:val="18"/>
        </w:rPr>
      </w:pPr>
    </w:p>
    <w:p w:rsidR="002E3BBE" w:rsidRDefault="002E3BBE" w:rsidP="002E3BBE">
      <w:pPr>
        <w:spacing w:line="276" w:lineRule="auto"/>
        <w:rPr>
          <w:rFonts w:ascii="Times New Roman" w:hAnsi="Times New Roman"/>
          <w:sz w:val="24"/>
        </w:rPr>
      </w:pPr>
      <w:r>
        <w:rPr>
          <w:rFonts w:ascii="Times New Roman" w:hAnsi="Times New Roman"/>
          <w:sz w:val="24"/>
        </w:rPr>
        <w:t xml:space="preserve">L’augmentation des dépenses d’investissement en faveur des infrastructures d’assainissement permet de réaliser l’OMD 7a (proportion de la population ayant accès à l’eau potable) et l’OMD 7b (proportion de la population ayant accès à un assainissement sûr). Elle permet également, comparativement au scénario de base, de réduire l’incidence de pauvreté </w:t>
      </w:r>
      <w:r w:rsidR="00F0670B">
        <w:rPr>
          <w:rFonts w:ascii="Times New Roman" w:hAnsi="Times New Roman"/>
          <w:sz w:val="24"/>
        </w:rPr>
        <w:t xml:space="preserve">     </w:t>
      </w:r>
      <w:r>
        <w:rPr>
          <w:rFonts w:ascii="Times New Roman" w:hAnsi="Times New Roman"/>
          <w:sz w:val="24"/>
        </w:rPr>
        <w:t xml:space="preserve">(OMD1), d’améliorer légèrement l’OMD 2 (taux net d’achèvement du primaire). Son impact est plus significatif sur l’OMD 4 (taux de mortalité infantile) et l’OMD 5 (taux de mortalité maternelle), ce qui souligne les effets bénéfiques de l’assainissement sur la santé. </w:t>
      </w:r>
    </w:p>
    <w:p w:rsidR="00BD0A5E" w:rsidRDefault="00BD0A5E" w:rsidP="002E3BBE">
      <w:pPr>
        <w:spacing w:line="276" w:lineRule="auto"/>
        <w:rPr>
          <w:rFonts w:ascii="Times New Roman" w:hAnsi="Times New Roman"/>
          <w:sz w:val="24"/>
        </w:rPr>
      </w:pPr>
    </w:p>
    <w:p w:rsidR="00BD0A5E" w:rsidRPr="00F8265B" w:rsidRDefault="00BD0A5E" w:rsidP="00BD0A5E">
      <w:pPr>
        <w:spacing w:line="276" w:lineRule="auto"/>
        <w:rPr>
          <w:rFonts w:ascii="Times New Roman" w:hAnsi="Times New Roman"/>
          <w:sz w:val="24"/>
        </w:rPr>
      </w:pPr>
      <w:r w:rsidRPr="00F8265B">
        <w:rPr>
          <w:rFonts w:ascii="Times New Roman" w:hAnsi="Times New Roman"/>
          <w:b/>
          <w:sz w:val="24"/>
        </w:rPr>
        <w:t>Quatrième simulation</w:t>
      </w:r>
      <w:r w:rsidRPr="00F8265B">
        <w:rPr>
          <w:rFonts w:ascii="Times New Roman" w:hAnsi="Times New Roman"/>
          <w:sz w:val="24"/>
        </w:rPr>
        <w:t> : La quatrième simulation se fonde sur une hausse de 10% des dépenses du secteur de l’agriculture. Cette hausse des dépenses agricoles a induit une amélioration de la croissance économique de 0,03 point de pourcentage par rapport au scénario de base. La hausse de la production (en volume) est tirée en particulier par l’amélioration de la production agricole hors coton avec ses effets induits sur les autres secteurs de l’économie. Par contre, la production cotonnière est en recul par rapport au scenario de base.</w:t>
      </w:r>
    </w:p>
    <w:p w:rsidR="00BD0A5E" w:rsidRPr="00085EB0" w:rsidRDefault="00BD0A5E" w:rsidP="00BD0A5E">
      <w:pPr>
        <w:spacing w:line="276" w:lineRule="auto"/>
        <w:rPr>
          <w:rFonts w:ascii="Times New Roman" w:hAnsi="Times New Roman"/>
          <w:sz w:val="16"/>
          <w:szCs w:val="16"/>
        </w:rPr>
      </w:pPr>
    </w:p>
    <w:p w:rsidR="00BD0A5E" w:rsidRPr="00F8265B" w:rsidRDefault="00BD0A5E" w:rsidP="00BD0A5E">
      <w:pPr>
        <w:spacing w:line="276" w:lineRule="auto"/>
        <w:rPr>
          <w:rFonts w:ascii="Times New Roman" w:hAnsi="Times New Roman"/>
          <w:sz w:val="24"/>
        </w:rPr>
      </w:pPr>
      <w:r w:rsidRPr="00F8265B">
        <w:rPr>
          <w:rFonts w:ascii="Times New Roman" w:hAnsi="Times New Roman"/>
          <w:sz w:val="24"/>
        </w:rPr>
        <w:t>En outre, l’augmentation des dépenses en faveur de l’agriculture se traduit par l’amélioration de la rémunération, comparativement au scénario de base des facteurs terre et travail, notamment pour la main-d’œuvre du niveau « moins du secondaire général ». Cette situation profite donc plus aux ménages pauvres ruraux et urbains dont les consommations sont en progression respectivement de 0,5 et 0,4 point de pourcentage par rapport au scénario de base contre une hausse d’environ 0,3 pour les ménages ruraux riches.</w:t>
      </w:r>
    </w:p>
    <w:p w:rsidR="00BD0A5E" w:rsidRPr="00085EB0" w:rsidRDefault="00BD0A5E" w:rsidP="00BD0A5E">
      <w:pPr>
        <w:spacing w:line="276" w:lineRule="auto"/>
        <w:rPr>
          <w:rFonts w:ascii="Times New Roman" w:hAnsi="Times New Roman"/>
          <w:sz w:val="16"/>
          <w:szCs w:val="16"/>
        </w:rPr>
      </w:pPr>
    </w:p>
    <w:p w:rsidR="00BD0A5E" w:rsidRPr="00F8265B" w:rsidRDefault="00BD0A5E" w:rsidP="00BD0A5E">
      <w:pPr>
        <w:spacing w:line="276" w:lineRule="auto"/>
        <w:rPr>
          <w:rFonts w:ascii="Times New Roman" w:hAnsi="Times New Roman"/>
          <w:sz w:val="24"/>
        </w:rPr>
      </w:pPr>
      <w:r w:rsidRPr="00F8265B">
        <w:rPr>
          <w:rFonts w:ascii="Times New Roman" w:hAnsi="Times New Roman"/>
          <w:sz w:val="24"/>
        </w:rPr>
        <w:t>L’augmentation des dépenses publiques du secteur agricole permet, comparativement au scénario de base, de réduire l’incidence de pauvreté (OMD 1) et d’améliorer légèrement l’OMD 2 (taux net d’achèvement du primaire), l’OMD 7a (proportion de la population ayant accès à l’eau potable) et l’OMD 7b (proportion de la population ayant accès à un assainissement sûr). Cependant, une telle mesure ne contribue pas à l’atteinte de l’OMD 4 (taux de mortalité infantile) et l’OMD 5 (taux de mortalité maternelle). En somme, l’impact des dépenses publiques agricoles est plus significatif sur la réduction de la pauvreté.</w:t>
      </w:r>
    </w:p>
    <w:p w:rsidR="00085EB0" w:rsidRDefault="00085EB0" w:rsidP="009240AE">
      <w:pPr>
        <w:pStyle w:val="Titre2"/>
        <w:spacing w:before="0" w:line="240" w:lineRule="auto"/>
        <w:rPr>
          <w:rFonts w:ascii="Times New Roman" w:hAnsi="Times New Roman"/>
          <w:i w:val="0"/>
          <w:color w:val="31849B" w:themeColor="accent5" w:themeShade="BF"/>
        </w:rPr>
      </w:pPr>
    </w:p>
    <w:p w:rsidR="002E3BBE" w:rsidRPr="009240AE" w:rsidRDefault="002E3BBE" w:rsidP="009240AE">
      <w:pPr>
        <w:pStyle w:val="Titre2"/>
        <w:spacing w:before="0" w:line="240" w:lineRule="auto"/>
        <w:rPr>
          <w:rFonts w:ascii="Times New Roman" w:hAnsi="Times New Roman"/>
          <w:i w:val="0"/>
          <w:color w:val="31849B" w:themeColor="accent5" w:themeShade="BF"/>
        </w:rPr>
      </w:pPr>
      <w:bookmarkStart w:id="145" w:name="_Toc382322941"/>
      <w:r w:rsidRPr="009240AE">
        <w:rPr>
          <w:rFonts w:ascii="Times New Roman" w:hAnsi="Times New Roman"/>
          <w:i w:val="0"/>
          <w:color w:val="31849B" w:themeColor="accent5" w:themeShade="BF"/>
        </w:rPr>
        <w:t>4.4</w:t>
      </w:r>
      <w:r w:rsidR="00BD0A5E">
        <w:rPr>
          <w:rFonts w:ascii="Times New Roman" w:hAnsi="Times New Roman"/>
          <w:i w:val="0"/>
          <w:color w:val="31849B" w:themeColor="accent5" w:themeShade="BF"/>
        </w:rPr>
        <w:t xml:space="preserve"> </w:t>
      </w:r>
      <w:r w:rsidRPr="009240AE">
        <w:rPr>
          <w:rFonts w:ascii="Times New Roman" w:hAnsi="Times New Roman"/>
          <w:i w:val="0"/>
          <w:color w:val="31849B" w:themeColor="accent5" w:themeShade="BF"/>
        </w:rPr>
        <w:t>Conclusion</w:t>
      </w:r>
      <w:bookmarkEnd w:id="145"/>
    </w:p>
    <w:p w:rsidR="002E3BBE" w:rsidRDefault="002E3BBE" w:rsidP="002E3BBE">
      <w:pPr>
        <w:spacing w:line="276" w:lineRule="auto"/>
        <w:rPr>
          <w:rFonts w:ascii="Times New Roman" w:hAnsi="Times New Roman"/>
          <w:sz w:val="24"/>
        </w:rPr>
      </w:pPr>
      <w:r>
        <w:rPr>
          <w:rFonts w:ascii="Times New Roman" w:hAnsi="Times New Roman"/>
          <w:sz w:val="24"/>
        </w:rPr>
        <w:t xml:space="preserve">La structure des dépenses publiques du Bénin reste dominée par les dépenses de fonctionnement, notamment la masse salariale qui représente environ 40% des recettes fiscales pour une norme de 35%. Cette situation nécessite de la part du Gouvernement, un arbitrage entre l’augmentation </w:t>
      </w:r>
      <w:r w:rsidR="00F0670B">
        <w:rPr>
          <w:rFonts w:ascii="Times New Roman" w:hAnsi="Times New Roman"/>
          <w:sz w:val="24"/>
        </w:rPr>
        <w:t xml:space="preserve">du </w:t>
      </w:r>
      <w:r>
        <w:rPr>
          <w:rFonts w:ascii="Times New Roman" w:hAnsi="Times New Roman"/>
          <w:sz w:val="24"/>
        </w:rPr>
        <w:t>salaire réel moyen et la limitation du recrutement de nouveaux fonctionnaires afin de ne pas compromettre la viabilité des finances publiques à moyen terme.</w:t>
      </w:r>
    </w:p>
    <w:p w:rsidR="002E3BBE" w:rsidRPr="00085EB0" w:rsidRDefault="002E3BBE" w:rsidP="002E3BBE">
      <w:pPr>
        <w:spacing w:line="276" w:lineRule="auto"/>
        <w:rPr>
          <w:rFonts w:ascii="Times New Roman" w:hAnsi="Times New Roman"/>
          <w:sz w:val="16"/>
          <w:szCs w:val="16"/>
        </w:rPr>
      </w:pPr>
    </w:p>
    <w:p w:rsidR="002E3BBE" w:rsidRDefault="002E3BBE" w:rsidP="002E3BBE">
      <w:pPr>
        <w:spacing w:line="276" w:lineRule="auto"/>
        <w:rPr>
          <w:rFonts w:ascii="Times New Roman" w:hAnsi="Times New Roman"/>
          <w:sz w:val="24"/>
        </w:rPr>
      </w:pPr>
      <w:r>
        <w:rPr>
          <w:rFonts w:ascii="Times New Roman" w:hAnsi="Times New Roman"/>
          <w:sz w:val="24"/>
        </w:rPr>
        <w:t>Par ailleurs, l’analyse du budget montre que : (i) le taux d’exécution est relativement faible au niveau des secteurs prioritaires ; (ii) la faiblesse des ressources aux structures déconcentrées et décentralisées. À cet effet, il faudrait que le Gouvernement d’une part, renforce son dispositif de suivi des dépenses sociales prioritaires et l’étendre si possible aux autres catégories de dépense, et d’autre part, améliorer le niveau des ressources affectées au FADEC et aux structures déconcentrées.</w:t>
      </w:r>
    </w:p>
    <w:p w:rsidR="002E3BBE" w:rsidRPr="00085EB0" w:rsidRDefault="002E3BBE" w:rsidP="002E3BBE">
      <w:pPr>
        <w:spacing w:line="276" w:lineRule="auto"/>
        <w:rPr>
          <w:rFonts w:ascii="Times New Roman" w:hAnsi="Times New Roman"/>
          <w:sz w:val="16"/>
          <w:szCs w:val="16"/>
        </w:rPr>
      </w:pPr>
    </w:p>
    <w:p w:rsidR="00CC34F9" w:rsidRDefault="00CC34F9" w:rsidP="00CC34F9">
      <w:pPr>
        <w:spacing w:line="276" w:lineRule="auto"/>
        <w:rPr>
          <w:rFonts w:ascii="Times New Roman" w:hAnsi="Times New Roman"/>
          <w:sz w:val="24"/>
        </w:rPr>
      </w:pPr>
      <w:r w:rsidRPr="00CC34F9">
        <w:rPr>
          <w:rFonts w:ascii="Times New Roman" w:hAnsi="Times New Roman"/>
          <w:sz w:val="24"/>
        </w:rPr>
        <w:t>Les résultats des simulations réalisées avec MAMS confirment les externalités positives des dépenses publiques en éducation, en santé, en agriculture et en infrastructures d’assainissement sur les salaires, la consommation des ménages, notamment des ménages ruraux pauvres et l’atteinte des OMD 2, 4 et 5. En outre, ils montrent que les dépenses publiques en agriculture et en infrastructures d’assainissement ont, dans une certaine mesure à court et moyen termes, des effets plus importants sur la réduction de la pauvreté monétaire comparativement aux dépenses publiques en éducation et en santé dont les effets sont de long terme sur la pauvreté monétaire et de court terme sur la pauvreté non monétaire. En conséquence, la politique du Gouvernement ne doit pas viser uniquement les secteurs sociaux mais elle doit rechercher l’équilibre entre les dépenses sociales et les investissements en infrastructures.</w:t>
      </w: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B96248" w:rsidTr="00E40F2F">
        <w:trPr>
          <w:trHeight w:val="1696"/>
        </w:trPr>
        <w:tc>
          <w:tcPr>
            <w:tcW w:w="1418" w:type="dxa"/>
            <w:tcBorders>
              <w:right w:val="thinThickSmallGap" w:sz="24" w:space="0" w:color="FFFFFF" w:themeColor="background1"/>
            </w:tcBorders>
            <w:shd w:val="clear" w:color="auto" w:fill="92CDDC" w:themeFill="accent5" w:themeFillTint="99"/>
          </w:tcPr>
          <w:p w:rsidR="00B96248" w:rsidRPr="00494CC8" w:rsidRDefault="006C7E1A" w:rsidP="00272B35">
            <w:pPr>
              <w:pStyle w:val="Titre1"/>
              <w:jc w:val="center"/>
              <w:outlineLvl w:val="0"/>
              <w:rPr>
                <w:rFonts w:ascii="Times New Roman" w:hAnsi="Times New Roman" w:cs="Times New Roman"/>
                <w:sz w:val="28"/>
                <w:szCs w:val="28"/>
              </w:rPr>
            </w:pPr>
            <w:r w:rsidRPr="00CC34F9">
              <w:rPr>
                <w:rFonts w:ascii="Times New Roman" w:hAnsi="Times New Roman"/>
                <w:sz w:val="24"/>
                <w:szCs w:val="22"/>
              </w:rPr>
              <w:br w:type="page"/>
            </w: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B96248" w:rsidRPr="00E04E53" w:rsidRDefault="00B96248" w:rsidP="00272B35">
            <w:pPr>
              <w:pStyle w:val="Titre1"/>
              <w:spacing w:before="120" w:after="0" w:line="240" w:lineRule="auto"/>
              <w:jc w:val="center"/>
              <w:outlineLvl w:val="0"/>
              <w:rPr>
                <w:rFonts w:ascii="Times New Roman" w:hAnsi="Times New Roman" w:cs="Times New Roman"/>
                <w:sz w:val="52"/>
                <w:szCs w:val="52"/>
              </w:rPr>
            </w:pPr>
            <w:bookmarkStart w:id="146" w:name="_Toc382322942"/>
            <w:r w:rsidRPr="00E04E53">
              <w:rPr>
                <w:rFonts w:ascii="Times New Roman" w:hAnsi="Times New Roman" w:cs="Times New Roman"/>
                <w:sz w:val="52"/>
                <w:szCs w:val="52"/>
              </w:rPr>
              <w:t>CHAPITRE</w:t>
            </w:r>
            <w:bookmarkEnd w:id="146"/>
          </w:p>
          <w:p w:rsidR="00B96248" w:rsidRPr="00E04E53" w:rsidRDefault="009E3D3A" w:rsidP="00272B35">
            <w:pPr>
              <w:pStyle w:val="Titre1"/>
              <w:spacing w:before="0" w:after="0" w:line="240" w:lineRule="auto"/>
              <w:jc w:val="center"/>
              <w:outlineLvl w:val="0"/>
              <w:rPr>
                <w:rFonts w:ascii="Times New Roman" w:hAnsi="Times New Roman" w:cs="Times New Roman"/>
                <w:sz w:val="96"/>
                <w:szCs w:val="96"/>
              </w:rPr>
            </w:pPr>
            <w:bookmarkStart w:id="147" w:name="_Toc382322943"/>
            <w:r>
              <w:rPr>
                <w:rFonts w:ascii="Times New Roman" w:hAnsi="Times New Roman" w:cs="Times New Roman"/>
                <w:sz w:val="96"/>
                <w:szCs w:val="96"/>
              </w:rPr>
              <w:t>5</w:t>
            </w:r>
            <w:bookmarkEnd w:id="147"/>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CE79B0" w:rsidRDefault="00B96248" w:rsidP="004E2E24">
            <w:pPr>
              <w:pStyle w:val="Titre1"/>
              <w:spacing w:line="240" w:lineRule="auto"/>
              <w:jc w:val="left"/>
              <w:outlineLvl w:val="0"/>
              <w:rPr>
                <w:rFonts w:ascii="Times New Roman" w:hAnsi="Times New Roman" w:cs="Times New Roman"/>
                <w:sz w:val="52"/>
                <w:szCs w:val="52"/>
              </w:rPr>
            </w:pPr>
            <w:bookmarkStart w:id="148" w:name="_Toc382322944"/>
            <w:r w:rsidRPr="00B96248">
              <w:rPr>
                <w:rFonts w:ascii="Times New Roman" w:hAnsi="Times New Roman" w:cs="Times New Roman"/>
                <w:sz w:val="52"/>
                <w:szCs w:val="52"/>
              </w:rPr>
              <w:t>Politique de l’emploi et pauvreté</w:t>
            </w:r>
            <w:bookmarkEnd w:id="148"/>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B96248" w:rsidRPr="00E04E53" w:rsidRDefault="00B96248" w:rsidP="00272B35">
            <w:pPr>
              <w:pStyle w:val="Titre1"/>
              <w:spacing w:line="240" w:lineRule="auto"/>
              <w:jc w:val="center"/>
              <w:outlineLvl w:val="0"/>
              <w:rPr>
                <w:rFonts w:ascii="Times New Roman" w:hAnsi="Times New Roman" w:cs="Times New Roman"/>
                <w:sz w:val="52"/>
                <w:szCs w:val="52"/>
              </w:rPr>
            </w:pPr>
          </w:p>
        </w:tc>
      </w:tr>
    </w:tbl>
    <w:p w:rsidR="002E57DA" w:rsidRDefault="002E57DA" w:rsidP="00196694">
      <w:pPr>
        <w:spacing w:line="276" w:lineRule="auto"/>
        <w:rPr>
          <w:rFonts w:ascii="Times New Roman" w:hAnsi="Times New Roman"/>
          <w:b/>
          <w:sz w:val="20"/>
          <w:szCs w:val="20"/>
        </w:rPr>
      </w:pPr>
    </w:p>
    <w:p w:rsidR="00B96248" w:rsidRDefault="00B96248" w:rsidP="00196694">
      <w:pPr>
        <w:spacing w:line="276" w:lineRule="auto"/>
        <w:rPr>
          <w:rFonts w:ascii="Times New Roman" w:hAnsi="Times New Roman"/>
          <w:b/>
          <w:sz w:val="20"/>
          <w:szCs w:val="20"/>
        </w:rPr>
      </w:pPr>
    </w:p>
    <w:p w:rsidR="00401A60" w:rsidRPr="009240AE" w:rsidRDefault="009E3D3A" w:rsidP="00401A60">
      <w:pPr>
        <w:pStyle w:val="Titre2"/>
        <w:spacing w:before="0" w:after="0" w:line="276" w:lineRule="auto"/>
        <w:rPr>
          <w:rFonts w:ascii="Times New Roman" w:hAnsi="Times New Roman" w:cs="Times New Roman"/>
          <w:i w:val="0"/>
          <w:color w:val="31849B" w:themeColor="accent5" w:themeShade="BF"/>
        </w:rPr>
      </w:pPr>
      <w:bookmarkStart w:id="149" w:name="_Toc382322945"/>
      <w:r w:rsidRPr="009240AE">
        <w:rPr>
          <w:rFonts w:ascii="Times New Roman" w:hAnsi="Times New Roman" w:cs="Times New Roman"/>
          <w:i w:val="0"/>
          <w:color w:val="31849B" w:themeColor="accent5" w:themeShade="BF"/>
        </w:rPr>
        <w:t>5</w:t>
      </w:r>
      <w:r w:rsidR="00401A60" w:rsidRPr="009240AE">
        <w:rPr>
          <w:rFonts w:ascii="Times New Roman" w:hAnsi="Times New Roman" w:cs="Times New Roman"/>
          <w:i w:val="0"/>
          <w:color w:val="31849B" w:themeColor="accent5" w:themeShade="BF"/>
        </w:rPr>
        <w:t>.1</w:t>
      </w:r>
      <w:r w:rsidR="00172E34">
        <w:rPr>
          <w:rFonts w:ascii="Times New Roman" w:hAnsi="Times New Roman" w:cs="Times New Roman"/>
          <w:i w:val="0"/>
          <w:color w:val="31849B" w:themeColor="accent5" w:themeShade="BF"/>
        </w:rPr>
        <w:t xml:space="preserve"> </w:t>
      </w:r>
      <w:r w:rsidR="00E40F2F" w:rsidRPr="009240AE">
        <w:rPr>
          <w:rFonts w:ascii="Times New Roman" w:hAnsi="Times New Roman" w:cs="Times New Roman"/>
          <w:i w:val="0"/>
          <w:color w:val="31849B" w:themeColor="accent5" w:themeShade="BF"/>
        </w:rPr>
        <w:t>Introduction</w:t>
      </w:r>
      <w:bookmarkEnd w:id="149"/>
    </w:p>
    <w:p w:rsidR="00401A60" w:rsidRDefault="00401A60" w:rsidP="00401A60">
      <w:pPr>
        <w:spacing w:line="240" w:lineRule="auto"/>
        <w:rPr>
          <w:rFonts w:ascii="Times New Roman" w:hAnsi="Times New Roman"/>
          <w:sz w:val="24"/>
          <w:szCs w:val="24"/>
        </w:rPr>
      </w:pPr>
    </w:p>
    <w:p w:rsidR="00F46F68" w:rsidRDefault="00401A60" w:rsidP="00401A60">
      <w:pPr>
        <w:spacing w:line="276" w:lineRule="auto"/>
        <w:rPr>
          <w:rFonts w:ascii="Times New Roman" w:hAnsi="Times New Roman"/>
          <w:sz w:val="24"/>
          <w:szCs w:val="24"/>
        </w:rPr>
      </w:pPr>
      <w:r w:rsidRPr="00CA3765">
        <w:rPr>
          <w:rFonts w:ascii="Times New Roman" w:hAnsi="Times New Roman"/>
          <w:sz w:val="24"/>
          <w:szCs w:val="24"/>
        </w:rPr>
        <w:t xml:space="preserve">L’emploi </w:t>
      </w:r>
      <w:r>
        <w:rPr>
          <w:rFonts w:ascii="Times New Roman" w:hAnsi="Times New Roman"/>
          <w:sz w:val="24"/>
          <w:szCs w:val="24"/>
        </w:rPr>
        <w:t>constitue un</w:t>
      </w:r>
      <w:r w:rsidRPr="00CA3765">
        <w:rPr>
          <w:rFonts w:ascii="Times New Roman" w:hAnsi="Times New Roman"/>
          <w:sz w:val="24"/>
          <w:szCs w:val="24"/>
        </w:rPr>
        <w:t xml:space="preserve"> facteur déterminant du développement économique et social. Outre l’importance</w:t>
      </w:r>
      <w:r w:rsidR="00172E34">
        <w:rPr>
          <w:rFonts w:ascii="Times New Roman" w:hAnsi="Times New Roman"/>
          <w:sz w:val="24"/>
          <w:szCs w:val="24"/>
        </w:rPr>
        <w:t xml:space="preserve"> </w:t>
      </w:r>
      <w:r w:rsidRPr="00CA3765">
        <w:rPr>
          <w:rFonts w:ascii="Times New Roman" w:hAnsi="Times New Roman"/>
          <w:sz w:val="24"/>
          <w:szCs w:val="24"/>
        </w:rPr>
        <w:t>cruciale qu’il revêt pour le bien-être des personnes, il est essentiel à la réalisation de nombreux</w:t>
      </w:r>
      <w:r w:rsidR="00172E34">
        <w:rPr>
          <w:rFonts w:ascii="Times New Roman" w:hAnsi="Times New Roman"/>
          <w:sz w:val="24"/>
          <w:szCs w:val="24"/>
        </w:rPr>
        <w:t xml:space="preserve"> </w:t>
      </w:r>
      <w:r w:rsidRPr="00CA3765">
        <w:rPr>
          <w:rFonts w:ascii="Times New Roman" w:hAnsi="Times New Roman"/>
          <w:sz w:val="24"/>
          <w:szCs w:val="24"/>
        </w:rPr>
        <w:t>objectifs généraux concernant la société, tels que la réduction de la pauvreté, la croissance de la</w:t>
      </w:r>
      <w:r w:rsidR="00172E34">
        <w:rPr>
          <w:rFonts w:ascii="Times New Roman" w:hAnsi="Times New Roman"/>
          <w:sz w:val="24"/>
          <w:szCs w:val="24"/>
        </w:rPr>
        <w:t xml:space="preserve"> </w:t>
      </w:r>
      <w:r w:rsidRPr="00CA3765">
        <w:rPr>
          <w:rFonts w:ascii="Times New Roman" w:hAnsi="Times New Roman"/>
          <w:sz w:val="24"/>
          <w:szCs w:val="24"/>
        </w:rPr>
        <w:t>productivité à l’échelle de l’économie et la cohésion sociale</w:t>
      </w:r>
      <w:r>
        <w:rPr>
          <w:rStyle w:val="Appelnotedebasdep"/>
          <w:rFonts w:ascii="Times New Roman" w:hAnsi="Times New Roman"/>
          <w:sz w:val="24"/>
          <w:szCs w:val="24"/>
        </w:rPr>
        <w:footnoteReference w:id="79"/>
      </w:r>
      <w:r>
        <w:rPr>
          <w:rFonts w:ascii="Times New Roman" w:hAnsi="Times New Roman"/>
          <w:sz w:val="24"/>
          <w:szCs w:val="24"/>
        </w:rPr>
        <w:t xml:space="preserve"> (BM, 2012). </w:t>
      </w:r>
    </w:p>
    <w:p w:rsidR="00F46F68" w:rsidRPr="004E39D9" w:rsidRDefault="00F46F68"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Au Bénin, l</w:t>
      </w:r>
      <w:r w:rsidRPr="0072002F">
        <w:rPr>
          <w:rFonts w:ascii="Times New Roman" w:hAnsi="Times New Roman"/>
          <w:sz w:val="24"/>
          <w:szCs w:val="24"/>
        </w:rPr>
        <w:t>’analyse de l’interaction entre la pauvreté et la branche d’activité indique que la participation au marché du travail n’est pas considérée comme un facteur clé dans l’expl</w:t>
      </w:r>
      <w:r>
        <w:rPr>
          <w:rFonts w:ascii="Times New Roman" w:hAnsi="Times New Roman"/>
          <w:sz w:val="24"/>
          <w:szCs w:val="24"/>
        </w:rPr>
        <w:t xml:space="preserve">ication de la pauvreté au Bénin mais plutôt </w:t>
      </w:r>
      <w:r w:rsidRPr="0072002F">
        <w:rPr>
          <w:rFonts w:ascii="Times New Roman" w:hAnsi="Times New Roman"/>
          <w:sz w:val="24"/>
          <w:szCs w:val="24"/>
        </w:rPr>
        <w:t xml:space="preserve">la question de la qualité </w:t>
      </w:r>
      <w:r w:rsidR="009B5D62">
        <w:rPr>
          <w:rFonts w:ascii="Times New Roman" w:hAnsi="Times New Roman"/>
          <w:sz w:val="24"/>
          <w:szCs w:val="24"/>
        </w:rPr>
        <w:t xml:space="preserve"> et de la productivité </w:t>
      </w:r>
      <w:r w:rsidRPr="0072002F">
        <w:rPr>
          <w:rFonts w:ascii="Times New Roman" w:hAnsi="Times New Roman"/>
          <w:sz w:val="24"/>
          <w:szCs w:val="24"/>
        </w:rPr>
        <w:t>de l’emploi</w:t>
      </w:r>
      <w:r>
        <w:rPr>
          <w:rFonts w:ascii="Times New Roman" w:hAnsi="Times New Roman"/>
          <w:sz w:val="24"/>
          <w:szCs w:val="24"/>
        </w:rPr>
        <w:t xml:space="preserve"> occupé étant donné que le </w:t>
      </w:r>
      <w:r w:rsidRPr="0072002F">
        <w:rPr>
          <w:rFonts w:ascii="Times New Roman" w:hAnsi="Times New Roman"/>
          <w:sz w:val="24"/>
          <w:szCs w:val="24"/>
        </w:rPr>
        <w:t>taux de salarisation est faible</w:t>
      </w:r>
      <w:r>
        <w:rPr>
          <w:rFonts w:ascii="Times New Roman" w:hAnsi="Times New Roman"/>
          <w:sz w:val="24"/>
          <w:szCs w:val="24"/>
        </w:rPr>
        <w:t xml:space="preserve"> (10%)</w:t>
      </w:r>
      <w:r w:rsidRPr="0072002F">
        <w:rPr>
          <w:rFonts w:ascii="Times New Roman" w:hAnsi="Times New Roman"/>
          <w:sz w:val="24"/>
          <w:szCs w:val="24"/>
        </w:rPr>
        <w:t xml:space="preserve"> et </w:t>
      </w:r>
      <w:r>
        <w:rPr>
          <w:rFonts w:ascii="Times New Roman" w:hAnsi="Times New Roman"/>
          <w:sz w:val="24"/>
          <w:szCs w:val="24"/>
        </w:rPr>
        <w:t xml:space="preserve">que </w:t>
      </w:r>
      <w:r w:rsidRPr="0072002F">
        <w:rPr>
          <w:rFonts w:ascii="Times New Roman" w:hAnsi="Times New Roman"/>
          <w:sz w:val="24"/>
          <w:szCs w:val="24"/>
        </w:rPr>
        <w:t xml:space="preserve">plus de la moitié de la population active occupée au Bénin </w:t>
      </w:r>
      <w:r>
        <w:rPr>
          <w:rFonts w:ascii="Times New Roman" w:hAnsi="Times New Roman"/>
          <w:sz w:val="24"/>
          <w:szCs w:val="24"/>
        </w:rPr>
        <w:t>est caractérisé</w:t>
      </w:r>
      <w:r w:rsidR="00F0670B">
        <w:rPr>
          <w:rFonts w:ascii="Times New Roman" w:hAnsi="Times New Roman"/>
          <w:sz w:val="24"/>
          <w:szCs w:val="24"/>
        </w:rPr>
        <w:t>e</w:t>
      </w:r>
      <w:r>
        <w:rPr>
          <w:rFonts w:ascii="Times New Roman" w:hAnsi="Times New Roman"/>
          <w:sz w:val="24"/>
          <w:szCs w:val="24"/>
        </w:rPr>
        <w:t xml:space="preserve"> par le sous-emploi. </w:t>
      </w:r>
    </w:p>
    <w:p w:rsidR="00401A60" w:rsidRPr="004E39D9"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Le présent chapitre vise à présenter un état des lieux de la situation de l’emploi au Bénin en 2010 et à faire le lien entre les politiques mises en œuvre en matière d’emploi et la pauvreté. Il s’agit de vérifier si ces politiques sont-elles appropriées ? Ont-elles permis de réduire la pauvreté ?</w:t>
      </w:r>
    </w:p>
    <w:p w:rsidR="00401A60" w:rsidRPr="004E39D9"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Le chapitre aborde dans une première partie la situation de l’emploi au Bénin en 2010 de façon générale et finit par quelques caractéristiques de l’emploi des jeunes au Bénin. Dans une deuxième partie, il examine l’ensemble des politiques mises en œuvre en matière d’emploi au Bénin et leur lien avec la pauvreté.</w:t>
      </w:r>
    </w:p>
    <w:p w:rsidR="00401A60" w:rsidRPr="005E00FE" w:rsidRDefault="00401A60" w:rsidP="009240AE">
      <w:pPr>
        <w:spacing w:line="240" w:lineRule="auto"/>
        <w:rPr>
          <w:rFonts w:ascii="Times New Roman" w:hAnsi="Times New Roman"/>
          <w:sz w:val="24"/>
          <w:szCs w:val="24"/>
        </w:rPr>
      </w:pPr>
    </w:p>
    <w:p w:rsidR="00401A60" w:rsidRPr="009240AE" w:rsidRDefault="009E3D3A" w:rsidP="009240AE">
      <w:pPr>
        <w:pStyle w:val="Titre2"/>
        <w:spacing w:before="120" w:line="240" w:lineRule="auto"/>
        <w:rPr>
          <w:rFonts w:ascii="Times New Roman" w:hAnsi="Times New Roman" w:cs="Times New Roman"/>
          <w:i w:val="0"/>
          <w:color w:val="31849B" w:themeColor="accent5" w:themeShade="BF"/>
        </w:rPr>
      </w:pPr>
      <w:bookmarkStart w:id="150" w:name="_Toc382322946"/>
      <w:r w:rsidRPr="009240AE">
        <w:rPr>
          <w:rFonts w:ascii="Times New Roman" w:hAnsi="Times New Roman" w:cs="Times New Roman"/>
          <w:i w:val="0"/>
          <w:color w:val="31849B" w:themeColor="accent5" w:themeShade="BF"/>
        </w:rPr>
        <w:t>5</w:t>
      </w:r>
      <w:r w:rsidR="00401A60" w:rsidRPr="009240AE">
        <w:rPr>
          <w:rFonts w:ascii="Times New Roman" w:hAnsi="Times New Roman" w:cs="Times New Roman"/>
          <w:i w:val="0"/>
          <w:color w:val="31849B" w:themeColor="accent5" w:themeShade="BF"/>
        </w:rPr>
        <w:t>.2</w:t>
      </w:r>
      <w:r w:rsidR="007309F4">
        <w:rPr>
          <w:rFonts w:ascii="Times New Roman" w:hAnsi="Times New Roman" w:cs="Times New Roman"/>
          <w:i w:val="0"/>
          <w:color w:val="31849B" w:themeColor="accent5" w:themeShade="BF"/>
        </w:rPr>
        <w:t xml:space="preserve"> </w:t>
      </w:r>
      <w:r w:rsidR="009240AE">
        <w:rPr>
          <w:rFonts w:ascii="Times New Roman" w:hAnsi="Times New Roman" w:cs="Times New Roman"/>
          <w:i w:val="0"/>
          <w:color w:val="31849B" w:themeColor="accent5" w:themeShade="BF"/>
        </w:rPr>
        <w:t>Situation de l’emploi au Bénin</w:t>
      </w:r>
      <w:bookmarkEnd w:id="150"/>
    </w:p>
    <w:p w:rsidR="009240AE" w:rsidRDefault="009240AE" w:rsidP="00401A60">
      <w:pPr>
        <w:spacing w:line="276" w:lineRule="auto"/>
        <w:rPr>
          <w:rFonts w:ascii="Times New Roman" w:hAnsi="Times New Roman"/>
          <w:sz w:val="24"/>
          <w:szCs w:val="24"/>
        </w:rPr>
      </w:pPr>
    </w:p>
    <w:p w:rsidR="00401A60" w:rsidRDefault="00401A60" w:rsidP="00401A60">
      <w:pPr>
        <w:spacing w:line="276" w:lineRule="auto"/>
        <w:rPr>
          <w:rFonts w:ascii="Times New Roman" w:hAnsi="Times New Roman"/>
          <w:sz w:val="24"/>
          <w:szCs w:val="24"/>
        </w:rPr>
      </w:pPr>
      <w:r w:rsidRPr="00B13450">
        <w:rPr>
          <w:rFonts w:ascii="Times New Roman" w:hAnsi="Times New Roman"/>
          <w:sz w:val="24"/>
          <w:szCs w:val="24"/>
        </w:rPr>
        <w:t xml:space="preserve">Cette section présente les tendances de l’emploi, </w:t>
      </w:r>
      <w:r>
        <w:rPr>
          <w:rFonts w:ascii="Times New Roman" w:hAnsi="Times New Roman"/>
          <w:sz w:val="24"/>
          <w:szCs w:val="24"/>
        </w:rPr>
        <w:t xml:space="preserve">de </w:t>
      </w:r>
      <w:r w:rsidRPr="00B13450">
        <w:rPr>
          <w:rFonts w:ascii="Times New Roman" w:hAnsi="Times New Roman"/>
          <w:sz w:val="24"/>
          <w:szCs w:val="24"/>
        </w:rPr>
        <w:t>la population active,</w:t>
      </w:r>
      <w:r>
        <w:rPr>
          <w:rFonts w:ascii="Times New Roman" w:hAnsi="Times New Roman"/>
          <w:sz w:val="24"/>
          <w:szCs w:val="24"/>
        </w:rPr>
        <w:t xml:space="preserve"> de </w:t>
      </w:r>
      <w:r w:rsidRPr="00B13450">
        <w:rPr>
          <w:rFonts w:ascii="Times New Roman" w:hAnsi="Times New Roman"/>
          <w:sz w:val="24"/>
          <w:szCs w:val="24"/>
        </w:rPr>
        <w:t>la population active occupée et ses composantes</w:t>
      </w:r>
      <w:r w:rsidRPr="00B13450">
        <w:rPr>
          <w:rStyle w:val="Appelnotedebasdep"/>
          <w:rFonts w:ascii="Times New Roman" w:hAnsi="Times New Roman"/>
          <w:sz w:val="24"/>
          <w:szCs w:val="24"/>
        </w:rPr>
        <w:footnoteReference w:id="80"/>
      </w:r>
      <w:r w:rsidRPr="00B13450">
        <w:rPr>
          <w:rFonts w:ascii="Times New Roman" w:hAnsi="Times New Roman"/>
          <w:sz w:val="24"/>
          <w:szCs w:val="24"/>
        </w:rPr>
        <w:t xml:space="preserve">. </w:t>
      </w:r>
    </w:p>
    <w:p w:rsidR="00401A60" w:rsidRDefault="00401A60" w:rsidP="00401A60">
      <w:pPr>
        <w:spacing w:line="276" w:lineRule="auto"/>
        <w:rPr>
          <w:rFonts w:ascii="Times New Roman" w:hAnsi="Times New Roman"/>
          <w:sz w:val="24"/>
          <w:szCs w:val="24"/>
        </w:rPr>
      </w:pPr>
    </w:p>
    <w:p w:rsidR="00401A60" w:rsidRPr="008207A4" w:rsidRDefault="009E3D3A" w:rsidP="00401A60">
      <w:pPr>
        <w:spacing w:line="240" w:lineRule="auto"/>
        <w:rPr>
          <w:rFonts w:ascii="Times New Roman" w:hAnsi="Times New Roman"/>
          <w:b/>
          <w:sz w:val="24"/>
          <w:szCs w:val="24"/>
        </w:rPr>
      </w:pPr>
      <w:r>
        <w:rPr>
          <w:rFonts w:ascii="Times New Roman" w:hAnsi="Times New Roman"/>
          <w:b/>
          <w:sz w:val="24"/>
          <w:szCs w:val="24"/>
        </w:rPr>
        <w:t>5</w:t>
      </w:r>
      <w:r w:rsidR="00401A60" w:rsidRPr="008207A4">
        <w:rPr>
          <w:rFonts w:ascii="Times New Roman" w:hAnsi="Times New Roman"/>
          <w:b/>
          <w:sz w:val="24"/>
          <w:szCs w:val="24"/>
        </w:rPr>
        <w:t>.</w:t>
      </w:r>
      <w:r w:rsidR="00401A60">
        <w:rPr>
          <w:rFonts w:ascii="Times New Roman" w:hAnsi="Times New Roman"/>
          <w:b/>
          <w:sz w:val="24"/>
          <w:szCs w:val="24"/>
        </w:rPr>
        <w:t>2.1</w:t>
      </w:r>
      <w:r w:rsidR="00172E34">
        <w:rPr>
          <w:rFonts w:ascii="Times New Roman" w:hAnsi="Times New Roman"/>
          <w:b/>
          <w:sz w:val="24"/>
          <w:szCs w:val="24"/>
        </w:rPr>
        <w:t xml:space="preserve"> </w:t>
      </w:r>
      <w:r w:rsidR="00401A60">
        <w:rPr>
          <w:rFonts w:ascii="Times New Roman" w:hAnsi="Times New Roman"/>
          <w:b/>
          <w:sz w:val="24"/>
          <w:szCs w:val="24"/>
        </w:rPr>
        <w:t>Tendance</w:t>
      </w:r>
      <w:r w:rsidR="00401A60" w:rsidRPr="008207A4">
        <w:rPr>
          <w:rFonts w:ascii="Times New Roman" w:hAnsi="Times New Roman"/>
          <w:b/>
          <w:sz w:val="24"/>
          <w:szCs w:val="24"/>
        </w:rPr>
        <w:t xml:space="preserve"> de l’emploi de 2006 à 2010. </w:t>
      </w:r>
    </w:p>
    <w:p w:rsidR="004E39D9" w:rsidRPr="004E39D9" w:rsidRDefault="004E39D9" w:rsidP="00401A60">
      <w:pPr>
        <w:spacing w:line="276" w:lineRule="auto"/>
        <w:rPr>
          <w:rFonts w:ascii="Times New Roman" w:hAnsi="Times New Roman"/>
          <w:sz w:val="16"/>
          <w:szCs w:val="16"/>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Elle est déclinée à travers le </w:t>
      </w:r>
      <w:r w:rsidRPr="000F5425">
        <w:rPr>
          <w:rFonts w:ascii="Times New Roman" w:hAnsi="Times New Roman"/>
          <w:sz w:val="24"/>
          <w:szCs w:val="24"/>
        </w:rPr>
        <w:t>taux d’activité</w:t>
      </w:r>
      <w:r>
        <w:rPr>
          <w:rFonts w:ascii="Times New Roman" w:hAnsi="Times New Roman"/>
          <w:sz w:val="24"/>
          <w:szCs w:val="24"/>
        </w:rPr>
        <w:t>. Il désigne selon le BIT, l’ensemble des actifs occupés plus les chômeurs</w:t>
      </w:r>
      <w:r w:rsidRPr="000F5425">
        <w:rPr>
          <w:rFonts w:ascii="Times New Roman" w:hAnsi="Times New Roman"/>
          <w:sz w:val="24"/>
          <w:szCs w:val="24"/>
        </w:rPr>
        <w:t>.</w:t>
      </w:r>
      <w:r>
        <w:rPr>
          <w:rFonts w:ascii="Times New Roman" w:hAnsi="Times New Roman"/>
          <w:sz w:val="24"/>
          <w:szCs w:val="24"/>
        </w:rPr>
        <w:t xml:space="preserve"> C’est la force de travail de l’économie. Il caractérise le facteur travail de la fonction de production. </w:t>
      </w:r>
    </w:p>
    <w:p w:rsidR="00401A60" w:rsidRDefault="00401A60" w:rsidP="00401A60">
      <w:pPr>
        <w:spacing w:line="276"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2938BB" w:rsidRPr="0070518A" w:rsidTr="00F31F3C">
        <w:trPr>
          <w:trHeight w:val="387"/>
        </w:trPr>
        <w:tc>
          <w:tcPr>
            <w:tcW w:w="9212"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92CDDC" w:themeFill="accent5" w:themeFillTint="99"/>
          </w:tcPr>
          <w:p w:rsidR="002938BB" w:rsidRPr="0070518A" w:rsidRDefault="00832112" w:rsidP="00F31F3C">
            <w:pPr>
              <w:spacing w:line="276" w:lineRule="auto"/>
              <w:rPr>
                <w:rFonts w:ascii="Times New Roman" w:hAnsi="Times New Roman"/>
                <w:b/>
                <w:sz w:val="24"/>
                <w:szCs w:val="24"/>
              </w:rPr>
            </w:pPr>
            <w:r w:rsidRPr="00832112">
              <w:rPr>
                <w:rFonts w:ascii="Times New Roman" w:hAnsi="Times New Roman"/>
                <w:b/>
                <w:sz w:val="24"/>
                <w:szCs w:val="24"/>
              </w:rPr>
              <w:t>Encadré 5.1</w:t>
            </w:r>
            <w:r w:rsidR="002938BB" w:rsidRPr="0070518A">
              <w:rPr>
                <w:rFonts w:ascii="Times New Roman" w:hAnsi="Times New Roman"/>
                <w:b/>
                <w:sz w:val="24"/>
                <w:szCs w:val="24"/>
              </w:rPr>
              <w:t xml:space="preserve">: </w:t>
            </w:r>
            <w:r w:rsidR="002938BB" w:rsidRPr="0070518A">
              <w:rPr>
                <w:rFonts w:ascii="Times New Roman" w:hAnsi="Times New Roman"/>
                <w:sz w:val="24"/>
                <w:szCs w:val="24"/>
              </w:rPr>
              <w:t>Définition des concepts</w:t>
            </w:r>
          </w:p>
        </w:tc>
      </w:tr>
      <w:tr w:rsidR="002938BB" w:rsidRPr="008921B2" w:rsidTr="00F31F3C">
        <w:tc>
          <w:tcPr>
            <w:tcW w:w="9212" w:type="dxa"/>
            <w:tcBorders>
              <w:top w:val="single" w:sz="4" w:space="0" w:color="31849B" w:themeColor="accent5" w:themeShade="BF"/>
            </w:tcBorders>
            <w:shd w:val="clear" w:color="auto" w:fill="DBE5F1" w:themeFill="accent1" w:themeFillTint="33"/>
          </w:tcPr>
          <w:p w:rsidR="002938BB" w:rsidRPr="008921B2" w:rsidRDefault="002938BB" w:rsidP="002938BB">
            <w:pPr>
              <w:spacing w:before="120" w:line="240" w:lineRule="auto"/>
              <w:rPr>
                <w:rFonts w:ascii="Times New Roman" w:hAnsi="Times New Roman"/>
                <w:sz w:val="18"/>
                <w:szCs w:val="18"/>
              </w:rPr>
            </w:pPr>
            <w:r w:rsidRPr="008921B2">
              <w:rPr>
                <w:rFonts w:ascii="Times New Roman" w:hAnsi="Times New Roman"/>
                <w:b/>
                <w:sz w:val="18"/>
                <w:szCs w:val="18"/>
              </w:rPr>
              <w:t>Emploi</w:t>
            </w:r>
            <w:r w:rsidRPr="008921B2">
              <w:rPr>
                <w:rFonts w:ascii="Times New Roman" w:hAnsi="Times New Roman"/>
                <w:sz w:val="18"/>
                <w:szCs w:val="18"/>
              </w:rPr>
              <w:t xml:space="preserve"> : Selon le BIT, les personnes pourvues d'un emploi comprennent toutes les personnes ayant dépassé un âge spécifié qui se trouvaient, durant une brève période de référence spécifiée telle qu’une semaine ou un jour, dans les catégories suivantes: a) "emploi salarié" (qui sont au travail ou ont un emploi mais ne sont pas au travail), b) "emploi non salarié" (qui sont au travail ou ayant une entreprise mais n'étant pas au travail). Dans la pratique, on peut interpréter la notion de "travail effectué au cours de la période de référence" comme étant un travail d'une durée d'une heure au moins.  </w:t>
            </w: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sz w:val="18"/>
                <w:szCs w:val="18"/>
              </w:rPr>
              <w:t xml:space="preserve">Le concept personnes au travail fait référence à des  personnes qui, durant la période de référence, ont effectué </w:t>
            </w:r>
            <w:r w:rsidR="00F0670B">
              <w:rPr>
                <w:rFonts w:ascii="Times New Roman" w:hAnsi="Times New Roman"/>
                <w:sz w:val="18"/>
                <w:szCs w:val="18"/>
              </w:rPr>
              <w:t xml:space="preserve">soit </w:t>
            </w:r>
            <w:r w:rsidRPr="008921B2">
              <w:rPr>
                <w:rFonts w:ascii="Times New Roman" w:hAnsi="Times New Roman"/>
                <w:sz w:val="18"/>
                <w:szCs w:val="18"/>
              </w:rPr>
              <w:t xml:space="preserve">un travail (au-delà d’une heure) en vue d'un salaire, </w:t>
            </w:r>
            <w:r w:rsidR="00F0670B">
              <w:rPr>
                <w:rFonts w:ascii="Times New Roman" w:hAnsi="Times New Roman"/>
                <w:sz w:val="18"/>
                <w:szCs w:val="18"/>
              </w:rPr>
              <w:t xml:space="preserve">soit ont </w:t>
            </w:r>
            <w:r w:rsidRPr="008921B2">
              <w:rPr>
                <w:rFonts w:ascii="Times New Roman" w:hAnsi="Times New Roman"/>
                <w:sz w:val="18"/>
                <w:szCs w:val="18"/>
              </w:rPr>
              <w:t>bénéfic</w:t>
            </w:r>
            <w:r w:rsidR="00F0670B">
              <w:rPr>
                <w:rFonts w:ascii="Times New Roman" w:hAnsi="Times New Roman"/>
                <w:sz w:val="18"/>
                <w:szCs w:val="18"/>
              </w:rPr>
              <w:t>ié</w:t>
            </w:r>
            <w:r w:rsidRPr="008921B2">
              <w:rPr>
                <w:rFonts w:ascii="Times New Roman" w:hAnsi="Times New Roman"/>
                <w:sz w:val="18"/>
                <w:szCs w:val="18"/>
              </w:rPr>
              <w:t xml:space="preserve"> d'un gain familial en espèces ou en nature.</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b/>
                <w:sz w:val="18"/>
                <w:szCs w:val="18"/>
              </w:rPr>
              <w:t>Population active :</w:t>
            </w:r>
            <w:r w:rsidRPr="008921B2">
              <w:rPr>
                <w:rFonts w:ascii="Times New Roman" w:hAnsi="Times New Roman"/>
                <w:sz w:val="18"/>
                <w:szCs w:val="18"/>
              </w:rPr>
              <w:t xml:space="preserve"> Selon le BIT, la population active comprend toutes les personnes des deux sexes qui fournissent, durant une période de référence spécifiée, la main-d’œuvre disponible pour la production de biens et services, comme définis par les systèmes de comptabilité nationaux des Nations Unies (SCN). Elle est égale à la somme de toutes les personnes en âge de travailler qui occupent un emploi et ceux qui sont au chômage.</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b/>
                <w:sz w:val="18"/>
                <w:szCs w:val="18"/>
              </w:rPr>
              <w:t>Ratio emploi-population (EPR) ou taux d’occupation ou taux d’emplois</w:t>
            </w:r>
            <w:r w:rsidRPr="008921B2">
              <w:rPr>
                <w:rFonts w:ascii="Times New Roman" w:hAnsi="Times New Roman"/>
                <w:sz w:val="18"/>
                <w:szCs w:val="18"/>
              </w:rPr>
              <w:t xml:space="preserve"> : Le </w:t>
            </w:r>
            <w:r w:rsidR="00F0670B">
              <w:rPr>
                <w:rFonts w:ascii="Times New Roman" w:hAnsi="Times New Roman"/>
                <w:sz w:val="18"/>
                <w:szCs w:val="18"/>
              </w:rPr>
              <w:t>R</w:t>
            </w:r>
            <w:r w:rsidR="00F0670B" w:rsidRPr="008921B2">
              <w:rPr>
                <w:rFonts w:ascii="Times New Roman" w:hAnsi="Times New Roman"/>
                <w:sz w:val="18"/>
                <w:szCs w:val="18"/>
              </w:rPr>
              <w:t xml:space="preserve">atio </w:t>
            </w:r>
            <w:r w:rsidRPr="008921B2">
              <w:rPr>
                <w:rFonts w:ascii="Times New Roman" w:hAnsi="Times New Roman"/>
                <w:sz w:val="18"/>
                <w:szCs w:val="18"/>
              </w:rPr>
              <w:t>Emploi-Population (EPR) est calculé comme le nombre de personnes pourvues d'un emploi pendant une période de référence  bien déterminée, en pourcentage du total de la population en âge de travailler pour la même période de référence.</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b/>
                <w:sz w:val="18"/>
                <w:szCs w:val="18"/>
              </w:rPr>
              <w:t>Taux d’auto-emploi</w:t>
            </w:r>
            <w:r w:rsidRPr="008921B2">
              <w:rPr>
                <w:rFonts w:ascii="Times New Roman" w:hAnsi="Times New Roman"/>
                <w:sz w:val="18"/>
                <w:szCs w:val="18"/>
              </w:rPr>
              <w:t> : L’auto-emploi désigne les personnes ayant créé leur propre emploi ou entreprise. Il comprend les patrons et les travailleurs à leur propre compte. Le taux d’auto-emploi rapporte cette catégorie de personnes au total des emplois.</w:t>
            </w:r>
          </w:p>
          <w:p w:rsidR="002938BB" w:rsidRPr="004E39D9" w:rsidRDefault="002938BB" w:rsidP="002938BB">
            <w:pPr>
              <w:spacing w:line="240" w:lineRule="auto"/>
              <w:rPr>
                <w:rFonts w:ascii="Times New Roman" w:hAnsi="Times New Roman"/>
                <w:sz w:val="16"/>
                <w:szCs w:val="16"/>
              </w:rPr>
            </w:pPr>
          </w:p>
          <w:p w:rsidR="002938BB" w:rsidRDefault="002938BB" w:rsidP="004E39D9">
            <w:pPr>
              <w:widowControl w:val="0"/>
              <w:autoSpaceDE w:val="0"/>
              <w:autoSpaceDN w:val="0"/>
              <w:adjustRightInd w:val="0"/>
              <w:spacing w:line="240" w:lineRule="auto"/>
              <w:rPr>
                <w:rFonts w:ascii="Times New Roman" w:hAnsi="Times New Roman"/>
                <w:sz w:val="18"/>
                <w:szCs w:val="18"/>
              </w:rPr>
            </w:pPr>
            <w:r w:rsidRPr="008921B2">
              <w:rPr>
                <w:rFonts w:ascii="Times New Roman" w:hAnsi="Times New Roman"/>
                <w:b/>
                <w:sz w:val="18"/>
                <w:szCs w:val="18"/>
              </w:rPr>
              <w:t>Sous-emploi visible ou sous-emploi lié à la durée du travail</w:t>
            </w:r>
            <w:r w:rsidRPr="008921B2">
              <w:rPr>
                <w:rFonts w:ascii="Times New Roman" w:hAnsi="Times New Roman"/>
                <w:sz w:val="18"/>
                <w:szCs w:val="18"/>
              </w:rPr>
              <w:t> : Selon le BIT, les personnes en sous-emploi lié à la durée du travail comprennent toutes les personnes pourvues d’un emploi qui répondent aux trois critères suivants pendant la période de référence: a) «disposées à prester davantage d’heures», b) «disponibles pour travailler davantage d’heures» c’est-à-dire prêtes, pendant une période ultérieure spécifiée, à effecteur davantage d’heures, si la possibilité leur en était offerte, c) «ayant travaillé moins qu’un seuil relatif à la durée du travail» c’est-à-dire les personnes dont «les heures de travail réellement effectuées» dans tous les emplois confondus pendant la période de référence, telles que définies dans les directives internationales en vigueur concernant les statistiques du temps de travail, étaient inférieures à un seuil à choisir selon les circonstances nationales.</w:t>
            </w:r>
            <w:r>
              <w:rPr>
                <w:rFonts w:ascii="Times New Roman" w:hAnsi="Times New Roman"/>
                <w:sz w:val="18"/>
                <w:szCs w:val="18"/>
              </w:rPr>
              <w:t xml:space="preserve"> Le sous-emploi visible est au aussi appelé sous-emploi lié au marché du travail et vise à quantifier </w:t>
            </w:r>
            <w:r w:rsidRPr="00C70EFB">
              <w:rPr>
                <w:rFonts w:ascii="Times New Roman" w:hAnsi="Times New Roman"/>
                <w:sz w:val="18"/>
                <w:szCs w:val="18"/>
              </w:rPr>
              <w:t>les personnes qui, en raison d’une réduction ou d’une modification de la demande de main-d’œuvre ou de la création d’emplois en nombre insuffisant pour certaines professions, sont contraintes, pour ne pas être au chômage, de travailler à horaires réduits ou d’occuper un poste de moindre qualification ou dans une unité économique moins productive, et qui perçoivent de ce fait un revenu inférieur à celui qu’elles pourraient normalement obtenir (Borgen et coll., 1988; Hecker, 1992).</w:t>
            </w:r>
            <w:r>
              <w:rPr>
                <w:rFonts w:ascii="Times New Roman" w:hAnsi="Times New Roman"/>
                <w:sz w:val="18"/>
                <w:szCs w:val="18"/>
              </w:rPr>
              <w:t>Source : (BIT, 1998)</w:t>
            </w:r>
            <w:r>
              <w:rPr>
                <w:rStyle w:val="Appelnotedebasdep"/>
                <w:rFonts w:ascii="Times New Roman" w:hAnsi="Times New Roman"/>
                <w:sz w:val="18"/>
                <w:szCs w:val="18"/>
              </w:rPr>
              <w:footnoteReference w:id="81"/>
            </w:r>
            <w:r>
              <w:rPr>
                <w:rFonts w:ascii="Times New Roman" w:hAnsi="Times New Roman"/>
                <w:sz w:val="18"/>
                <w:szCs w:val="18"/>
              </w:rPr>
              <w:t>.</w:t>
            </w:r>
          </w:p>
          <w:p w:rsidR="004E39D9" w:rsidRPr="004E39D9" w:rsidRDefault="004E39D9" w:rsidP="004E39D9">
            <w:pPr>
              <w:widowControl w:val="0"/>
              <w:autoSpaceDE w:val="0"/>
              <w:autoSpaceDN w:val="0"/>
              <w:adjustRightInd w:val="0"/>
              <w:spacing w:line="240" w:lineRule="auto"/>
              <w:rPr>
                <w:rFonts w:ascii="Times New Roman" w:hAnsi="Times New Roman"/>
                <w:sz w:val="16"/>
                <w:szCs w:val="16"/>
              </w:rPr>
            </w:pPr>
          </w:p>
          <w:p w:rsidR="002938BB" w:rsidRDefault="002938BB" w:rsidP="004E39D9">
            <w:pPr>
              <w:widowControl w:val="0"/>
              <w:autoSpaceDE w:val="0"/>
              <w:autoSpaceDN w:val="0"/>
              <w:adjustRightInd w:val="0"/>
              <w:spacing w:line="240" w:lineRule="auto"/>
              <w:rPr>
                <w:rFonts w:ascii="Times New Roman" w:hAnsi="Times New Roman"/>
                <w:sz w:val="18"/>
                <w:szCs w:val="18"/>
              </w:rPr>
            </w:pPr>
            <w:r w:rsidRPr="006C019C">
              <w:rPr>
                <w:rFonts w:ascii="Times New Roman" w:hAnsi="Times New Roman"/>
                <w:b/>
                <w:sz w:val="18"/>
                <w:szCs w:val="18"/>
              </w:rPr>
              <w:t>Sous-emploi invisible ou sous-emploi lié à la productivité</w:t>
            </w:r>
            <w:r>
              <w:rPr>
                <w:rFonts w:ascii="Times New Roman" w:hAnsi="Times New Roman"/>
                <w:sz w:val="18"/>
                <w:szCs w:val="18"/>
              </w:rPr>
              <w:t xml:space="preserve">. </w:t>
            </w:r>
            <w:r w:rsidRPr="00C70EFB">
              <w:rPr>
                <w:rFonts w:ascii="Times New Roman" w:hAnsi="Times New Roman"/>
                <w:sz w:val="18"/>
                <w:szCs w:val="18"/>
              </w:rPr>
              <w:t>La définition internationale actuelle du sous-emploi invisible correspond à un type de mesure axée sur le développement. Le sous-emploi invisible est ici caractérisé par «un faible revenu, la sous-utilisation des compétences ou la faible productivité»</w:t>
            </w:r>
            <w:r w:rsidR="00F0670B">
              <w:rPr>
                <w:rFonts w:ascii="Times New Roman" w:hAnsi="Times New Roman"/>
                <w:sz w:val="18"/>
                <w:szCs w:val="18"/>
              </w:rPr>
              <w:t xml:space="preserve"> </w:t>
            </w:r>
            <w:r w:rsidRPr="00EC0527">
              <w:rPr>
                <w:rFonts w:ascii="Times New Roman" w:hAnsi="Times New Roman"/>
                <w:sz w:val="18"/>
                <w:szCs w:val="18"/>
              </w:rPr>
              <w:t xml:space="preserve">(voir paragraphe 15 2) </w:t>
            </w:r>
            <w:r>
              <w:rPr>
                <w:rFonts w:ascii="Times New Roman" w:hAnsi="Times New Roman"/>
                <w:sz w:val="18"/>
                <w:szCs w:val="18"/>
              </w:rPr>
              <w:t>de la résolution concernant les s</w:t>
            </w:r>
            <w:r w:rsidRPr="00EC0527">
              <w:rPr>
                <w:rFonts w:ascii="Times New Roman" w:hAnsi="Times New Roman"/>
                <w:sz w:val="18"/>
                <w:szCs w:val="18"/>
              </w:rPr>
              <w:t>tatistiques de la population active, de l’emploi, du chômage et du sous-emploi, 13e CIST, annexe II).</w:t>
            </w:r>
            <w:r>
              <w:rPr>
                <w:rFonts w:ascii="Times New Roman" w:hAnsi="Times New Roman"/>
                <w:sz w:val="18"/>
                <w:szCs w:val="18"/>
              </w:rPr>
              <w:t xml:space="preserve">Selon le BIT, </w:t>
            </w:r>
            <w:r w:rsidRPr="00C70EFB">
              <w:rPr>
                <w:rFonts w:ascii="Times New Roman" w:hAnsi="Times New Roman"/>
                <w:sz w:val="18"/>
                <w:szCs w:val="18"/>
              </w:rPr>
              <w:t xml:space="preserve">la mesure axée sur le développement a trait aux caractéristiques propres des travailleurs tels que i) les travailleurs pauvres, comme les personnes dont le revenu est inférieur au seuil de pauvreté ou au salaire minimum (Hauser, 1974; Moir, 1980; Morris, 1986; Oster et coll., 1978); ii) les personnes dont les «besoins fondamentaux» ne sont «pas satisfaits» et qui ne sont pas en mesure d’obtenir un revenu suffisant pour acheter une quantité donnée de biens et de services (Hopkins, 1985); ou iii) les travailleurs ayant un «certain statut professionnel» et un «certain niveau d’instruction» (PREALC, 1984). Ce type de mesure a également trait aux caractéristiques des établissements où sont employés les travailleurs tels que iv) les travailleurs du secteur informel (Hirshman, 1979), v) les travailleurs employés dans des exploitations agricoles n’atteignant pas une certaine taille (Ayub, 1989), ou vi) les travailleurs employés dans des établissements dont le niveau de productivité est inférieur à une norme donnée (Acharya, 1983). </w:t>
            </w:r>
            <w:r>
              <w:rPr>
                <w:rFonts w:ascii="Times New Roman" w:hAnsi="Times New Roman"/>
                <w:sz w:val="18"/>
                <w:szCs w:val="18"/>
              </w:rPr>
              <w:t xml:space="preserve"> Source : BIT (1998).</w:t>
            </w:r>
          </w:p>
          <w:p w:rsidR="004E39D9" w:rsidRPr="004E39D9" w:rsidRDefault="004E39D9" w:rsidP="004E39D9">
            <w:pPr>
              <w:widowControl w:val="0"/>
              <w:autoSpaceDE w:val="0"/>
              <w:autoSpaceDN w:val="0"/>
              <w:adjustRightInd w:val="0"/>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b/>
                <w:sz w:val="18"/>
                <w:szCs w:val="18"/>
              </w:rPr>
              <w:t>Chômeurs </w:t>
            </w:r>
            <w:r w:rsidRPr="008921B2">
              <w:rPr>
                <w:rFonts w:ascii="Times New Roman" w:hAnsi="Times New Roman"/>
                <w:sz w:val="18"/>
                <w:szCs w:val="18"/>
              </w:rPr>
              <w:t>: Selon le BIT, les chômeurs comprennent toutes les personnes ayant dépassé un âge spécifié, qui au cours de la période de référence étaient: a) "sans travail", c’est-à-dire qui n'étaient pourvues ni d'un emploi salarié ni d'un emploi non salarié; b) "disponibles pour travailler" dans un emploi salarié ou non salarié durant la période de référence; c) "à la recherche d'un travail", c'est-à-dire qui avaient pris des dispositions spécifiques au cours d'une période récente spécifiée pour chercher un emploi salarié ou un emploi non salarié, c’est le chômage au sens du BIT. Aux fins de comparabilité internationale, la période de recherche d'emploi est souvent définie comme les quatre semaines précédentes, mais cela varie d'un pays à un autre.</w:t>
            </w:r>
          </w:p>
          <w:p w:rsidR="004E39D9" w:rsidRPr="004E39D9" w:rsidRDefault="004E39D9"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sz w:val="18"/>
                <w:szCs w:val="18"/>
              </w:rPr>
              <w:t>Le chômage au sens large comprend les chômeurs au sens du BIT plus les chômeurs découragés.</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sz w:val="18"/>
                <w:szCs w:val="18"/>
              </w:rPr>
              <w:t>Les chômeurs découragés sont des personnes  sans travail, disponibles p</w:t>
            </w:r>
            <w:r w:rsidR="00F0670B">
              <w:rPr>
                <w:rFonts w:ascii="Times New Roman" w:hAnsi="Times New Roman"/>
                <w:sz w:val="18"/>
                <w:szCs w:val="18"/>
              </w:rPr>
              <w:t>o</w:t>
            </w:r>
            <w:r w:rsidRPr="008921B2">
              <w:rPr>
                <w:rFonts w:ascii="Times New Roman" w:hAnsi="Times New Roman"/>
                <w:sz w:val="18"/>
                <w:szCs w:val="18"/>
              </w:rPr>
              <w:t xml:space="preserve">ur travailler, mais qui ne recherchent pas de travail parce qu’ils sont découragés soit pour avoir déjà cherché en vain </w:t>
            </w:r>
            <w:r w:rsidR="00F0670B" w:rsidRPr="008921B2">
              <w:rPr>
                <w:rFonts w:ascii="Times New Roman" w:hAnsi="Times New Roman"/>
                <w:sz w:val="18"/>
                <w:szCs w:val="18"/>
              </w:rPr>
              <w:t>d</w:t>
            </w:r>
            <w:r w:rsidR="00F0670B">
              <w:rPr>
                <w:rFonts w:ascii="Times New Roman" w:hAnsi="Times New Roman"/>
                <w:sz w:val="18"/>
                <w:szCs w:val="18"/>
              </w:rPr>
              <w:t>u</w:t>
            </w:r>
            <w:r w:rsidR="00F0670B" w:rsidRPr="008921B2">
              <w:rPr>
                <w:rFonts w:ascii="Times New Roman" w:hAnsi="Times New Roman"/>
                <w:sz w:val="18"/>
                <w:szCs w:val="18"/>
              </w:rPr>
              <w:t xml:space="preserve"> </w:t>
            </w:r>
            <w:r w:rsidRPr="008921B2">
              <w:rPr>
                <w:rFonts w:ascii="Times New Roman" w:hAnsi="Times New Roman"/>
                <w:sz w:val="18"/>
                <w:szCs w:val="18"/>
              </w:rPr>
              <w:t>travail, soit parce qu’ils pensent ne pas avoir les chances d’être retenus pour un emploi.</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b/>
                <w:sz w:val="18"/>
                <w:szCs w:val="18"/>
              </w:rPr>
              <w:t>Inactifs</w:t>
            </w:r>
            <w:r w:rsidRPr="008921B2">
              <w:rPr>
                <w:rFonts w:ascii="Times New Roman" w:hAnsi="Times New Roman"/>
                <w:sz w:val="18"/>
                <w:szCs w:val="18"/>
              </w:rPr>
              <w:t> : Les inactifs désignent les personnes qui ne sont ni actifs occupés ni chômeurs. On y retrouve, les élèves/écoliers, les rentiers, les invalides.</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line="240" w:lineRule="auto"/>
              <w:rPr>
                <w:rFonts w:ascii="Times New Roman" w:hAnsi="Times New Roman"/>
                <w:sz w:val="18"/>
                <w:szCs w:val="18"/>
              </w:rPr>
            </w:pPr>
            <w:r w:rsidRPr="008921B2">
              <w:rPr>
                <w:rFonts w:ascii="Times New Roman" w:hAnsi="Times New Roman"/>
                <w:b/>
                <w:sz w:val="18"/>
                <w:szCs w:val="18"/>
              </w:rPr>
              <w:t>Emplois précaires</w:t>
            </w:r>
            <w:r w:rsidRPr="008921B2">
              <w:rPr>
                <w:rFonts w:ascii="Times New Roman" w:hAnsi="Times New Roman"/>
                <w:sz w:val="18"/>
                <w:szCs w:val="18"/>
              </w:rPr>
              <w:t> : Les travailleurs dans les emplois précaires désignent les personnes enregistré</w:t>
            </w:r>
            <w:r w:rsidR="00F0670B">
              <w:rPr>
                <w:rFonts w:ascii="Times New Roman" w:hAnsi="Times New Roman"/>
                <w:sz w:val="18"/>
                <w:szCs w:val="18"/>
              </w:rPr>
              <w:t>e</w:t>
            </w:r>
            <w:r w:rsidRPr="008921B2">
              <w:rPr>
                <w:rFonts w:ascii="Times New Roman" w:hAnsi="Times New Roman"/>
                <w:sz w:val="18"/>
                <w:szCs w:val="18"/>
              </w:rPr>
              <w:t>s comme travailleurs occasionnels, saisonniers et temporaires. Le taux d’emplois précaires s’obtient en divisant le nombre des personnes occupant des emplois précaires par le nombre total de travailleurs.</w:t>
            </w:r>
          </w:p>
          <w:p w:rsidR="002938BB" w:rsidRPr="004E39D9" w:rsidRDefault="002938BB" w:rsidP="002938BB">
            <w:pPr>
              <w:spacing w:line="240" w:lineRule="auto"/>
              <w:rPr>
                <w:rFonts w:ascii="Times New Roman" w:hAnsi="Times New Roman"/>
                <w:sz w:val="16"/>
                <w:szCs w:val="16"/>
              </w:rPr>
            </w:pPr>
          </w:p>
          <w:p w:rsidR="002938BB" w:rsidRPr="008921B2" w:rsidRDefault="002938BB" w:rsidP="002938BB">
            <w:pPr>
              <w:spacing w:after="120" w:line="240" w:lineRule="auto"/>
              <w:rPr>
                <w:rFonts w:ascii="Times New Roman" w:hAnsi="Times New Roman"/>
                <w:sz w:val="24"/>
                <w:szCs w:val="24"/>
              </w:rPr>
            </w:pPr>
            <w:r w:rsidRPr="008921B2">
              <w:rPr>
                <w:rFonts w:ascii="Times New Roman" w:hAnsi="Times New Roman"/>
                <w:b/>
                <w:sz w:val="18"/>
                <w:szCs w:val="18"/>
              </w:rPr>
              <w:t>Emplois vulnérables</w:t>
            </w:r>
            <w:r w:rsidRPr="008921B2">
              <w:rPr>
                <w:rFonts w:ascii="Times New Roman" w:hAnsi="Times New Roman"/>
                <w:sz w:val="18"/>
                <w:szCs w:val="18"/>
              </w:rPr>
              <w:t> : Concerne les personnes enregistrées en tant que travailleurs pour leur propre compte ou en tant que travailleurs familiaux non rémunérés. Le taux d’emplois vulnérables s’obtient en divisant le nombre total de travailleurs vulnérables par le nombre total des emplois.</w:t>
            </w:r>
          </w:p>
        </w:tc>
      </w:tr>
    </w:tbl>
    <w:p w:rsidR="002938BB" w:rsidRDefault="002938BB" w:rsidP="00401A60">
      <w:pPr>
        <w:spacing w:line="276" w:lineRule="auto"/>
        <w:rPr>
          <w:rFonts w:ascii="Times New Roman" w:hAnsi="Times New Roman"/>
          <w:b/>
          <w:sz w:val="20"/>
          <w:szCs w:val="20"/>
        </w:rPr>
      </w:pPr>
    </w:p>
    <w:p w:rsidR="00401A60" w:rsidRPr="004E39D9"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Entre 2006 et 2010, la force de travail de l’économie s’est accrue de 72,6% à 75,4</w:t>
      </w:r>
      <w:r w:rsidRPr="000F5425">
        <w:rPr>
          <w:rFonts w:ascii="Times New Roman" w:hAnsi="Times New Roman"/>
          <w:sz w:val="24"/>
          <w:szCs w:val="24"/>
        </w:rPr>
        <w:t>%</w:t>
      </w:r>
      <w:r>
        <w:rPr>
          <w:rFonts w:ascii="Times New Roman" w:hAnsi="Times New Roman"/>
          <w:sz w:val="24"/>
          <w:szCs w:val="24"/>
        </w:rPr>
        <w:t xml:space="preserve">. Le nombre des actifs s’élève à 2783019 en 2010. Les données montrent que le nombre de femmes actives est plus élevé que celui des hommes en 2010 (1 468 886 contre 1 314 132). Cependant, le taux d’activité des hommes est légèrement plus élevé que celui des femmes (76,5% contre 75,2%) en raison de l’effet de structure de la population béninoise au sein de laquelle les femmes sont plus nombreuses. </w:t>
      </w:r>
    </w:p>
    <w:p w:rsidR="002938BB" w:rsidRDefault="002938BB" w:rsidP="002938BB">
      <w:pPr>
        <w:contextualSpacing/>
        <w:rPr>
          <w:rFonts w:ascii="Times New Roman" w:hAnsi="Times New Roman"/>
          <w:b/>
          <w:sz w:val="12"/>
          <w:szCs w:val="12"/>
        </w:rPr>
      </w:pPr>
    </w:p>
    <w:p w:rsidR="00CC09F3" w:rsidRPr="004E39D9" w:rsidRDefault="00CC09F3" w:rsidP="002938BB">
      <w:pPr>
        <w:contextualSpacing/>
        <w:rPr>
          <w:rFonts w:ascii="Times New Roman" w:hAnsi="Times New Roman"/>
          <w:b/>
          <w:sz w:val="12"/>
          <w:szCs w:val="12"/>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9"/>
      </w:tblGrid>
      <w:tr w:rsidR="007309F4" w:rsidTr="007309F4">
        <w:trPr>
          <w:jc w:val="center"/>
        </w:trPr>
        <w:tc>
          <w:tcPr>
            <w:tcW w:w="4349" w:type="dxa"/>
            <w:shd w:val="clear" w:color="auto" w:fill="92CDDC" w:themeFill="accent5" w:themeFillTint="99"/>
          </w:tcPr>
          <w:p w:rsidR="007309F4" w:rsidRPr="007309F4" w:rsidRDefault="007309F4" w:rsidP="007309F4">
            <w:pPr>
              <w:spacing w:before="120" w:after="120" w:line="240" w:lineRule="auto"/>
              <w:ind w:left="-57"/>
              <w:jc w:val="left"/>
              <w:rPr>
                <w:rFonts w:ascii="Times New Roman" w:hAnsi="Times New Roman"/>
                <w:noProof/>
                <w:sz w:val="24"/>
                <w:szCs w:val="24"/>
                <w:lang w:eastAsia="fr-FR"/>
              </w:rPr>
            </w:pPr>
            <w:bookmarkStart w:id="151" w:name="_Toc369711215"/>
            <w:bookmarkStart w:id="152" w:name="_Toc369725227"/>
            <w:bookmarkStart w:id="153" w:name="_Toc369727715"/>
            <w:bookmarkStart w:id="154" w:name="_Toc369728027"/>
            <w:r w:rsidRPr="007309F4">
              <w:rPr>
                <w:rFonts w:ascii="Times New Roman" w:hAnsi="Times New Roman"/>
                <w:sz w:val="24"/>
                <w:szCs w:val="24"/>
              </w:rPr>
              <w:t xml:space="preserve">Graphique 5. </w:t>
            </w:r>
            <w:r w:rsidR="00182C97" w:rsidRPr="007309F4">
              <w:rPr>
                <w:rFonts w:ascii="Times New Roman" w:hAnsi="Times New Roman"/>
                <w:sz w:val="24"/>
                <w:szCs w:val="24"/>
              </w:rPr>
              <w:fldChar w:fldCharType="begin"/>
            </w:r>
            <w:r w:rsidRPr="007309F4">
              <w:rPr>
                <w:rFonts w:ascii="Times New Roman" w:hAnsi="Times New Roman"/>
                <w:sz w:val="24"/>
                <w:szCs w:val="24"/>
              </w:rPr>
              <w:instrText xml:space="preserve"> SEQ Graphique_5. \* ARABIC </w:instrText>
            </w:r>
            <w:r w:rsidR="00182C97" w:rsidRPr="007309F4">
              <w:rPr>
                <w:rFonts w:ascii="Times New Roman" w:hAnsi="Times New Roman"/>
                <w:sz w:val="24"/>
                <w:szCs w:val="24"/>
              </w:rPr>
              <w:fldChar w:fldCharType="separate"/>
            </w:r>
            <w:r w:rsidR="00AB1967">
              <w:rPr>
                <w:rFonts w:ascii="Times New Roman" w:hAnsi="Times New Roman"/>
                <w:noProof/>
                <w:sz w:val="24"/>
                <w:szCs w:val="24"/>
              </w:rPr>
              <w:t>1</w:t>
            </w:r>
            <w:r w:rsidR="00182C97" w:rsidRPr="007309F4">
              <w:rPr>
                <w:rFonts w:ascii="Times New Roman" w:hAnsi="Times New Roman"/>
                <w:sz w:val="24"/>
                <w:szCs w:val="24"/>
              </w:rPr>
              <w:fldChar w:fldCharType="end"/>
            </w:r>
            <w:r w:rsidRPr="007309F4">
              <w:rPr>
                <w:rFonts w:ascii="Times New Roman" w:hAnsi="Times New Roman"/>
                <w:sz w:val="24"/>
                <w:szCs w:val="24"/>
              </w:rPr>
              <w:t>: Évolution du taux d’activité des 15-64 ans par sexe de 2006 à 2011</w:t>
            </w:r>
            <w:bookmarkEnd w:id="151"/>
            <w:bookmarkEnd w:id="152"/>
            <w:bookmarkEnd w:id="153"/>
            <w:bookmarkEnd w:id="154"/>
          </w:p>
        </w:tc>
      </w:tr>
      <w:tr w:rsidR="002938BB" w:rsidTr="007309F4">
        <w:trPr>
          <w:jc w:val="center"/>
        </w:trPr>
        <w:tc>
          <w:tcPr>
            <w:tcW w:w="4349" w:type="dxa"/>
            <w:shd w:val="clear" w:color="auto" w:fill="DAEEF3" w:themeFill="accent5" w:themeFillTint="33"/>
          </w:tcPr>
          <w:p w:rsidR="002938BB" w:rsidRDefault="002938BB" w:rsidP="00F31F3C">
            <w:pPr>
              <w:spacing w:before="120" w:after="120" w:line="240" w:lineRule="auto"/>
              <w:ind w:left="-57"/>
              <w:jc w:val="center"/>
            </w:pPr>
            <w:r w:rsidRPr="002938BB">
              <w:rPr>
                <w:noProof/>
                <w:lang w:eastAsia="fr-FR"/>
              </w:rPr>
              <w:drawing>
                <wp:inline distT="0" distB="0" distL="0" distR="0" wp14:anchorId="704895F3" wp14:editId="2BAD723B">
                  <wp:extent cx="5442995" cy="2401308"/>
                  <wp:effectExtent l="19050" t="0" r="24355" b="0"/>
                  <wp:docPr id="6"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2938BB" w:rsidRPr="007D538D" w:rsidTr="007309F4">
        <w:trPr>
          <w:jc w:val="center"/>
        </w:trPr>
        <w:tc>
          <w:tcPr>
            <w:tcW w:w="4349" w:type="dxa"/>
            <w:shd w:val="clear" w:color="auto" w:fill="DAEEF3" w:themeFill="accent5" w:themeFillTint="33"/>
          </w:tcPr>
          <w:p w:rsidR="002938BB" w:rsidRPr="007D538D" w:rsidRDefault="002938BB" w:rsidP="002938BB">
            <w:pPr>
              <w:keepNext/>
              <w:keepLines/>
              <w:spacing w:line="240" w:lineRule="auto"/>
              <w:rPr>
                <w:rFonts w:ascii="Times New Roman" w:hAnsi="Times New Roman"/>
              </w:rPr>
            </w:pPr>
            <w:r w:rsidRPr="007D538D">
              <w:rPr>
                <w:rFonts w:ascii="Times New Roman" w:hAnsi="Times New Roman"/>
              </w:rPr>
              <w:t>Source : INSAE, EMICoV</w:t>
            </w:r>
            <w:r>
              <w:rPr>
                <w:rFonts w:ascii="Times New Roman" w:hAnsi="Times New Roman"/>
              </w:rPr>
              <w:t xml:space="preserve">2006, 2007, 2009 et </w:t>
            </w:r>
            <w:r w:rsidRPr="007D538D">
              <w:rPr>
                <w:rFonts w:ascii="Times New Roman" w:hAnsi="Times New Roman"/>
              </w:rPr>
              <w:t>201</w:t>
            </w:r>
            <w:r>
              <w:rPr>
                <w:rFonts w:ascii="Times New Roman" w:hAnsi="Times New Roman"/>
              </w:rPr>
              <w:t>1</w:t>
            </w:r>
          </w:p>
        </w:tc>
      </w:tr>
    </w:tbl>
    <w:p w:rsidR="002938BB" w:rsidRPr="004E39D9" w:rsidRDefault="002938BB" w:rsidP="002938BB">
      <w:pPr>
        <w:rPr>
          <w:sz w:val="24"/>
          <w:szCs w:val="24"/>
        </w:rPr>
      </w:pPr>
    </w:p>
    <w:p w:rsidR="00401A60" w:rsidRPr="008207A4" w:rsidRDefault="009E3D3A" w:rsidP="00401A60">
      <w:pPr>
        <w:spacing w:line="276" w:lineRule="auto"/>
        <w:rPr>
          <w:rFonts w:ascii="Times New Roman" w:hAnsi="Times New Roman"/>
          <w:b/>
          <w:sz w:val="24"/>
          <w:szCs w:val="24"/>
        </w:rPr>
      </w:pPr>
      <w:r>
        <w:rPr>
          <w:rFonts w:ascii="Times New Roman" w:hAnsi="Times New Roman"/>
          <w:b/>
          <w:sz w:val="24"/>
          <w:szCs w:val="24"/>
        </w:rPr>
        <w:t>5</w:t>
      </w:r>
      <w:r w:rsidR="00401A60">
        <w:rPr>
          <w:rFonts w:ascii="Times New Roman" w:hAnsi="Times New Roman"/>
          <w:b/>
          <w:sz w:val="24"/>
          <w:szCs w:val="24"/>
        </w:rPr>
        <w:t>.2</w:t>
      </w:r>
      <w:r w:rsidR="00401A60" w:rsidRPr="008207A4">
        <w:rPr>
          <w:rFonts w:ascii="Times New Roman" w:hAnsi="Times New Roman"/>
          <w:b/>
          <w:sz w:val="24"/>
          <w:szCs w:val="24"/>
        </w:rPr>
        <w:t>.</w:t>
      </w:r>
      <w:r w:rsidR="00401A60">
        <w:rPr>
          <w:rFonts w:ascii="Times New Roman" w:hAnsi="Times New Roman"/>
          <w:b/>
          <w:sz w:val="24"/>
          <w:szCs w:val="24"/>
        </w:rPr>
        <w:t>2</w:t>
      </w:r>
      <w:r w:rsidR="00172E34">
        <w:rPr>
          <w:rFonts w:ascii="Times New Roman" w:hAnsi="Times New Roman"/>
          <w:b/>
          <w:sz w:val="24"/>
          <w:szCs w:val="24"/>
        </w:rPr>
        <w:t xml:space="preserve"> </w:t>
      </w:r>
      <w:r w:rsidR="00401A60" w:rsidRPr="008207A4">
        <w:rPr>
          <w:rFonts w:ascii="Times New Roman" w:hAnsi="Times New Roman"/>
          <w:b/>
          <w:sz w:val="24"/>
          <w:szCs w:val="24"/>
        </w:rPr>
        <w:t xml:space="preserve">Population active et population </w:t>
      </w:r>
      <w:r w:rsidR="00744E9A">
        <w:rPr>
          <w:rFonts w:ascii="Times New Roman" w:hAnsi="Times New Roman"/>
          <w:b/>
          <w:sz w:val="24"/>
          <w:szCs w:val="24"/>
        </w:rPr>
        <w:t>active occupée au Bénin en 2010</w:t>
      </w:r>
    </w:p>
    <w:p w:rsidR="00401A60" w:rsidRDefault="00401A60" w:rsidP="00401A60">
      <w:pPr>
        <w:spacing w:line="240" w:lineRule="auto"/>
        <w:rPr>
          <w:rFonts w:ascii="Times New Roman" w:hAnsi="Times New Roman"/>
          <w:sz w:val="24"/>
          <w:szCs w:val="24"/>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En 2010</w:t>
      </w:r>
      <w:r w:rsidRPr="000F5425">
        <w:rPr>
          <w:rFonts w:ascii="Times New Roman" w:hAnsi="Times New Roman"/>
          <w:sz w:val="24"/>
          <w:szCs w:val="24"/>
        </w:rPr>
        <w:t xml:space="preserve">, </w:t>
      </w:r>
      <w:r>
        <w:rPr>
          <w:rFonts w:ascii="Times New Roman" w:hAnsi="Times New Roman"/>
          <w:sz w:val="24"/>
          <w:szCs w:val="24"/>
        </w:rPr>
        <w:t xml:space="preserve">le taux d’activité a été plus élevé en milieu rural (79,1%) qu’en milieu urbain (70,4%). L’analyse du taux d’activité selon le sexe indique que, que ce soit en milieu urbain ou en milieu rural, le taux d’activité des hommes est légèrement plus élevé que celui des femmes (71,2% contre 69,7% en milieu urbain) et (79,9% contre 78,4% en milieu rural). </w:t>
      </w:r>
    </w:p>
    <w:p w:rsidR="002938BB" w:rsidRPr="004E39D9" w:rsidRDefault="002938BB" w:rsidP="002938BB">
      <w:pPr>
        <w:spacing w:line="276" w:lineRule="auto"/>
        <w:rPr>
          <w:rFonts w:ascii="Times New Roman" w:hAnsi="Times New Roman"/>
          <w:sz w:val="12"/>
          <w:szCs w:val="12"/>
        </w:rPr>
      </w:pPr>
    </w:p>
    <w:p w:rsidR="00D433D8" w:rsidRDefault="004E39D9" w:rsidP="004E39D9">
      <w:pPr>
        <w:spacing w:line="276" w:lineRule="auto"/>
        <w:rPr>
          <w:rFonts w:ascii="Times New Roman" w:hAnsi="Times New Roman"/>
          <w:sz w:val="24"/>
          <w:szCs w:val="24"/>
        </w:rPr>
      </w:pPr>
      <w:r>
        <w:rPr>
          <w:rFonts w:ascii="Times New Roman" w:hAnsi="Times New Roman"/>
          <w:sz w:val="24"/>
          <w:szCs w:val="24"/>
        </w:rPr>
        <w:t>Lorsque l’on regarde comment évolue le taux d’activité selon le sexe et le milieu de résidence, il ressort que 86,3% des femmes n’ayant aucun niveau d’instruction appartiennent à la population active en milieu urbain contre 43% pour les hommes. Cependant, au niveau supérieur, la tendance s’inverse en faveur des hommes. En  effet, 84% environ des hommes de niveau supérieur, résidant en milieu urbain appartiennent à la population active contre 37% pour les femmes. Compte tenu des difficultés socioculturelles d’accès à l’éducation et de quelques caractéristiques propres aux femmes, beaucoup d’entre elles n’arrivent pas à atteindre des niveaux d’instruction élevés.</w:t>
      </w:r>
    </w:p>
    <w:p w:rsidR="004E39D9" w:rsidRPr="00D433D8" w:rsidRDefault="004E39D9" w:rsidP="004E39D9">
      <w:pPr>
        <w:spacing w:line="276" w:lineRule="auto"/>
        <w:rPr>
          <w:rFonts w:ascii="Times New Roman" w:hAnsi="Times New Roman"/>
          <w:sz w:val="12"/>
          <w:szCs w:val="12"/>
        </w:rPr>
      </w:pPr>
    </w:p>
    <w:tbl>
      <w:tblPr>
        <w:tblW w:w="8906" w:type="dxa"/>
        <w:tblInd w:w="93" w:type="dxa"/>
        <w:tblLook w:val="04A0" w:firstRow="1" w:lastRow="0" w:firstColumn="1" w:lastColumn="0" w:noHBand="0" w:noVBand="1"/>
      </w:tblPr>
      <w:tblGrid>
        <w:gridCol w:w="3799"/>
        <w:gridCol w:w="2442"/>
        <w:gridCol w:w="2665"/>
      </w:tblGrid>
      <w:tr w:rsidR="007D1F47" w:rsidRPr="007D1F47" w:rsidTr="007D1F47">
        <w:trPr>
          <w:trHeight w:val="353"/>
        </w:trPr>
        <w:tc>
          <w:tcPr>
            <w:tcW w:w="8906" w:type="dxa"/>
            <w:gridSpan w:val="3"/>
            <w:tcBorders>
              <w:left w:val="nil"/>
              <w:bottom w:val="double" w:sz="4" w:space="0" w:color="auto"/>
              <w:right w:val="nil"/>
            </w:tcBorders>
            <w:shd w:val="clear" w:color="auto" w:fill="92CDDC" w:themeFill="accent5" w:themeFillTint="99"/>
            <w:noWrap/>
            <w:vAlign w:val="bottom"/>
            <w:hideMark/>
          </w:tcPr>
          <w:p w:rsidR="007D1F47" w:rsidRPr="007D1F47" w:rsidRDefault="007D1F47" w:rsidP="007D1F47">
            <w:pPr>
              <w:spacing w:line="240" w:lineRule="auto"/>
              <w:jc w:val="left"/>
              <w:rPr>
                <w:rFonts w:ascii="Times New Roman" w:eastAsia="Times New Roman" w:hAnsi="Times New Roman"/>
                <w:bCs/>
                <w:sz w:val="24"/>
                <w:szCs w:val="24"/>
              </w:rPr>
            </w:pPr>
            <w:bookmarkStart w:id="155" w:name="_Toc369714515"/>
            <w:bookmarkStart w:id="156" w:name="_Toc373430440"/>
            <w:r w:rsidRPr="007D1F47">
              <w:rPr>
                <w:rFonts w:ascii="Times New Roman" w:hAnsi="Times New Roman"/>
                <w:sz w:val="24"/>
                <w:szCs w:val="24"/>
              </w:rPr>
              <w:t xml:space="preserve">Tableau 5. </w:t>
            </w:r>
            <w:r w:rsidR="00182C97" w:rsidRPr="007D1F47">
              <w:rPr>
                <w:rFonts w:ascii="Times New Roman" w:hAnsi="Times New Roman"/>
                <w:sz w:val="24"/>
                <w:szCs w:val="24"/>
              </w:rPr>
              <w:fldChar w:fldCharType="begin"/>
            </w:r>
            <w:r w:rsidRPr="007D1F47">
              <w:rPr>
                <w:rFonts w:ascii="Times New Roman" w:hAnsi="Times New Roman"/>
                <w:sz w:val="24"/>
                <w:szCs w:val="24"/>
              </w:rPr>
              <w:instrText xml:space="preserve"> SEQ Tableau_5. \* ARABIC </w:instrText>
            </w:r>
            <w:r w:rsidR="00182C97" w:rsidRPr="007D1F47">
              <w:rPr>
                <w:rFonts w:ascii="Times New Roman" w:hAnsi="Times New Roman"/>
                <w:sz w:val="24"/>
                <w:szCs w:val="24"/>
              </w:rPr>
              <w:fldChar w:fldCharType="separate"/>
            </w:r>
            <w:r w:rsidR="00AB1967">
              <w:rPr>
                <w:rFonts w:ascii="Times New Roman" w:hAnsi="Times New Roman"/>
                <w:noProof/>
                <w:sz w:val="24"/>
                <w:szCs w:val="24"/>
              </w:rPr>
              <w:t>1</w:t>
            </w:r>
            <w:r w:rsidR="00182C97" w:rsidRPr="007D1F47">
              <w:rPr>
                <w:rFonts w:ascii="Times New Roman" w:hAnsi="Times New Roman"/>
                <w:sz w:val="24"/>
                <w:szCs w:val="24"/>
              </w:rPr>
              <w:fldChar w:fldCharType="end"/>
            </w:r>
            <w:r w:rsidRPr="007D1F47">
              <w:rPr>
                <w:rFonts w:ascii="Times New Roman" w:hAnsi="Times New Roman"/>
                <w:sz w:val="24"/>
                <w:szCs w:val="24"/>
              </w:rPr>
              <w:t>: Répartition de la population active selon la zone de résidence en 2010</w:t>
            </w:r>
            <w:bookmarkEnd w:id="155"/>
            <w:bookmarkEnd w:id="156"/>
          </w:p>
        </w:tc>
      </w:tr>
      <w:tr w:rsidR="002938BB" w:rsidRPr="005619CC" w:rsidTr="007D1F47">
        <w:trPr>
          <w:trHeight w:val="559"/>
        </w:trPr>
        <w:tc>
          <w:tcPr>
            <w:tcW w:w="3799" w:type="dxa"/>
            <w:tcBorders>
              <w:top w:val="double" w:sz="4" w:space="0" w:color="auto"/>
              <w:left w:val="nil"/>
              <w:bottom w:val="single" w:sz="4" w:space="0" w:color="auto"/>
              <w:right w:val="nil"/>
            </w:tcBorders>
            <w:shd w:val="clear" w:color="auto" w:fill="DAEEF3" w:themeFill="accent5" w:themeFillTint="33"/>
            <w:noWrap/>
            <w:vAlign w:val="bottom"/>
            <w:hideMark/>
          </w:tcPr>
          <w:p w:rsidR="002938BB" w:rsidRPr="005619CC" w:rsidRDefault="002938BB" w:rsidP="00F31F3C">
            <w:pPr>
              <w:spacing w:line="240" w:lineRule="auto"/>
              <w:jc w:val="center"/>
              <w:rPr>
                <w:rFonts w:ascii="Arial" w:eastAsia="Times New Roman" w:hAnsi="Arial" w:cs="Arial"/>
                <w:sz w:val="20"/>
                <w:szCs w:val="20"/>
              </w:rPr>
            </w:pPr>
          </w:p>
        </w:tc>
        <w:tc>
          <w:tcPr>
            <w:tcW w:w="2442" w:type="dxa"/>
            <w:tcBorders>
              <w:top w:val="double" w:sz="4" w:space="0" w:color="auto"/>
              <w:left w:val="nil"/>
              <w:bottom w:val="single" w:sz="4" w:space="0" w:color="auto"/>
              <w:right w:val="nil"/>
            </w:tcBorders>
            <w:shd w:val="clear" w:color="auto" w:fill="DAEEF3" w:themeFill="accent5" w:themeFillTint="33"/>
            <w:vAlign w:val="center"/>
            <w:hideMark/>
          </w:tcPr>
          <w:p w:rsidR="002938BB" w:rsidRPr="00C5668C" w:rsidRDefault="002938BB" w:rsidP="00F31F3C">
            <w:pPr>
              <w:spacing w:line="240" w:lineRule="auto"/>
              <w:rPr>
                <w:rFonts w:ascii="Times New Roman" w:eastAsia="Times New Roman" w:hAnsi="Times New Roman"/>
                <w:bCs/>
                <w:sz w:val="24"/>
                <w:szCs w:val="24"/>
              </w:rPr>
            </w:pPr>
            <w:r w:rsidRPr="00C5668C">
              <w:rPr>
                <w:rFonts w:ascii="Times New Roman" w:eastAsia="Times New Roman" w:hAnsi="Times New Roman"/>
                <w:bCs/>
                <w:sz w:val="24"/>
                <w:szCs w:val="24"/>
              </w:rPr>
              <w:t>Pop. Active strict (%)</w:t>
            </w:r>
          </w:p>
        </w:tc>
        <w:tc>
          <w:tcPr>
            <w:tcW w:w="2665" w:type="dxa"/>
            <w:tcBorders>
              <w:top w:val="double" w:sz="4" w:space="0" w:color="auto"/>
              <w:left w:val="nil"/>
              <w:bottom w:val="single" w:sz="4" w:space="0" w:color="auto"/>
              <w:right w:val="nil"/>
            </w:tcBorders>
            <w:shd w:val="clear" w:color="auto" w:fill="DAEEF3" w:themeFill="accent5" w:themeFillTint="33"/>
            <w:vAlign w:val="center"/>
            <w:hideMark/>
          </w:tcPr>
          <w:p w:rsidR="002938BB" w:rsidRPr="00C5668C" w:rsidRDefault="002938BB" w:rsidP="00F31F3C">
            <w:pPr>
              <w:spacing w:line="240" w:lineRule="auto"/>
              <w:rPr>
                <w:rFonts w:ascii="Times New Roman" w:eastAsia="Times New Roman" w:hAnsi="Times New Roman"/>
                <w:bCs/>
                <w:sz w:val="24"/>
                <w:szCs w:val="24"/>
              </w:rPr>
            </w:pPr>
            <w:r>
              <w:rPr>
                <w:rFonts w:ascii="Times New Roman" w:eastAsia="Times New Roman" w:hAnsi="Times New Roman"/>
                <w:bCs/>
                <w:sz w:val="24"/>
                <w:szCs w:val="24"/>
              </w:rPr>
              <w:t>Ratio pop/</w:t>
            </w:r>
            <w:r w:rsidRPr="00C5668C">
              <w:rPr>
                <w:rFonts w:ascii="Times New Roman" w:eastAsia="Times New Roman" w:hAnsi="Times New Roman"/>
                <w:bCs/>
                <w:sz w:val="24"/>
                <w:szCs w:val="24"/>
              </w:rPr>
              <w:t>emploi (%)</w:t>
            </w:r>
          </w:p>
        </w:tc>
      </w:tr>
      <w:tr w:rsidR="002938BB" w:rsidRPr="005619CC" w:rsidTr="00744E9A">
        <w:trPr>
          <w:trHeight w:val="289"/>
        </w:trPr>
        <w:tc>
          <w:tcPr>
            <w:tcW w:w="3799" w:type="dxa"/>
            <w:tcBorders>
              <w:top w:val="single" w:sz="4" w:space="0" w:color="auto"/>
              <w:left w:val="nil"/>
              <w:bottom w:val="nil"/>
              <w:right w:val="nil"/>
            </w:tcBorders>
            <w:shd w:val="clear" w:color="auto" w:fill="DAEEF3" w:themeFill="accent5" w:themeFillTint="33"/>
            <w:noWrap/>
            <w:hideMark/>
          </w:tcPr>
          <w:p w:rsidR="002938BB" w:rsidRPr="00C5668C" w:rsidRDefault="002938BB" w:rsidP="00F31F3C">
            <w:pPr>
              <w:spacing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U</w:t>
            </w:r>
            <w:r w:rsidRPr="00C5668C">
              <w:rPr>
                <w:rFonts w:ascii="Times New Roman" w:eastAsia="Times New Roman" w:hAnsi="Times New Roman"/>
                <w:color w:val="000000"/>
                <w:sz w:val="24"/>
                <w:szCs w:val="24"/>
              </w:rPr>
              <w:t>rbain</w:t>
            </w:r>
          </w:p>
        </w:tc>
        <w:tc>
          <w:tcPr>
            <w:tcW w:w="2442" w:type="dxa"/>
            <w:tcBorders>
              <w:top w:val="single" w:sz="4" w:space="0" w:color="auto"/>
              <w:left w:val="nil"/>
              <w:bottom w:val="nil"/>
              <w:right w:val="nil"/>
            </w:tcBorders>
            <w:shd w:val="clear" w:color="auto" w:fill="DAEEF3" w:themeFill="accent5" w:themeFillTint="33"/>
            <w:noWrap/>
            <w:vAlign w:val="center"/>
            <w:hideMark/>
          </w:tcPr>
          <w:p w:rsidR="002938BB" w:rsidRPr="00A17F3E" w:rsidRDefault="002938BB" w:rsidP="00744E9A">
            <w:pPr>
              <w:spacing w:line="240" w:lineRule="auto"/>
              <w:jc w:val="center"/>
              <w:rPr>
                <w:rFonts w:ascii="Times New Roman" w:eastAsia="Times New Roman" w:hAnsi="Times New Roman"/>
                <w:color w:val="000000"/>
                <w:sz w:val="24"/>
                <w:szCs w:val="24"/>
              </w:rPr>
            </w:pPr>
            <w:r w:rsidRPr="00A17F3E">
              <w:rPr>
                <w:rFonts w:ascii="Times New Roman" w:eastAsia="Times New Roman" w:hAnsi="Times New Roman"/>
                <w:color w:val="000000"/>
                <w:sz w:val="24"/>
                <w:szCs w:val="24"/>
              </w:rPr>
              <w:t>70,4</w:t>
            </w:r>
          </w:p>
        </w:tc>
        <w:tc>
          <w:tcPr>
            <w:tcW w:w="2665" w:type="dxa"/>
            <w:tcBorders>
              <w:top w:val="single" w:sz="4" w:space="0" w:color="auto"/>
              <w:left w:val="nil"/>
              <w:bottom w:val="nil"/>
              <w:right w:val="nil"/>
            </w:tcBorders>
            <w:shd w:val="clear" w:color="auto" w:fill="DAEEF3" w:themeFill="accent5" w:themeFillTint="33"/>
            <w:noWrap/>
            <w:vAlign w:val="center"/>
            <w:hideMark/>
          </w:tcPr>
          <w:p w:rsidR="002938BB" w:rsidRPr="00A17F3E" w:rsidRDefault="002938BB" w:rsidP="00744E9A">
            <w:pPr>
              <w:spacing w:line="240" w:lineRule="auto"/>
              <w:jc w:val="center"/>
              <w:rPr>
                <w:rFonts w:ascii="Times New Roman" w:eastAsia="Times New Roman" w:hAnsi="Times New Roman"/>
                <w:color w:val="000000"/>
                <w:sz w:val="24"/>
                <w:szCs w:val="24"/>
              </w:rPr>
            </w:pPr>
            <w:r w:rsidRPr="00A17F3E">
              <w:rPr>
                <w:rFonts w:ascii="Times New Roman" w:eastAsia="Times New Roman" w:hAnsi="Times New Roman"/>
                <w:color w:val="000000"/>
                <w:sz w:val="24"/>
                <w:szCs w:val="24"/>
              </w:rPr>
              <w:t>69,7</w:t>
            </w:r>
          </w:p>
        </w:tc>
      </w:tr>
      <w:tr w:rsidR="002938BB" w:rsidRPr="005619CC" w:rsidTr="00744E9A">
        <w:trPr>
          <w:trHeight w:val="336"/>
        </w:trPr>
        <w:tc>
          <w:tcPr>
            <w:tcW w:w="3799" w:type="dxa"/>
            <w:tcBorders>
              <w:top w:val="nil"/>
              <w:left w:val="nil"/>
              <w:right w:val="nil"/>
            </w:tcBorders>
            <w:shd w:val="clear" w:color="auto" w:fill="DAEEF3" w:themeFill="accent5" w:themeFillTint="33"/>
            <w:noWrap/>
            <w:hideMark/>
          </w:tcPr>
          <w:p w:rsidR="002938BB" w:rsidRPr="00C5668C" w:rsidRDefault="002938BB" w:rsidP="00F31F3C">
            <w:pPr>
              <w:spacing w:line="240" w:lineRule="auto"/>
              <w:rPr>
                <w:rFonts w:ascii="Times New Roman" w:eastAsia="Times New Roman" w:hAnsi="Times New Roman"/>
                <w:color w:val="000000"/>
                <w:sz w:val="24"/>
                <w:szCs w:val="24"/>
              </w:rPr>
            </w:pPr>
            <w:r w:rsidRPr="00C5668C">
              <w:rPr>
                <w:rFonts w:ascii="Times New Roman" w:eastAsia="Times New Roman" w:hAnsi="Times New Roman"/>
                <w:color w:val="000000"/>
                <w:sz w:val="24"/>
                <w:szCs w:val="24"/>
              </w:rPr>
              <w:t>Rural</w:t>
            </w:r>
          </w:p>
        </w:tc>
        <w:tc>
          <w:tcPr>
            <w:tcW w:w="2442" w:type="dxa"/>
            <w:tcBorders>
              <w:top w:val="nil"/>
              <w:left w:val="nil"/>
              <w:right w:val="nil"/>
            </w:tcBorders>
            <w:shd w:val="clear" w:color="auto" w:fill="DAEEF3" w:themeFill="accent5" w:themeFillTint="33"/>
            <w:noWrap/>
            <w:vAlign w:val="center"/>
            <w:hideMark/>
          </w:tcPr>
          <w:p w:rsidR="002938BB" w:rsidRPr="00A17F3E" w:rsidRDefault="002938BB" w:rsidP="00744E9A">
            <w:pPr>
              <w:spacing w:line="240" w:lineRule="auto"/>
              <w:jc w:val="center"/>
              <w:rPr>
                <w:rFonts w:ascii="Times New Roman" w:eastAsia="Times New Roman" w:hAnsi="Times New Roman"/>
                <w:color w:val="000000"/>
                <w:sz w:val="24"/>
                <w:szCs w:val="24"/>
              </w:rPr>
            </w:pPr>
            <w:r w:rsidRPr="00A17F3E">
              <w:rPr>
                <w:rFonts w:ascii="Times New Roman" w:eastAsia="Times New Roman" w:hAnsi="Times New Roman"/>
                <w:color w:val="000000"/>
                <w:sz w:val="24"/>
                <w:szCs w:val="24"/>
              </w:rPr>
              <w:t>79,1</w:t>
            </w:r>
          </w:p>
        </w:tc>
        <w:tc>
          <w:tcPr>
            <w:tcW w:w="2665" w:type="dxa"/>
            <w:tcBorders>
              <w:top w:val="nil"/>
              <w:left w:val="nil"/>
              <w:right w:val="nil"/>
            </w:tcBorders>
            <w:shd w:val="clear" w:color="auto" w:fill="DAEEF3" w:themeFill="accent5" w:themeFillTint="33"/>
            <w:noWrap/>
            <w:vAlign w:val="center"/>
            <w:hideMark/>
          </w:tcPr>
          <w:p w:rsidR="002938BB" w:rsidRPr="00A17F3E" w:rsidRDefault="002938BB" w:rsidP="00744E9A">
            <w:pPr>
              <w:spacing w:line="240" w:lineRule="auto"/>
              <w:jc w:val="center"/>
              <w:rPr>
                <w:rFonts w:ascii="Times New Roman" w:eastAsia="Times New Roman" w:hAnsi="Times New Roman"/>
                <w:color w:val="000000"/>
                <w:sz w:val="24"/>
                <w:szCs w:val="24"/>
              </w:rPr>
            </w:pPr>
            <w:r w:rsidRPr="00A17F3E">
              <w:rPr>
                <w:rFonts w:ascii="Times New Roman" w:eastAsia="Times New Roman" w:hAnsi="Times New Roman"/>
                <w:color w:val="000000"/>
                <w:sz w:val="24"/>
                <w:szCs w:val="24"/>
              </w:rPr>
              <w:t>79,0</w:t>
            </w:r>
          </w:p>
        </w:tc>
      </w:tr>
      <w:tr w:rsidR="002938BB" w:rsidRPr="005619CC" w:rsidTr="00744E9A">
        <w:trPr>
          <w:trHeight w:val="289"/>
        </w:trPr>
        <w:tc>
          <w:tcPr>
            <w:tcW w:w="3799" w:type="dxa"/>
            <w:tcBorders>
              <w:top w:val="nil"/>
              <w:left w:val="nil"/>
              <w:bottom w:val="double" w:sz="4" w:space="0" w:color="auto"/>
              <w:right w:val="nil"/>
            </w:tcBorders>
            <w:shd w:val="clear" w:color="auto" w:fill="DAEEF3" w:themeFill="accent5" w:themeFillTint="33"/>
            <w:noWrap/>
            <w:vAlign w:val="bottom"/>
            <w:hideMark/>
          </w:tcPr>
          <w:p w:rsidR="002938BB" w:rsidRPr="00A17F3E" w:rsidRDefault="002938BB" w:rsidP="00F31F3C">
            <w:pPr>
              <w:spacing w:line="240" w:lineRule="auto"/>
              <w:rPr>
                <w:rFonts w:ascii="Times New Roman" w:eastAsia="Times New Roman" w:hAnsi="Times New Roman"/>
                <w:b/>
                <w:bCs/>
                <w:sz w:val="24"/>
                <w:szCs w:val="24"/>
              </w:rPr>
            </w:pPr>
            <w:r w:rsidRPr="00A17F3E">
              <w:rPr>
                <w:rFonts w:ascii="Times New Roman" w:eastAsia="Times New Roman" w:hAnsi="Times New Roman"/>
                <w:b/>
                <w:bCs/>
                <w:sz w:val="24"/>
                <w:szCs w:val="24"/>
              </w:rPr>
              <w:t>Total</w:t>
            </w:r>
          </w:p>
        </w:tc>
        <w:tc>
          <w:tcPr>
            <w:tcW w:w="2442" w:type="dxa"/>
            <w:tcBorders>
              <w:top w:val="nil"/>
              <w:left w:val="nil"/>
              <w:bottom w:val="double" w:sz="4" w:space="0" w:color="auto"/>
              <w:right w:val="nil"/>
            </w:tcBorders>
            <w:shd w:val="clear" w:color="auto" w:fill="DAEEF3" w:themeFill="accent5" w:themeFillTint="33"/>
            <w:noWrap/>
            <w:vAlign w:val="center"/>
            <w:hideMark/>
          </w:tcPr>
          <w:p w:rsidR="002938BB" w:rsidRPr="00A17F3E" w:rsidRDefault="002938BB" w:rsidP="00744E9A">
            <w:pPr>
              <w:spacing w:line="240" w:lineRule="auto"/>
              <w:jc w:val="center"/>
              <w:rPr>
                <w:rFonts w:ascii="Times New Roman" w:eastAsia="Times New Roman" w:hAnsi="Times New Roman"/>
                <w:b/>
                <w:bCs/>
                <w:color w:val="000000"/>
                <w:sz w:val="24"/>
                <w:szCs w:val="24"/>
              </w:rPr>
            </w:pPr>
            <w:r w:rsidRPr="00A17F3E">
              <w:rPr>
                <w:rFonts w:ascii="Times New Roman" w:eastAsia="Times New Roman" w:hAnsi="Times New Roman"/>
                <w:b/>
                <w:bCs/>
                <w:color w:val="000000"/>
                <w:sz w:val="24"/>
                <w:szCs w:val="24"/>
              </w:rPr>
              <w:t>75,2</w:t>
            </w:r>
          </w:p>
        </w:tc>
        <w:tc>
          <w:tcPr>
            <w:tcW w:w="2665" w:type="dxa"/>
            <w:tcBorders>
              <w:top w:val="nil"/>
              <w:left w:val="nil"/>
              <w:bottom w:val="double" w:sz="4" w:space="0" w:color="auto"/>
              <w:right w:val="nil"/>
            </w:tcBorders>
            <w:shd w:val="clear" w:color="auto" w:fill="DAEEF3" w:themeFill="accent5" w:themeFillTint="33"/>
            <w:noWrap/>
            <w:vAlign w:val="center"/>
            <w:hideMark/>
          </w:tcPr>
          <w:p w:rsidR="002938BB" w:rsidRPr="00A17F3E" w:rsidRDefault="002938BB" w:rsidP="00744E9A">
            <w:pPr>
              <w:spacing w:line="240" w:lineRule="auto"/>
              <w:jc w:val="center"/>
              <w:rPr>
                <w:rFonts w:ascii="Times New Roman" w:eastAsia="Times New Roman" w:hAnsi="Times New Roman"/>
                <w:b/>
                <w:bCs/>
                <w:color w:val="000000"/>
                <w:sz w:val="24"/>
                <w:szCs w:val="24"/>
              </w:rPr>
            </w:pPr>
            <w:r w:rsidRPr="00A17F3E">
              <w:rPr>
                <w:rFonts w:ascii="Times New Roman" w:eastAsia="Times New Roman" w:hAnsi="Times New Roman"/>
                <w:b/>
                <w:bCs/>
                <w:color w:val="000000"/>
                <w:sz w:val="24"/>
                <w:szCs w:val="24"/>
              </w:rPr>
              <w:t>74,8</w:t>
            </w:r>
          </w:p>
        </w:tc>
      </w:tr>
      <w:tr w:rsidR="002938BB" w:rsidRPr="005619CC" w:rsidTr="00F31F3C">
        <w:trPr>
          <w:trHeight w:val="274"/>
        </w:trPr>
        <w:tc>
          <w:tcPr>
            <w:tcW w:w="8906" w:type="dxa"/>
            <w:gridSpan w:val="3"/>
            <w:tcBorders>
              <w:top w:val="double" w:sz="4" w:space="0" w:color="auto"/>
              <w:left w:val="nil"/>
              <w:right w:val="nil"/>
            </w:tcBorders>
            <w:shd w:val="clear" w:color="auto" w:fill="DAEEF3" w:themeFill="accent5" w:themeFillTint="33"/>
            <w:noWrap/>
            <w:vAlign w:val="bottom"/>
            <w:hideMark/>
          </w:tcPr>
          <w:p w:rsidR="002938BB" w:rsidRPr="007D538D" w:rsidRDefault="002938BB" w:rsidP="00F31F3C">
            <w:pPr>
              <w:spacing w:line="240" w:lineRule="auto"/>
              <w:contextualSpacing/>
              <w:rPr>
                <w:rFonts w:ascii="Times New Roman" w:hAnsi="Times New Roman"/>
              </w:rPr>
            </w:pPr>
            <w:r w:rsidRPr="007D538D">
              <w:rPr>
                <w:rFonts w:ascii="Times New Roman" w:hAnsi="Times New Roman"/>
              </w:rPr>
              <w:t>Source : INSAE, EMICoV 2010</w:t>
            </w:r>
          </w:p>
        </w:tc>
      </w:tr>
    </w:tbl>
    <w:p w:rsidR="002938BB" w:rsidRPr="00F20651" w:rsidRDefault="002938BB" w:rsidP="002938BB">
      <w:pPr>
        <w:spacing w:line="240" w:lineRule="auto"/>
        <w:rPr>
          <w:rFonts w:ascii="Times New Roman" w:eastAsia="Times New Roman" w:hAnsi="Times New Roman"/>
          <w:bCs/>
          <w:sz w:val="24"/>
          <w:szCs w:val="24"/>
        </w:rPr>
      </w:pPr>
    </w:p>
    <w:p w:rsidR="002938BB" w:rsidRPr="004E39D9" w:rsidRDefault="002938BB">
      <w:pPr>
        <w:spacing w:line="276" w:lineRule="auto"/>
        <w:rPr>
          <w:rFonts w:ascii="Times New Roman" w:hAnsi="Times New Roman"/>
          <w:sz w:val="12"/>
          <w:szCs w:val="12"/>
        </w:rPr>
      </w:pPr>
    </w:p>
    <w:p w:rsidR="004E39D9" w:rsidRDefault="00401A60">
      <w:pPr>
        <w:spacing w:line="276" w:lineRule="auto"/>
        <w:rPr>
          <w:rFonts w:ascii="Times New Roman" w:hAnsi="Times New Roman"/>
          <w:sz w:val="24"/>
          <w:szCs w:val="24"/>
        </w:rPr>
      </w:pPr>
      <w:r w:rsidRPr="00152DFB">
        <w:rPr>
          <w:rFonts w:ascii="Times New Roman" w:hAnsi="Times New Roman"/>
          <w:sz w:val="24"/>
          <w:szCs w:val="24"/>
        </w:rPr>
        <w:t>Au Bénin</w:t>
      </w:r>
      <w:r>
        <w:rPr>
          <w:rFonts w:ascii="Times New Roman" w:hAnsi="Times New Roman"/>
          <w:sz w:val="24"/>
          <w:szCs w:val="24"/>
        </w:rPr>
        <w:t>,</w:t>
      </w:r>
      <w:r w:rsidR="009920CB">
        <w:rPr>
          <w:rFonts w:ascii="Times New Roman" w:hAnsi="Times New Roman"/>
          <w:sz w:val="24"/>
          <w:szCs w:val="24"/>
        </w:rPr>
        <w:t xml:space="preserve"> </w:t>
      </w:r>
      <w:r>
        <w:rPr>
          <w:rFonts w:ascii="Times New Roman" w:hAnsi="Times New Roman"/>
          <w:sz w:val="24"/>
          <w:szCs w:val="24"/>
        </w:rPr>
        <w:t xml:space="preserve">dans l’enseignement supérieur, on compte près de 3 fois plus d’hommes que de femmes en 2011 (3,5% </w:t>
      </w:r>
      <w:r w:rsidR="009B1846">
        <w:rPr>
          <w:rFonts w:ascii="Times New Roman" w:hAnsi="Times New Roman"/>
          <w:sz w:val="24"/>
          <w:szCs w:val="24"/>
        </w:rPr>
        <w:t xml:space="preserve">pour les hommes </w:t>
      </w:r>
      <w:r>
        <w:rPr>
          <w:rFonts w:ascii="Times New Roman" w:hAnsi="Times New Roman"/>
          <w:sz w:val="24"/>
          <w:szCs w:val="24"/>
        </w:rPr>
        <w:t>contre 1,2%</w:t>
      </w:r>
      <w:r w:rsidR="009B1846">
        <w:rPr>
          <w:rFonts w:ascii="Times New Roman" w:hAnsi="Times New Roman"/>
          <w:sz w:val="24"/>
          <w:szCs w:val="24"/>
        </w:rPr>
        <w:t xml:space="preserve"> pour les femmes</w:t>
      </w:r>
      <w:r>
        <w:rPr>
          <w:rFonts w:ascii="Times New Roman" w:hAnsi="Times New Roman"/>
          <w:sz w:val="24"/>
          <w:szCs w:val="24"/>
        </w:rPr>
        <w:t>) et 52,2% des femmes sont sans niveau d’instruction contre 33,6% des hommes</w:t>
      </w:r>
      <w:r w:rsidR="009B1846">
        <w:rPr>
          <w:rFonts w:ascii="Times New Roman" w:hAnsi="Times New Roman"/>
          <w:sz w:val="24"/>
          <w:szCs w:val="24"/>
        </w:rPr>
        <w:t xml:space="preserve"> (</w:t>
      </w:r>
      <w:r>
        <w:rPr>
          <w:rFonts w:ascii="Times New Roman" w:hAnsi="Times New Roman"/>
          <w:sz w:val="24"/>
          <w:szCs w:val="24"/>
        </w:rPr>
        <w:t>INSAE 2012)</w:t>
      </w:r>
      <w:r w:rsidR="00217978">
        <w:rPr>
          <w:vertAlign w:val="superscript"/>
        </w:rPr>
        <w:footnoteReference w:id="82"/>
      </w:r>
      <w:r>
        <w:rPr>
          <w:rFonts w:ascii="Times New Roman" w:hAnsi="Times New Roman"/>
          <w:sz w:val="24"/>
          <w:szCs w:val="24"/>
        </w:rPr>
        <w:t xml:space="preserve">. Il existe donc une forte déperdition des femmes entre l’entrée au primaire et l’atteinte du niveau supérieur (BAC ou plus). Cette déperdition des filles pendant le cursus scolaire trouve son fondement dans la culture béninoise. En effet, selon la coutume, les filles sont d’abord destinées à aider dans les tâches ménagères, puis à se marier lorsqu’elles atteignent l’âge de la majorité. </w:t>
      </w:r>
    </w:p>
    <w:p w:rsidR="004E39D9" w:rsidRPr="00472470" w:rsidRDefault="004E39D9">
      <w:pPr>
        <w:spacing w:line="276" w:lineRule="auto"/>
        <w:rPr>
          <w:rFonts w:ascii="Times New Roman" w:hAnsi="Times New Roman"/>
          <w:sz w:val="12"/>
          <w:szCs w:val="12"/>
        </w:rPr>
      </w:pPr>
    </w:p>
    <w:tbl>
      <w:tblPr>
        <w:tblpPr w:leftFromText="180" w:rightFromText="180" w:vertAnchor="text" w:horzAnchor="margin" w:tblpY="103"/>
        <w:tblW w:w="9286" w:type="dxa"/>
        <w:tblBorders>
          <w:top w:val="single" w:sz="4" w:space="0" w:color="auto"/>
          <w:bottom w:val="single" w:sz="4" w:space="0" w:color="auto"/>
          <w:insideH w:val="single" w:sz="4" w:space="0" w:color="auto"/>
        </w:tblBorders>
        <w:tblLook w:val="04A0" w:firstRow="1" w:lastRow="0" w:firstColumn="1" w:lastColumn="0" w:noHBand="0" w:noVBand="1"/>
      </w:tblPr>
      <w:tblGrid>
        <w:gridCol w:w="2235"/>
        <w:gridCol w:w="2179"/>
        <w:gridCol w:w="1227"/>
        <w:gridCol w:w="2399"/>
        <w:gridCol w:w="1246"/>
      </w:tblGrid>
      <w:tr w:rsidR="002938BB" w:rsidRPr="00C14906" w:rsidTr="00172E34">
        <w:trPr>
          <w:trHeight w:val="243"/>
        </w:trPr>
        <w:tc>
          <w:tcPr>
            <w:tcW w:w="9286" w:type="dxa"/>
            <w:gridSpan w:val="5"/>
            <w:tcBorders>
              <w:top w:val="nil"/>
            </w:tcBorders>
            <w:shd w:val="clear" w:color="auto" w:fill="92CDDC" w:themeFill="accent5" w:themeFillTint="99"/>
            <w:noWrap/>
            <w:vAlign w:val="bottom"/>
            <w:hideMark/>
          </w:tcPr>
          <w:p w:rsidR="002938BB" w:rsidRPr="00172E34" w:rsidRDefault="00130B50" w:rsidP="00D60CFD">
            <w:pPr>
              <w:pStyle w:val="Lgende"/>
              <w:framePr w:hSpace="0" w:wrap="auto" w:vAnchor="margin" w:hAnchor="text" w:xAlign="left" w:yAlign="inline"/>
            </w:pPr>
            <w:r w:rsidRPr="00172E34">
              <w:t>Tableau 5.1</w:t>
            </w:r>
            <w:r w:rsidR="004F064D">
              <w:fldChar w:fldCharType="begin"/>
            </w:r>
            <w:r w:rsidR="004F064D">
              <w:instrText xml:space="preserve"> SEQ Tableau_5.1 \* alphabetic </w:instrText>
            </w:r>
            <w:r w:rsidR="004F064D">
              <w:fldChar w:fldCharType="separate"/>
            </w:r>
            <w:r w:rsidR="00AB1967">
              <w:rPr>
                <w:noProof/>
              </w:rPr>
              <w:t>a</w:t>
            </w:r>
            <w:r w:rsidR="004F064D">
              <w:rPr>
                <w:noProof/>
              </w:rPr>
              <w:fldChar w:fldCharType="end"/>
            </w:r>
            <w:r w:rsidR="002938BB" w:rsidRPr="00172E34">
              <w:t>: Répartition de la population active selon le sexe, l’âge et le niveau d’instruction en 2010.</w:t>
            </w:r>
          </w:p>
        </w:tc>
      </w:tr>
      <w:tr w:rsidR="00401A60" w:rsidRPr="00C14906" w:rsidTr="00172E34">
        <w:trPr>
          <w:trHeight w:val="243"/>
        </w:trPr>
        <w:tc>
          <w:tcPr>
            <w:tcW w:w="2235" w:type="dxa"/>
            <w:tcBorders>
              <w:top w:val="double" w:sz="4" w:space="0" w:color="auto"/>
              <w:bottom w:val="nil"/>
            </w:tcBorders>
            <w:shd w:val="clear" w:color="auto" w:fill="DAEEF3" w:themeFill="accent5" w:themeFillTint="33"/>
            <w:noWrap/>
            <w:vAlign w:val="bottom"/>
            <w:hideMark/>
          </w:tcPr>
          <w:p w:rsidR="00401A60" w:rsidRPr="00C14906" w:rsidRDefault="00401A60" w:rsidP="00224ADE">
            <w:pPr>
              <w:spacing w:line="240" w:lineRule="auto"/>
              <w:rPr>
                <w:rFonts w:ascii="Times New Roman" w:hAnsi="Times New Roman"/>
              </w:rPr>
            </w:pPr>
            <w:r w:rsidRPr="00C14906">
              <w:rPr>
                <w:rFonts w:ascii="Times New Roman" w:hAnsi="Times New Roman"/>
              </w:rPr>
              <w:t> </w:t>
            </w:r>
          </w:p>
        </w:tc>
        <w:tc>
          <w:tcPr>
            <w:tcW w:w="3406" w:type="dxa"/>
            <w:gridSpan w:val="2"/>
            <w:tcBorders>
              <w:top w:val="double" w:sz="4" w:space="0" w:color="auto"/>
            </w:tcBorders>
            <w:shd w:val="clear" w:color="auto" w:fill="DAEEF3" w:themeFill="accent5" w:themeFillTint="33"/>
            <w:noWrap/>
            <w:vAlign w:val="bottom"/>
            <w:hideMark/>
          </w:tcPr>
          <w:p w:rsidR="00401A60" w:rsidRPr="00C14906" w:rsidRDefault="00401A60" w:rsidP="00224ADE">
            <w:pPr>
              <w:spacing w:line="240" w:lineRule="auto"/>
              <w:rPr>
                <w:rFonts w:ascii="Times New Roman" w:hAnsi="Times New Roman"/>
              </w:rPr>
            </w:pPr>
            <w:r w:rsidRPr="00C14906">
              <w:rPr>
                <w:rFonts w:ascii="Times New Roman" w:hAnsi="Times New Roman"/>
              </w:rPr>
              <w:t>Taux d'activité au sens strict</w:t>
            </w:r>
          </w:p>
        </w:tc>
        <w:tc>
          <w:tcPr>
            <w:tcW w:w="3645" w:type="dxa"/>
            <w:gridSpan w:val="2"/>
            <w:tcBorders>
              <w:top w:val="double" w:sz="4" w:space="0" w:color="auto"/>
            </w:tcBorders>
            <w:shd w:val="clear" w:color="auto" w:fill="DAEEF3" w:themeFill="accent5" w:themeFillTint="33"/>
            <w:noWrap/>
            <w:vAlign w:val="bottom"/>
            <w:hideMark/>
          </w:tcPr>
          <w:p w:rsidR="00401A60" w:rsidRPr="00C14906" w:rsidRDefault="00401A60" w:rsidP="00224ADE">
            <w:pPr>
              <w:spacing w:line="240" w:lineRule="auto"/>
              <w:rPr>
                <w:rFonts w:ascii="Times New Roman" w:hAnsi="Times New Roman"/>
              </w:rPr>
            </w:pPr>
            <w:r w:rsidRPr="00C14906">
              <w:rPr>
                <w:rFonts w:ascii="Times New Roman" w:hAnsi="Times New Roman"/>
              </w:rPr>
              <w:t>Taux d'activité au sens élargi</w:t>
            </w:r>
          </w:p>
        </w:tc>
      </w:tr>
      <w:tr w:rsidR="00401A60" w:rsidRPr="00C14906" w:rsidTr="00172E34">
        <w:trPr>
          <w:trHeight w:val="243"/>
        </w:trPr>
        <w:tc>
          <w:tcPr>
            <w:tcW w:w="2235" w:type="dxa"/>
            <w:tcBorders>
              <w:top w:val="nil"/>
              <w:bottom w:val="single" w:sz="4" w:space="0" w:color="auto"/>
            </w:tcBorders>
            <w:shd w:val="clear" w:color="auto" w:fill="DAEEF3" w:themeFill="accent5" w:themeFillTint="33"/>
            <w:noWrap/>
            <w:vAlign w:val="bottom"/>
            <w:hideMark/>
          </w:tcPr>
          <w:p w:rsidR="00401A60" w:rsidRPr="00C14906" w:rsidRDefault="00401A60" w:rsidP="00224ADE">
            <w:pPr>
              <w:spacing w:line="240" w:lineRule="auto"/>
              <w:rPr>
                <w:rFonts w:ascii="Times New Roman" w:hAnsi="Times New Roman"/>
              </w:rPr>
            </w:pPr>
            <w:r w:rsidRPr="00C14906">
              <w:rPr>
                <w:rFonts w:ascii="Times New Roman" w:hAnsi="Times New Roman"/>
              </w:rPr>
              <w:t> </w:t>
            </w:r>
          </w:p>
        </w:tc>
        <w:tc>
          <w:tcPr>
            <w:tcW w:w="2179" w:type="dxa"/>
            <w:tcBorders>
              <w:bottom w:val="single" w:sz="4" w:space="0" w:color="auto"/>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r w:rsidRPr="00C14906">
              <w:rPr>
                <w:rFonts w:ascii="Times New Roman" w:hAnsi="Times New Roman"/>
              </w:rPr>
              <w:t>Nombre</w:t>
            </w:r>
          </w:p>
        </w:tc>
        <w:tc>
          <w:tcPr>
            <w:tcW w:w="1227" w:type="dxa"/>
            <w:tcBorders>
              <w:bottom w:val="single" w:sz="4" w:space="0" w:color="auto"/>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r w:rsidRPr="00C14906">
              <w:rPr>
                <w:rFonts w:ascii="Times New Roman" w:hAnsi="Times New Roman"/>
              </w:rPr>
              <w:t>%</w:t>
            </w:r>
          </w:p>
        </w:tc>
        <w:tc>
          <w:tcPr>
            <w:tcW w:w="2399" w:type="dxa"/>
            <w:tcBorders>
              <w:bottom w:val="single" w:sz="4" w:space="0" w:color="auto"/>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r w:rsidRPr="00C14906">
              <w:rPr>
                <w:rFonts w:ascii="Times New Roman" w:hAnsi="Times New Roman"/>
              </w:rPr>
              <w:t>Nombre</w:t>
            </w:r>
          </w:p>
        </w:tc>
        <w:tc>
          <w:tcPr>
            <w:tcW w:w="1246" w:type="dxa"/>
            <w:tcBorders>
              <w:bottom w:val="single" w:sz="4" w:space="0" w:color="auto"/>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r w:rsidRPr="00C14906">
              <w:rPr>
                <w:rFonts w:ascii="Times New Roman" w:hAnsi="Times New Roman"/>
              </w:rPr>
              <w:t>%</w:t>
            </w:r>
          </w:p>
        </w:tc>
      </w:tr>
      <w:tr w:rsidR="00401A60" w:rsidRPr="00C14906" w:rsidTr="00172E34">
        <w:trPr>
          <w:trHeight w:val="243"/>
        </w:trPr>
        <w:tc>
          <w:tcPr>
            <w:tcW w:w="2235" w:type="dxa"/>
            <w:tcBorders>
              <w:top w:val="single" w:sz="4" w:space="0" w:color="auto"/>
              <w:bottom w:val="nil"/>
            </w:tcBorders>
            <w:shd w:val="clear" w:color="auto" w:fill="DAEEF3" w:themeFill="accent5" w:themeFillTint="33"/>
            <w:noWrap/>
            <w:vAlign w:val="bottom"/>
            <w:hideMark/>
          </w:tcPr>
          <w:p w:rsidR="00401A60" w:rsidRPr="00C14906" w:rsidRDefault="00401A60" w:rsidP="00224ADE">
            <w:pPr>
              <w:spacing w:line="240" w:lineRule="auto"/>
              <w:rPr>
                <w:rFonts w:ascii="Times New Roman" w:hAnsi="Times New Roman"/>
                <w:b/>
                <w:bCs/>
              </w:rPr>
            </w:pPr>
            <w:r w:rsidRPr="00C14906">
              <w:rPr>
                <w:rFonts w:ascii="Times New Roman" w:hAnsi="Times New Roman"/>
                <w:b/>
                <w:bCs/>
              </w:rPr>
              <w:t>Sexe</w:t>
            </w:r>
          </w:p>
        </w:tc>
        <w:tc>
          <w:tcPr>
            <w:tcW w:w="2179" w:type="dxa"/>
            <w:tcBorders>
              <w:top w:val="single" w:sz="4" w:space="0" w:color="auto"/>
              <w:bottom w:val="nil"/>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p>
        </w:tc>
        <w:tc>
          <w:tcPr>
            <w:tcW w:w="1227" w:type="dxa"/>
            <w:tcBorders>
              <w:top w:val="single" w:sz="4" w:space="0" w:color="auto"/>
              <w:bottom w:val="nil"/>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p>
        </w:tc>
        <w:tc>
          <w:tcPr>
            <w:tcW w:w="2399" w:type="dxa"/>
            <w:tcBorders>
              <w:top w:val="single" w:sz="4" w:space="0" w:color="auto"/>
              <w:bottom w:val="nil"/>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p>
        </w:tc>
        <w:tc>
          <w:tcPr>
            <w:tcW w:w="1246" w:type="dxa"/>
            <w:tcBorders>
              <w:top w:val="single" w:sz="4" w:space="0" w:color="auto"/>
              <w:bottom w:val="nil"/>
            </w:tcBorders>
            <w:shd w:val="clear" w:color="auto" w:fill="DAEEF3" w:themeFill="accent5" w:themeFillTint="33"/>
            <w:noWrap/>
            <w:vAlign w:val="bottom"/>
            <w:hideMark/>
          </w:tcPr>
          <w:p w:rsidR="00401A60" w:rsidRPr="00C14906" w:rsidRDefault="00401A60" w:rsidP="00224ADE">
            <w:pPr>
              <w:spacing w:line="240" w:lineRule="auto"/>
              <w:jc w:val="center"/>
              <w:rPr>
                <w:rFonts w:ascii="Times New Roman" w:hAnsi="Times New Roman"/>
              </w:rPr>
            </w:pPr>
          </w:p>
        </w:tc>
      </w:tr>
      <w:tr w:rsidR="00401A60" w:rsidRPr="00C14906" w:rsidTr="00172E34">
        <w:trPr>
          <w:trHeight w:val="125"/>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Masculin</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1309831</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75,9</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1314132</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76,1</w:t>
            </w: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Féminin</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1 459547</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74,6</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1 468886</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75</w:t>
            </w:r>
          </w:p>
        </w:tc>
      </w:tr>
      <w:tr w:rsidR="00401A60" w:rsidRPr="00C14906" w:rsidTr="00172E34">
        <w:trPr>
          <w:trHeight w:val="249"/>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b/>
                <w:bCs/>
                <w:color w:val="000000"/>
              </w:rPr>
            </w:pPr>
            <w:r w:rsidRPr="00C14906">
              <w:rPr>
                <w:rFonts w:ascii="Times New Roman" w:hAnsi="Times New Roman"/>
                <w:b/>
                <w:bCs/>
                <w:color w:val="000000"/>
              </w:rPr>
              <w:t>Age</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15-24</w:t>
            </w:r>
            <w:r w:rsidR="002938BB">
              <w:rPr>
                <w:rFonts w:ascii="Times New Roman" w:hAnsi="Times New Roman"/>
                <w:color w:val="000000"/>
              </w:rPr>
              <w:t xml:space="preserve"> ans </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429639</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40,3</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435699</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40,9</w:t>
            </w: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938BB">
            <w:pPr>
              <w:spacing w:line="240" w:lineRule="auto"/>
              <w:rPr>
                <w:rFonts w:ascii="Times New Roman" w:hAnsi="Times New Roman"/>
                <w:color w:val="000000"/>
              </w:rPr>
            </w:pPr>
            <w:r w:rsidRPr="00C14906">
              <w:rPr>
                <w:rFonts w:ascii="Times New Roman" w:hAnsi="Times New Roman"/>
                <w:color w:val="000000"/>
              </w:rPr>
              <w:t>25-34</w:t>
            </w:r>
            <w:r w:rsidR="002938BB">
              <w:rPr>
                <w:rFonts w:ascii="Times New Roman" w:hAnsi="Times New Roman"/>
                <w:color w:val="000000"/>
              </w:rPr>
              <w:t xml:space="preserve"> ans</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886228</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87,0</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890801</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87,4</w:t>
            </w: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35-54</w:t>
            </w:r>
            <w:r w:rsidR="002938BB">
              <w:rPr>
                <w:rFonts w:ascii="Times New Roman" w:hAnsi="Times New Roman"/>
                <w:color w:val="000000"/>
              </w:rPr>
              <w:t xml:space="preserve"> ans</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1 198529</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92,7</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1 201182</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92,9</w:t>
            </w: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55-64</w:t>
            </w:r>
            <w:r w:rsidR="002938BB">
              <w:rPr>
                <w:rFonts w:ascii="Times New Roman" w:hAnsi="Times New Roman"/>
                <w:color w:val="000000"/>
              </w:rPr>
              <w:t xml:space="preserve"> ans</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254982</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83,4</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255337</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83,5</w:t>
            </w:r>
          </w:p>
        </w:tc>
      </w:tr>
      <w:tr w:rsidR="00401A60" w:rsidRPr="00C14906" w:rsidTr="00172E34">
        <w:trPr>
          <w:trHeight w:val="458"/>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b/>
                <w:bCs/>
                <w:color w:val="000000"/>
              </w:rPr>
            </w:pPr>
            <w:r w:rsidRPr="00C14906">
              <w:rPr>
                <w:rFonts w:ascii="Times New Roman" w:hAnsi="Times New Roman"/>
                <w:b/>
                <w:bCs/>
                <w:color w:val="000000"/>
              </w:rPr>
              <w:t>Niveau</w:t>
            </w:r>
            <w:r w:rsidR="00172E34">
              <w:rPr>
                <w:rFonts w:ascii="Times New Roman" w:hAnsi="Times New Roman"/>
                <w:b/>
                <w:bCs/>
                <w:color w:val="000000"/>
              </w:rPr>
              <w:t xml:space="preserve"> </w:t>
            </w:r>
            <w:r w:rsidRPr="00C14906">
              <w:rPr>
                <w:rFonts w:ascii="Times New Roman" w:hAnsi="Times New Roman"/>
                <w:b/>
                <w:bCs/>
                <w:color w:val="000000"/>
              </w:rPr>
              <w:t>d'instruction</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Aucun</w:t>
            </w:r>
            <w:r w:rsidR="00172E34">
              <w:rPr>
                <w:rFonts w:ascii="Times New Roman" w:hAnsi="Times New Roman"/>
                <w:color w:val="000000"/>
              </w:rPr>
              <w:t xml:space="preserve"> </w:t>
            </w:r>
            <w:r w:rsidRPr="00C14906">
              <w:rPr>
                <w:rFonts w:ascii="Times New Roman" w:hAnsi="Times New Roman"/>
                <w:color w:val="000000"/>
              </w:rPr>
              <w:t>niveau</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1 889054</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87,8</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1 895376</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88,1</w:t>
            </w: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Primaire</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469762</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75,7</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472002</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76,1</w:t>
            </w:r>
          </w:p>
        </w:tc>
      </w:tr>
      <w:tr w:rsidR="00401A60" w:rsidRPr="00C14906" w:rsidTr="00172E34">
        <w:trPr>
          <w:trHeight w:val="243"/>
        </w:trPr>
        <w:tc>
          <w:tcPr>
            <w:tcW w:w="2235" w:type="dxa"/>
            <w:tcBorders>
              <w:top w:val="nil"/>
              <w:bottom w:val="nil"/>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Secondaire</w:t>
            </w:r>
          </w:p>
        </w:tc>
        <w:tc>
          <w:tcPr>
            <w:tcW w:w="217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331493</w:t>
            </w:r>
          </w:p>
        </w:tc>
        <w:tc>
          <w:tcPr>
            <w:tcW w:w="1227"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41,8</w:t>
            </w:r>
          </w:p>
        </w:tc>
        <w:tc>
          <w:tcPr>
            <w:tcW w:w="2399" w:type="dxa"/>
            <w:tcBorders>
              <w:top w:val="nil"/>
              <w:bottom w:val="nil"/>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334846</w:t>
            </w:r>
          </w:p>
        </w:tc>
        <w:tc>
          <w:tcPr>
            <w:tcW w:w="1246" w:type="dxa"/>
            <w:tcBorders>
              <w:top w:val="nil"/>
              <w:bottom w:val="nil"/>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42,1</w:t>
            </w:r>
          </w:p>
        </w:tc>
      </w:tr>
      <w:tr w:rsidR="00401A60" w:rsidRPr="00C14906" w:rsidTr="00172E34">
        <w:trPr>
          <w:trHeight w:val="243"/>
        </w:trPr>
        <w:tc>
          <w:tcPr>
            <w:tcW w:w="2235" w:type="dxa"/>
            <w:tcBorders>
              <w:top w:val="nil"/>
              <w:bottom w:val="double" w:sz="4" w:space="0" w:color="auto"/>
            </w:tcBorders>
            <w:shd w:val="clear" w:color="auto" w:fill="DAEEF3" w:themeFill="accent5" w:themeFillTint="33"/>
            <w:hideMark/>
          </w:tcPr>
          <w:p w:rsidR="00401A60" w:rsidRPr="00C14906" w:rsidRDefault="00401A60" w:rsidP="00224ADE">
            <w:pPr>
              <w:spacing w:line="240" w:lineRule="auto"/>
              <w:rPr>
                <w:rFonts w:ascii="Times New Roman" w:hAnsi="Times New Roman"/>
                <w:color w:val="000000"/>
              </w:rPr>
            </w:pPr>
            <w:r w:rsidRPr="00C14906">
              <w:rPr>
                <w:rFonts w:ascii="Times New Roman" w:hAnsi="Times New Roman"/>
                <w:color w:val="000000"/>
              </w:rPr>
              <w:t>Supérieur</w:t>
            </w:r>
          </w:p>
        </w:tc>
        <w:tc>
          <w:tcPr>
            <w:tcW w:w="2179" w:type="dxa"/>
            <w:tcBorders>
              <w:top w:val="nil"/>
              <w:bottom w:val="double" w:sz="4" w:space="0" w:color="auto"/>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79071</w:t>
            </w:r>
          </w:p>
        </w:tc>
        <w:tc>
          <w:tcPr>
            <w:tcW w:w="1227" w:type="dxa"/>
            <w:tcBorders>
              <w:top w:val="nil"/>
              <w:bottom w:val="double" w:sz="4" w:space="0" w:color="auto"/>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50,5</w:t>
            </w:r>
          </w:p>
        </w:tc>
        <w:tc>
          <w:tcPr>
            <w:tcW w:w="2399" w:type="dxa"/>
            <w:tcBorders>
              <w:top w:val="nil"/>
              <w:bottom w:val="double" w:sz="4" w:space="0" w:color="auto"/>
            </w:tcBorders>
            <w:shd w:val="clear" w:color="auto" w:fill="DAEEF3" w:themeFill="accent5" w:themeFillTint="33"/>
            <w:noWrap/>
            <w:vAlign w:val="center"/>
            <w:hideMark/>
          </w:tcPr>
          <w:p w:rsidR="00401A60" w:rsidRPr="00C14906" w:rsidRDefault="00401A60" w:rsidP="002938BB">
            <w:pPr>
              <w:spacing w:line="240" w:lineRule="auto"/>
              <w:jc w:val="right"/>
              <w:rPr>
                <w:rFonts w:ascii="Times New Roman" w:hAnsi="Times New Roman"/>
                <w:color w:val="000000"/>
              </w:rPr>
            </w:pPr>
            <w:r w:rsidRPr="00C14906">
              <w:rPr>
                <w:rFonts w:ascii="Times New Roman" w:hAnsi="Times New Roman"/>
                <w:color w:val="000000"/>
              </w:rPr>
              <w:t>80795</w:t>
            </w:r>
          </w:p>
        </w:tc>
        <w:tc>
          <w:tcPr>
            <w:tcW w:w="1246" w:type="dxa"/>
            <w:tcBorders>
              <w:top w:val="nil"/>
              <w:bottom w:val="double" w:sz="4" w:space="0" w:color="auto"/>
            </w:tcBorders>
            <w:shd w:val="clear" w:color="auto" w:fill="DAEEF3" w:themeFill="accent5" w:themeFillTint="33"/>
            <w:noWrap/>
            <w:hideMark/>
          </w:tcPr>
          <w:p w:rsidR="00401A60" w:rsidRPr="00C14906" w:rsidRDefault="00401A60" w:rsidP="00224ADE">
            <w:pPr>
              <w:spacing w:line="240" w:lineRule="auto"/>
              <w:jc w:val="center"/>
              <w:rPr>
                <w:rFonts w:ascii="Times New Roman" w:hAnsi="Times New Roman"/>
                <w:color w:val="000000"/>
              </w:rPr>
            </w:pPr>
            <w:r w:rsidRPr="00C14906">
              <w:rPr>
                <w:rFonts w:ascii="Times New Roman" w:hAnsi="Times New Roman"/>
                <w:color w:val="000000"/>
              </w:rPr>
              <w:t>51,4</w:t>
            </w:r>
          </w:p>
        </w:tc>
      </w:tr>
      <w:tr w:rsidR="002938BB" w:rsidRPr="00C14906" w:rsidTr="00172E34">
        <w:trPr>
          <w:trHeight w:val="243"/>
        </w:trPr>
        <w:tc>
          <w:tcPr>
            <w:tcW w:w="9286" w:type="dxa"/>
            <w:gridSpan w:val="5"/>
            <w:tcBorders>
              <w:top w:val="double" w:sz="4" w:space="0" w:color="auto"/>
              <w:bottom w:val="nil"/>
            </w:tcBorders>
            <w:shd w:val="clear" w:color="auto" w:fill="DAEEF3" w:themeFill="accent5" w:themeFillTint="33"/>
            <w:hideMark/>
          </w:tcPr>
          <w:p w:rsidR="002938BB" w:rsidRPr="00C14906" w:rsidRDefault="00130B50" w:rsidP="00130B50">
            <w:pPr>
              <w:spacing w:line="240" w:lineRule="auto"/>
              <w:jc w:val="left"/>
              <w:rPr>
                <w:rFonts w:ascii="Times New Roman" w:hAnsi="Times New Roman"/>
                <w:color w:val="000000"/>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472470" w:rsidRDefault="00472470" w:rsidP="004E39D9">
      <w:pPr>
        <w:spacing w:line="276" w:lineRule="auto"/>
        <w:rPr>
          <w:rFonts w:ascii="Times New Roman" w:hAnsi="Times New Roman"/>
          <w:sz w:val="24"/>
          <w:szCs w:val="24"/>
        </w:rPr>
      </w:pPr>
    </w:p>
    <w:p w:rsidR="004E39D9" w:rsidRDefault="004E39D9" w:rsidP="004E39D9">
      <w:pPr>
        <w:spacing w:line="276" w:lineRule="auto"/>
        <w:rPr>
          <w:rFonts w:ascii="Times New Roman" w:hAnsi="Times New Roman"/>
          <w:sz w:val="24"/>
          <w:szCs w:val="24"/>
        </w:rPr>
      </w:pPr>
      <w:r>
        <w:rPr>
          <w:rFonts w:ascii="Times New Roman" w:hAnsi="Times New Roman"/>
          <w:sz w:val="24"/>
          <w:szCs w:val="24"/>
        </w:rPr>
        <w:t>Cette conception du rôle de la fille dans la société amène beaucoup de parents à préférer envoyer les garçons plutôt que les filles à l’école. Lorsque malgré tout les filles ont la chance d’être envoyées à l’école, beaucoup d’entre elles sont retirées de l’école pour se marier. Pour les parents, la fille est plus utile dans le ménage et au champ qu’à l’école. Il faut préciser que cette pratique est plus courante en milieu rural qu’en milieu urbain où, compte tenu de la modernisation, elle s’est énormément effritée.</w:t>
      </w:r>
    </w:p>
    <w:p w:rsidR="004E39D9" w:rsidRPr="004E39D9" w:rsidRDefault="004E39D9" w:rsidP="004E39D9">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tableau </w:t>
      </w:r>
      <w:r w:rsidR="0030427B">
        <w:rPr>
          <w:rFonts w:ascii="Times New Roman" w:hAnsi="Times New Roman"/>
          <w:sz w:val="24"/>
          <w:szCs w:val="24"/>
        </w:rPr>
        <w:t>5</w:t>
      </w:r>
      <w:r>
        <w:rPr>
          <w:rFonts w:ascii="Times New Roman" w:hAnsi="Times New Roman"/>
          <w:sz w:val="24"/>
          <w:szCs w:val="24"/>
        </w:rPr>
        <w:t>.</w:t>
      </w:r>
      <w:r w:rsidR="0030427B">
        <w:rPr>
          <w:rFonts w:ascii="Times New Roman" w:hAnsi="Times New Roman"/>
          <w:sz w:val="24"/>
          <w:szCs w:val="24"/>
        </w:rPr>
        <w:t>1</w:t>
      </w:r>
      <w:r>
        <w:rPr>
          <w:rFonts w:ascii="Times New Roman" w:hAnsi="Times New Roman"/>
          <w:sz w:val="24"/>
          <w:szCs w:val="24"/>
        </w:rPr>
        <w:t>b qui suit montre que le pourcentage des hommes actifs est plus élevé que celui des femmes actives à tous les niveaux d’instruction. Cependant, ce tableau montre que la proportion des femmes sans instruction est plus grande que celle des hommes, ce qui confirme la faible scolarisation des filles par rapport aux garçons. Les différences entre les femmes et les hommes sont plus marquées au niveau supérieur où près de 66% des  hommes appartiennent à la population active contre 47,8% pour les femmes.</w:t>
      </w:r>
    </w:p>
    <w:p w:rsidR="00130B50" w:rsidRDefault="00130B50" w:rsidP="00130B50">
      <w:pPr>
        <w:spacing w:line="240" w:lineRule="auto"/>
        <w:rPr>
          <w:rFonts w:ascii="Times New Roman" w:hAnsi="Times New Roman"/>
          <w:sz w:val="24"/>
          <w:szCs w:val="24"/>
        </w:rPr>
      </w:pPr>
    </w:p>
    <w:tbl>
      <w:tblPr>
        <w:tblW w:w="8795" w:type="dxa"/>
        <w:tblInd w:w="70" w:type="dxa"/>
        <w:tblCellMar>
          <w:left w:w="70" w:type="dxa"/>
          <w:right w:w="70" w:type="dxa"/>
        </w:tblCellMar>
        <w:tblLook w:val="04A0" w:firstRow="1" w:lastRow="0" w:firstColumn="1" w:lastColumn="0" w:noHBand="0" w:noVBand="1"/>
      </w:tblPr>
      <w:tblGrid>
        <w:gridCol w:w="1885"/>
        <w:gridCol w:w="1087"/>
        <w:gridCol w:w="1111"/>
        <w:gridCol w:w="1136"/>
        <w:gridCol w:w="1232"/>
        <w:gridCol w:w="1208"/>
        <w:gridCol w:w="1136"/>
      </w:tblGrid>
      <w:tr w:rsidR="006A41A6" w:rsidRPr="00072191" w:rsidTr="006A41A6">
        <w:trPr>
          <w:trHeight w:val="262"/>
        </w:trPr>
        <w:tc>
          <w:tcPr>
            <w:tcW w:w="8795" w:type="dxa"/>
            <w:gridSpan w:val="7"/>
            <w:tcBorders>
              <w:left w:val="nil"/>
              <w:bottom w:val="double" w:sz="4" w:space="0" w:color="auto"/>
              <w:right w:val="nil"/>
            </w:tcBorders>
            <w:shd w:val="clear" w:color="auto" w:fill="92CDDC" w:themeFill="accent5" w:themeFillTint="99"/>
            <w:noWrap/>
            <w:vAlign w:val="bottom"/>
            <w:hideMark/>
          </w:tcPr>
          <w:p w:rsidR="006A41A6" w:rsidRPr="006A41A6" w:rsidRDefault="006A41A6" w:rsidP="00F31F3C">
            <w:pPr>
              <w:spacing w:line="240" w:lineRule="auto"/>
              <w:jc w:val="left"/>
              <w:rPr>
                <w:rFonts w:ascii="Times New Roman" w:eastAsia="Times New Roman" w:hAnsi="Times New Roman"/>
                <w:sz w:val="24"/>
                <w:szCs w:val="24"/>
                <w:lang w:eastAsia="fr-FR"/>
              </w:rPr>
            </w:pPr>
            <w:r w:rsidRPr="006A41A6">
              <w:rPr>
                <w:rFonts w:ascii="Times New Roman" w:hAnsi="Times New Roman"/>
                <w:sz w:val="24"/>
                <w:szCs w:val="24"/>
              </w:rPr>
              <w:t>Tableau 5.1</w:t>
            </w:r>
            <w:r w:rsidR="00182C97" w:rsidRPr="006A41A6">
              <w:rPr>
                <w:rFonts w:ascii="Times New Roman" w:hAnsi="Times New Roman"/>
                <w:sz w:val="24"/>
                <w:szCs w:val="24"/>
              </w:rPr>
              <w:fldChar w:fldCharType="begin"/>
            </w:r>
            <w:r w:rsidRPr="006A41A6">
              <w:rPr>
                <w:rFonts w:ascii="Times New Roman" w:hAnsi="Times New Roman"/>
                <w:sz w:val="24"/>
                <w:szCs w:val="24"/>
              </w:rPr>
              <w:instrText xml:space="preserve"> SEQ Tableau_5.1 \* alphabetic </w:instrText>
            </w:r>
            <w:r w:rsidR="00182C97" w:rsidRPr="006A41A6">
              <w:rPr>
                <w:rFonts w:ascii="Times New Roman" w:hAnsi="Times New Roman"/>
                <w:sz w:val="24"/>
                <w:szCs w:val="24"/>
              </w:rPr>
              <w:fldChar w:fldCharType="separate"/>
            </w:r>
            <w:r w:rsidR="00AB1967">
              <w:rPr>
                <w:rFonts w:ascii="Times New Roman" w:hAnsi="Times New Roman"/>
                <w:noProof/>
                <w:sz w:val="24"/>
                <w:szCs w:val="24"/>
              </w:rPr>
              <w:t>b</w:t>
            </w:r>
            <w:r w:rsidR="00182C97" w:rsidRPr="006A41A6">
              <w:rPr>
                <w:rFonts w:ascii="Times New Roman" w:hAnsi="Times New Roman"/>
                <w:sz w:val="24"/>
                <w:szCs w:val="24"/>
              </w:rPr>
              <w:fldChar w:fldCharType="end"/>
            </w:r>
            <w:r w:rsidRPr="006A41A6">
              <w:rPr>
                <w:rFonts w:ascii="Times New Roman" w:hAnsi="Times New Roman"/>
                <w:sz w:val="24"/>
                <w:szCs w:val="24"/>
              </w:rPr>
              <w:t>: Population active et population occupée selon le sexe et le niveau d’instruction en 2010</w:t>
            </w:r>
          </w:p>
        </w:tc>
      </w:tr>
      <w:tr w:rsidR="00130B50" w:rsidRPr="00072191" w:rsidTr="006A41A6">
        <w:trPr>
          <w:trHeight w:val="262"/>
        </w:trPr>
        <w:tc>
          <w:tcPr>
            <w:tcW w:w="1885" w:type="dxa"/>
            <w:tcBorders>
              <w:top w:val="double" w:sz="4" w:space="0" w:color="auto"/>
              <w:left w:val="nil"/>
              <w:bottom w:val="single" w:sz="4" w:space="0" w:color="auto"/>
              <w:right w:val="nil"/>
            </w:tcBorders>
            <w:shd w:val="clear" w:color="auto" w:fill="DAEEF3" w:themeFill="accent5" w:themeFillTint="33"/>
            <w:noWrap/>
            <w:vAlign w:val="bottom"/>
            <w:hideMark/>
          </w:tcPr>
          <w:p w:rsidR="00130B50" w:rsidRPr="00072191" w:rsidRDefault="00130B50" w:rsidP="00F31F3C">
            <w:pPr>
              <w:spacing w:line="240" w:lineRule="auto"/>
              <w:jc w:val="left"/>
              <w:rPr>
                <w:rFonts w:ascii="Times New Roman" w:eastAsia="Times New Roman" w:hAnsi="Times New Roman"/>
                <w:lang w:eastAsia="fr-FR"/>
              </w:rPr>
            </w:pPr>
            <w:r w:rsidRPr="00072191">
              <w:rPr>
                <w:rFonts w:ascii="Times New Roman" w:eastAsia="Times New Roman" w:hAnsi="Times New Roman"/>
                <w:lang w:eastAsia="fr-FR"/>
              </w:rPr>
              <w:t> </w:t>
            </w:r>
          </w:p>
        </w:tc>
        <w:tc>
          <w:tcPr>
            <w:tcW w:w="3334" w:type="dxa"/>
            <w:gridSpan w:val="3"/>
            <w:tcBorders>
              <w:top w:val="double" w:sz="4" w:space="0" w:color="auto"/>
              <w:left w:val="nil"/>
              <w:bottom w:val="single" w:sz="4" w:space="0" w:color="auto"/>
              <w:right w:val="nil"/>
            </w:tcBorders>
            <w:shd w:val="clear" w:color="auto" w:fill="DAEEF3" w:themeFill="accent5" w:themeFillTint="33"/>
            <w:noWrap/>
            <w:vAlign w:val="bottom"/>
            <w:hideMark/>
          </w:tcPr>
          <w:p w:rsidR="00130B50" w:rsidRPr="00072191" w:rsidRDefault="00130B50" w:rsidP="00F31F3C">
            <w:pPr>
              <w:spacing w:line="240" w:lineRule="auto"/>
              <w:jc w:val="left"/>
              <w:rPr>
                <w:rFonts w:ascii="Times New Roman" w:eastAsia="Times New Roman" w:hAnsi="Times New Roman"/>
                <w:b/>
                <w:bCs/>
                <w:lang w:eastAsia="fr-FR"/>
              </w:rPr>
            </w:pPr>
            <w:r w:rsidRPr="00072191">
              <w:rPr>
                <w:rFonts w:ascii="Times New Roman" w:eastAsia="Times New Roman" w:hAnsi="Times New Roman"/>
                <w:b/>
                <w:bCs/>
                <w:lang w:eastAsia="fr-FR"/>
              </w:rPr>
              <w:t>Pop. Active strict (%)</w:t>
            </w:r>
          </w:p>
        </w:tc>
        <w:tc>
          <w:tcPr>
            <w:tcW w:w="2440" w:type="dxa"/>
            <w:gridSpan w:val="2"/>
            <w:tcBorders>
              <w:top w:val="double" w:sz="4" w:space="0" w:color="auto"/>
              <w:left w:val="nil"/>
              <w:bottom w:val="single" w:sz="4" w:space="0" w:color="auto"/>
              <w:right w:val="nil"/>
            </w:tcBorders>
            <w:shd w:val="clear" w:color="auto" w:fill="DAEEF3" w:themeFill="accent5" w:themeFillTint="33"/>
            <w:noWrap/>
            <w:vAlign w:val="bottom"/>
            <w:hideMark/>
          </w:tcPr>
          <w:p w:rsidR="00130B50" w:rsidRPr="00072191" w:rsidRDefault="00130B50" w:rsidP="00F31F3C">
            <w:pPr>
              <w:spacing w:line="240" w:lineRule="auto"/>
              <w:jc w:val="left"/>
              <w:rPr>
                <w:rFonts w:ascii="Times New Roman" w:eastAsia="Times New Roman" w:hAnsi="Times New Roman"/>
                <w:b/>
                <w:bCs/>
                <w:lang w:eastAsia="fr-FR"/>
              </w:rPr>
            </w:pPr>
            <w:r w:rsidRPr="00072191">
              <w:rPr>
                <w:rFonts w:ascii="Times New Roman" w:eastAsia="Times New Roman" w:hAnsi="Times New Roman"/>
                <w:b/>
                <w:bCs/>
                <w:lang w:eastAsia="fr-FR"/>
              </w:rPr>
              <w:t>Ratio pop/emploi (%)</w:t>
            </w:r>
          </w:p>
        </w:tc>
        <w:tc>
          <w:tcPr>
            <w:tcW w:w="1136" w:type="dxa"/>
            <w:tcBorders>
              <w:top w:val="double" w:sz="4" w:space="0" w:color="auto"/>
              <w:left w:val="nil"/>
              <w:bottom w:val="single" w:sz="4" w:space="0" w:color="auto"/>
              <w:right w:val="nil"/>
            </w:tcBorders>
            <w:shd w:val="clear" w:color="auto" w:fill="DAEEF3" w:themeFill="accent5" w:themeFillTint="33"/>
            <w:noWrap/>
            <w:vAlign w:val="bottom"/>
            <w:hideMark/>
          </w:tcPr>
          <w:p w:rsidR="00130B50" w:rsidRPr="00072191" w:rsidRDefault="00130B50" w:rsidP="00F31F3C">
            <w:pPr>
              <w:spacing w:line="240" w:lineRule="auto"/>
              <w:jc w:val="left"/>
              <w:rPr>
                <w:rFonts w:ascii="Times New Roman" w:eastAsia="Times New Roman" w:hAnsi="Times New Roman"/>
                <w:lang w:eastAsia="fr-FR"/>
              </w:rPr>
            </w:pPr>
            <w:r w:rsidRPr="00072191">
              <w:rPr>
                <w:rFonts w:ascii="Times New Roman" w:eastAsia="Times New Roman" w:hAnsi="Times New Roman"/>
                <w:lang w:eastAsia="fr-FR"/>
              </w:rPr>
              <w:t> </w:t>
            </w:r>
          </w:p>
        </w:tc>
      </w:tr>
      <w:tr w:rsidR="00130B50" w:rsidRPr="00072191" w:rsidTr="00F31F3C">
        <w:trPr>
          <w:trHeight w:val="262"/>
        </w:trPr>
        <w:tc>
          <w:tcPr>
            <w:tcW w:w="1885" w:type="dxa"/>
            <w:tcBorders>
              <w:top w:val="nil"/>
              <w:left w:val="nil"/>
              <w:bottom w:val="single" w:sz="4" w:space="0" w:color="auto"/>
              <w:right w:val="nil"/>
            </w:tcBorders>
            <w:shd w:val="clear" w:color="auto" w:fill="DAEEF3" w:themeFill="accent5" w:themeFillTint="33"/>
            <w:noWrap/>
            <w:vAlign w:val="bottom"/>
            <w:hideMark/>
          </w:tcPr>
          <w:p w:rsidR="00130B50" w:rsidRPr="00072191" w:rsidRDefault="00130B50" w:rsidP="00F31F3C">
            <w:pPr>
              <w:spacing w:line="240" w:lineRule="auto"/>
              <w:jc w:val="left"/>
              <w:rPr>
                <w:rFonts w:ascii="Times New Roman" w:eastAsia="Times New Roman" w:hAnsi="Times New Roman"/>
                <w:lang w:eastAsia="fr-FR"/>
              </w:rPr>
            </w:pPr>
            <w:r w:rsidRPr="00072191">
              <w:rPr>
                <w:rFonts w:ascii="Times New Roman" w:eastAsia="Times New Roman" w:hAnsi="Times New Roman"/>
                <w:lang w:eastAsia="fr-FR"/>
              </w:rPr>
              <w:t> </w:t>
            </w:r>
          </w:p>
        </w:tc>
        <w:tc>
          <w:tcPr>
            <w:tcW w:w="1087" w:type="dxa"/>
            <w:tcBorders>
              <w:top w:val="nil"/>
              <w:left w:val="nil"/>
              <w:bottom w:val="single" w:sz="4" w:space="0" w:color="auto"/>
              <w:right w:val="nil"/>
            </w:tcBorders>
            <w:shd w:val="clear" w:color="auto" w:fill="DAEEF3" w:themeFill="accent5" w:themeFillTint="33"/>
            <w:vAlign w:val="bottom"/>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Masculin</w:t>
            </w:r>
          </w:p>
        </w:tc>
        <w:tc>
          <w:tcPr>
            <w:tcW w:w="1111" w:type="dxa"/>
            <w:tcBorders>
              <w:top w:val="nil"/>
              <w:left w:val="nil"/>
              <w:bottom w:val="single" w:sz="4" w:space="0" w:color="auto"/>
              <w:right w:val="nil"/>
            </w:tcBorders>
            <w:shd w:val="clear" w:color="auto" w:fill="DAEEF3" w:themeFill="accent5" w:themeFillTint="33"/>
            <w:vAlign w:val="bottom"/>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Féminin</w:t>
            </w:r>
          </w:p>
        </w:tc>
        <w:tc>
          <w:tcPr>
            <w:tcW w:w="1136" w:type="dxa"/>
            <w:tcBorders>
              <w:top w:val="nil"/>
              <w:left w:val="nil"/>
              <w:bottom w:val="single" w:sz="4" w:space="0" w:color="auto"/>
              <w:right w:val="nil"/>
            </w:tcBorders>
            <w:shd w:val="clear" w:color="auto" w:fill="DAEEF3" w:themeFill="accent5" w:themeFillTint="33"/>
            <w:vAlign w:val="bottom"/>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Ensemble</w:t>
            </w:r>
          </w:p>
        </w:tc>
        <w:tc>
          <w:tcPr>
            <w:tcW w:w="1232" w:type="dxa"/>
            <w:tcBorders>
              <w:top w:val="nil"/>
              <w:left w:val="nil"/>
              <w:bottom w:val="single" w:sz="4" w:space="0" w:color="auto"/>
              <w:right w:val="nil"/>
            </w:tcBorders>
            <w:shd w:val="clear" w:color="auto" w:fill="DAEEF3" w:themeFill="accent5" w:themeFillTint="33"/>
            <w:vAlign w:val="bottom"/>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Masculin</w:t>
            </w:r>
          </w:p>
        </w:tc>
        <w:tc>
          <w:tcPr>
            <w:tcW w:w="1208" w:type="dxa"/>
            <w:tcBorders>
              <w:top w:val="nil"/>
              <w:left w:val="nil"/>
              <w:bottom w:val="single" w:sz="4" w:space="0" w:color="auto"/>
              <w:right w:val="nil"/>
            </w:tcBorders>
            <w:shd w:val="clear" w:color="auto" w:fill="DAEEF3" w:themeFill="accent5" w:themeFillTint="33"/>
            <w:vAlign w:val="bottom"/>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Féminin</w:t>
            </w:r>
          </w:p>
        </w:tc>
        <w:tc>
          <w:tcPr>
            <w:tcW w:w="1136" w:type="dxa"/>
            <w:tcBorders>
              <w:top w:val="nil"/>
              <w:left w:val="nil"/>
              <w:bottom w:val="nil"/>
              <w:right w:val="nil"/>
            </w:tcBorders>
            <w:shd w:val="clear" w:color="auto" w:fill="DAEEF3" w:themeFill="accent5" w:themeFillTint="33"/>
            <w:vAlign w:val="bottom"/>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Ensemble</w:t>
            </w:r>
          </w:p>
        </w:tc>
      </w:tr>
      <w:tr w:rsidR="00130B50" w:rsidRPr="00072191" w:rsidTr="00F31F3C">
        <w:trPr>
          <w:trHeight w:val="548"/>
        </w:trPr>
        <w:tc>
          <w:tcPr>
            <w:tcW w:w="1885" w:type="dxa"/>
            <w:tcBorders>
              <w:top w:val="nil"/>
              <w:left w:val="nil"/>
              <w:bottom w:val="nil"/>
              <w:right w:val="nil"/>
            </w:tcBorders>
            <w:shd w:val="clear" w:color="auto" w:fill="DAEEF3" w:themeFill="accent5" w:themeFillTint="33"/>
            <w:hideMark/>
          </w:tcPr>
          <w:p w:rsidR="00130B50" w:rsidRPr="00072191" w:rsidRDefault="00130B50" w:rsidP="00F31F3C">
            <w:pPr>
              <w:spacing w:line="240" w:lineRule="auto"/>
              <w:jc w:val="left"/>
              <w:rPr>
                <w:rFonts w:ascii="Times New Roman" w:eastAsia="Times New Roman" w:hAnsi="Times New Roman"/>
                <w:color w:val="000000"/>
                <w:lang w:eastAsia="fr-FR"/>
              </w:rPr>
            </w:pPr>
            <w:r w:rsidRPr="00072191">
              <w:rPr>
                <w:rFonts w:ascii="Times New Roman" w:eastAsia="Times New Roman" w:hAnsi="Times New Roman"/>
                <w:color w:val="000000"/>
                <w:lang w:eastAsia="fr-FR"/>
              </w:rPr>
              <w:t>Aucun niveau/maternelle</w:t>
            </w:r>
          </w:p>
        </w:tc>
        <w:tc>
          <w:tcPr>
            <w:tcW w:w="1087"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94</w:t>
            </w:r>
            <w:r w:rsidRPr="00072191">
              <w:rPr>
                <w:rFonts w:ascii="Times New Roman" w:eastAsia="Times New Roman" w:hAnsi="Times New Roman"/>
                <w:color w:val="000000"/>
                <w:lang w:eastAsia="fr-FR"/>
              </w:rPr>
              <w:t>,3</w:t>
            </w:r>
          </w:p>
        </w:tc>
        <w:tc>
          <w:tcPr>
            <w:tcW w:w="1111"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83,9</w:t>
            </w:r>
          </w:p>
        </w:tc>
        <w:tc>
          <w:tcPr>
            <w:tcW w:w="1136"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87,8</w:t>
            </w:r>
          </w:p>
        </w:tc>
        <w:tc>
          <w:tcPr>
            <w:tcW w:w="1232"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94,1</w:t>
            </w:r>
          </w:p>
        </w:tc>
        <w:tc>
          <w:tcPr>
            <w:tcW w:w="1208"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83,8</w:t>
            </w:r>
          </w:p>
        </w:tc>
        <w:tc>
          <w:tcPr>
            <w:tcW w:w="1136" w:type="dxa"/>
            <w:tcBorders>
              <w:top w:val="single" w:sz="4" w:space="0" w:color="auto"/>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87,6</w:t>
            </w:r>
          </w:p>
        </w:tc>
      </w:tr>
      <w:tr w:rsidR="00130B50" w:rsidRPr="00072191" w:rsidTr="00F31F3C">
        <w:trPr>
          <w:trHeight w:val="262"/>
        </w:trPr>
        <w:tc>
          <w:tcPr>
            <w:tcW w:w="1885" w:type="dxa"/>
            <w:tcBorders>
              <w:top w:val="nil"/>
              <w:left w:val="nil"/>
              <w:bottom w:val="nil"/>
              <w:right w:val="nil"/>
            </w:tcBorders>
            <w:shd w:val="clear" w:color="auto" w:fill="DAEEF3" w:themeFill="accent5" w:themeFillTint="33"/>
            <w:hideMark/>
          </w:tcPr>
          <w:p w:rsidR="00130B50" w:rsidRPr="00072191" w:rsidRDefault="00130B50" w:rsidP="00F31F3C">
            <w:pPr>
              <w:spacing w:line="240" w:lineRule="auto"/>
              <w:jc w:val="left"/>
              <w:rPr>
                <w:rFonts w:ascii="Times New Roman" w:eastAsia="Times New Roman" w:hAnsi="Times New Roman"/>
                <w:color w:val="000000"/>
                <w:lang w:eastAsia="fr-FR"/>
              </w:rPr>
            </w:pPr>
            <w:r w:rsidRPr="00072191">
              <w:rPr>
                <w:rFonts w:ascii="Times New Roman" w:eastAsia="Times New Roman" w:hAnsi="Times New Roman"/>
                <w:color w:val="000000"/>
                <w:lang w:eastAsia="fr-FR"/>
              </w:rPr>
              <w:t>Primaire</w:t>
            </w:r>
          </w:p>
        </w:tc>
        <w:tc>
          <w:tcPr>
            <w:tcW w:w="1087"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78,8</w:t>
            </w:r>
          </w:p>
        </w:tc>
        <w:tc>
          <w:tcPr>
            <w:tcW w:w="1111"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71,8</w:t>
            </w:r>
          </w:p>
        </w:tc>
        <w:tc>
          <w:tcPr>
            <w:tcW w:w="1136"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75,7</w:t>
            </w:r>
          </w:p>
        </w:tc>
        <w:tc>
          <w:tcPr>
            <w:tcW w:w="1232"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78,3</w:t>
            </w:r>
          </w:p>
        </w:tc>
        <w:tc>
          <w:tcPr>
            <w:tcW w:w="1208"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71,6</w:t>
            </w:r>
          </w:p>
        </w:tc>
        <w:tc>
          <w:tcPr>
            <w:tcW w:w="1136"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75,4</w:t>
            </w:r>
          </w:p>
        </w:tc>
      </w:tr>
      <w:tr w:rsidR="00130B50" w:rsidRPr="00072191" w:rsidTr="00F31F3C">
        <w:trPr>
          <w:trHeight w:val="262"/>
        </w:trPr>
        <w:tc>
          <w:tcPr>
            <w:tcW w:w="1885" w:type="dxa"/>
            <w:tcBorders>
              <w:top w:val="nil"/>
              <w:left w:val="nil"/>
              <w:bottom w:val="nil"/>
              <w:right w:val="nil"/>
            </w:tcBorders>
            <w:shd w:val="clear" w:color="auto" w:fill="DAEEF3" w:themeFill="accent5" w:themeFillTint="33"/>
            <w:hideMark/>
          </w:tcPr>
          <w:p w:rsidR="00130B50" w:rsidRPr="00072191" w:rsidRDefault="00130B50" w:rsidP="00F31F3C">
            <w:pPr>
              <w:spacing w:line="240" w:lineRule="auto"/>
              <w:jc w:val="left"/>
              <w:rPr>
                <w:rFonts w:ascii="Times New Roman" w:eastAsia="Times New Roman" w:hAnsi="Times New Roman"/>
                <w:color w:val="000000"/>
                <w:lang w:eastAsia="fr-FR"/>
              </w:rPr>
            </w:pPr>
            <w:r w:rsidRPr="00072191">
              <w:rPr>
                <w:rFonts w:ascii="Times New Roman" w:eastAsia="Times New Roman" w:hAnsi="Times New Roman"/>
                <w:color w:val="000000"/>
                <w:lang w:eastAsia="fr-FR"/>
              </w:rPr>
              <w:t>Secondaire</w:t>
            </w:r>
          </w:p>
        </w:tc>
        <w:tc>
          <w:tcPr>
            <w:tcW w:w="1087"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44,8</w:t>
            </w:r>
          </w:p>
        </w:tc>
        <w:tc>
          <w:tcPr>
            <w:tcW w:w="1111"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38,6</w:t>
            </w:r>
          </w:p>
        </w:tc>
        <w:tc>
          <w:tcPr>
            <w:tcW w:w="1136"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42,4</w:t>
            </w:r>
          </w:p>
        </w:tc>
        <w:tc>
          <w:tcPr>
            <w:tcW w:w="1232"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44,5</w:t>
            </w:r>
          </w:p>
        </w:tc>
        <w:tc>
          <w:tcPr>
            <w:tcW w:w="1208"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37,7</w:t>
            </w:r>
          </w:p>
        </w:tc>
        <w:tc>
          <w:tcPr>
            <w:tcW w:w="1136" w:type="dxa"/>
            <w:tcBorders>
              <w:top w:val="nil"/>
              <w:left w:val="nil"/>
              <w:bottom w:val="nil"/>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41,9</w:t>
            </w:r>
          </w:p>
        </w:tc>
      </w:tr>
      <w:tr w:rsidR="00130B50" w:rsidRPr="00072191" w:rsidTr="00F31F3C">
        <w:trPr>
          <w:trHeight w:val="262"/>
        </w:trPr>
        <w:tc>
          <w:tcPr>
            <w:tcW w:w="1885" w:type="dxa"/>
            <w:tcBorders>
              <w:top w:val="nil"/>
              <w:left w:val="nil"/>
              <w:bottom w:val="single" w:sz="4" w:space="0" w:color="auto"/>
              <w:right w:val="nil"/>
            </w:tcBorders>
            <w:shd w:val="clear" w:color="auto" w:fill="DAEEF3" w:themeFill="accent5" w:themeFillTint="33"/>
            <w:hideMark/>
          </w:tcPr>
          <w:p w:rsidR="00130B50" w:rsidRPr="00072191" w:rsidRDefault="00130B50" w:rsidP="00F31F3C">
            <w:pPr>
              <w:spacing w:line="240" w:lineRule="auto"/>
              <w:jc w:val="left"/>
              <w:rPr>
                <w:rFonts w:ascii="Times New Roman" w:eastAsia="Times New Roman" w:hAnsi="Times New Roman"/>
                <w:color w:val="000000"/>
                <w:lang w:eastAsia="fr-FR"/>
              </w:rPr>
            </w:pPr>
            <w:r w:rsidRPr="00072191">
              <w:rPr>
                <w:rFonts w:ascii="Times New Roman" w:eastAsia="Times New Roman" w:hAnsi="Times New Roman"/>
                <w:color w:val="000000"/>
                <w:lang w:eastAsia="fr-FR"/>
              </w:rPr>
              <w:t>Supérieur</w:t>
            </w:r>
          </w:p>
        </w:tc>
        <w:tc>
          <w:tcPr>
            <w:tcW w:w="1087" w:type="dxa"/>
            <w:tcBorders>
              <w:top w:val="nil"/>
              <w:left w:val="nil"/>
              <w:bottom w:val="sing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65,9</w:t>
            </w:r>
          </w:p>
        </w:tc>
        <w:tc>
          <w:tcPr>
            <w:tcW w:w="1111" w:type="dxa"/>
            <w:tcBorders>
              <w:top w:val="nil"/>
              <w:left w:val="nil"/>
              <w:bottom w:val="sing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47,8</w:t>
            </w:r>
          </w:p>
        </w:tc>
        <w:tc>
          <w:tcPr>
            <w:tcW w:w="1136" w:type="dxa"/>
            <w:tcBorders>
              <w:top w:val="nil"/>
              <w:left w:val="nil"/>
              <w:bottom w:val="sing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61,3</w:t>
            </w:r>
          </w:p>
        </w:tc>
        <w:tc>
          <w:tcPr>
            <w:tcW w:w="1232" w:type="dxa"/>
            <w:tcBorders>
              <w:top w:val="nil"/>
              <w:left w:val="nil"/>
              <w:bottom w:val="sing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62,8</w:t>
            </w:r>
          </w:p>
        </w:tc>
        <w:tc>
          <w:tcPr>
            <w:tcW w:w="1208" w:type="dxa"/>
            <w:tcBorders>
              <w:top w:val="nil"/>
              <w:left w:val="nil"/>
              <w:bottom w:val="sing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43,6</w:t>
            </w:r>
          </w:p>
        </w:tc>
        <w:tc>
          <w:tcPr>
            <w:tcW w:w="1136" w:type="dxa"/>
            <w:tcBorders>
              <w:top w:val="nil"/>
              <w:left w:val="nil"/>
              <w:bottom w:val="sing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color w:val="000000"/>
                <w:lang w:eastAsia="fr-FR"/>
              </w:rPr>
            </w:pPr>
            <w:r w:rsidRPr="00072191">
              <w:rPr>
                <w:rFonts w:ascii="Times New Roman" w:eastAsia="Times New Roman" w:hAnsi="Times New Roman"/>
                <w:color w:val="000000"/>
                <w:lang w:eastAsia="fr-FR"/>
              </w:rPr>
              <w:t>57,9</w:t>
            </w:r>
          </w:p>
        </w:tc>
      </w:tr>
      <w:tr w:rsidR="00130B50" w:rsidRPr="00072191" w:rsidTr="00F31F3C">
        <w:trPr>
          <w:trHeight w:val="262"/>
        </w:trPr>
        <w:tc>
          <w:tcPr>
            <w:tcW w:w="1885" w:type="dxa"/>
            <w:tcBorders>
              <w:top w:val="single" w:sz="4" w:space="0" w:color="auto"/>
              <w:left w:val="nil"/>
              <w:bottom w:val="double" w:sz="4" w:space="0" w:color="auto"/>
              <w:right w:val="nil"/>
            </w:tcBorders>
            <w:shd w:val="clear" w:color="auto" w:fill="DAEEF3" w:themeFill="accent5" w:themeFillTint="33"/>
            <w:hideMark/>
          </w:tcPr>
          <w:p w:rsidR="00130B50" w:rsidRPr="00072191" w:rsidRDefault="00130B50" w:rsidP="00F31F3C">
            <w:pPr>
              <w:spacing w:line="240" w:lineRule="auto"/>
              <w:jc w:val="left"/>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BENIN</w:t>
            </w:r>
          </w:p>
        </w:tc>
        <w:tc>
          <w:tcPr>
            <w:tcW w:w="1087" w:type="dxa"/>
            <w:tcBorders>
              <w:top w:val="single" w:sz="4" w:space="0" w:color="auto"/>
              <w:left w:val="nil"/>
              <w:bottom w:val="doub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75,9</w:t>
            </w:r>
          </w:p>
        </w:tc>
        <w:tc>
          <w:tcPr>
            <w:tcW w:w="1111" w:type="dxa"/>
            <w:tcBorders>
              <w:top w:val="single" w:sz="4" w:space="0" w:color="auto"/>
              <w:left w:val="nil"/>
              <w:bottom w:val="doub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74,6</w:t>
            </w:r>
          </w:p>
        </w:tc>
        <w:tc>
          <w:tcPr>
            <w:tcW w:w="1136" w:type="dxa"/>
            <w:tcBorders>
              <w:top w:val="single" w:sz="4" w:space="0" w:color="auto"/>
              <w:left w:val="nil"/>
              <w:bottom w:val="doub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75,2</w:t>
            </w:r>
          </w:p>
        </w:tc>
        <w:tc>
          <w:tcPr>
            <w:tcW w:w="1232" w:type="dxa"/>
            <w:tcBorders>
              <w:top w:val="single" w:sz="4" w:space="0" w:color="auto"/>
              <w:left w:val="nil"/>
              <w:bottom w:val="doub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75,4</w:t>
            </w:r>
          </w:p>
        </w:tc>
        <w:tc>
          <w:tcPr>
            <w:tcW w:w="1208" w:type="dxa"/>
            <w:tcBorders>
              <w:top w:val="single" w:sz="4" w:space="0" w:color="auto"/>
              <w:left w:val="nil"/>
              <w:bottom w:val="doub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74,3</w:t>
            </w:r>
          </w:p>
        </w:tc>
        <w:tc>
          <w:tcPr>
            <w:tcW w:w="1136" w:type="dxa"/>
            <w:tcBorders>
              <w:top w:val="single" w:sz="4" w:space="0" w:color="auto"/>
              <w:left w:val="nil"/>
              <w:bottom w:val="double" w:sz="4" w:space="0" w:color="auto"/>
              <w:right w:val="nil"/>
            </w:tcBorders>
            <w:shd w:val="clear" w:color="auto" w:fill="DAEEF3" w:themeFill="accent5" w:themeFillTint="33"/>
            <w:noWrap/>
            <w:vAlign w:val="center"/>
            <w:hideMark/>
          </w:tcPr>
          <w:p w:rsidR="00130B50" w:rsidRPr="00072191" w:rsidRDefault="00130B50" w:rsidP="00F31F3C">
            <w:pPr>
              <w:spacing w:line="240" w:lineRule="auto"/>
              <w:jc w:val="center"/>
              <w:rPr>
                <w:rFonts w:ascii="Times New Roman" w:eastAsia="Times New Roman" w:hAnsi="Times New Roman"/>
                <w:b/>
                <w:bCs/>
                <w:color w:val="000000"/>
                <w:lang w:eastAsia="fr-FR"/>
              </w:rPr>
            </w:pPr>
            <w:r w:rsidRPr="00072191">
              <w:rPr>
                <w:rFonts w:ascii="Times New Roman" w:eastAsia="Times New Roman" w:hAnsi="Times New Roman"/>
                <w:b/>
                <w:bCs/>
                <w:color w:val="000000"/>
                <w:lang w:eastAsia="fr-FR"/>
              </w:rPr>
              <w:t>74,8</w:t>
            </w:r>
          </w:p>
        </w:tc>
      </w:tr>
      <w:tr w:rsidR="00130B50" w:rsidRPr="00072191" w:rsidTr="00F31F3C">
        <w:trPr>
          <w:trHeight w:val="262"/>
        </w:trPr>
        <w:tc>
          <w:tcPr>
            <w:tcW w:w="8795" w:type="dxa"/>
            <w:gridSpan w:val="7"/>
            <w:tcBorders>
              <w:top w:val="double" w:sz="4" w:space="0" w:color="auto"/>
              <w:left w:val="nil"/>
              <w:bottom w:val="nil"/>
              <w:right w:val="nil"/>
            </w:tcBorders>
            <w:shd w:val="clear" w:color="auto" w:fill="DAEEF3" w:themeFill="accent5" w:themeFillTint="33"/>
            <w:hideMark/>
          </w:tcPr>
          <w:p w:rsidR="00130B50" w:rsidRPr="004A3FA5" w:rsidRDefault="00130B50" w:rsidP="00F31F3C">
            <w:pPr>
              <w:spacing w:line="276" w:lineRule="auto"/>
              <w:rPr>
                <w:rFonts w:ascii="Times New Roman" w:hAnsi="Times New Roman"/>
                <w:sz w:val="24"/>
                <w:szCs w:val="24"/>
              </w:rPr>
            </w:pPr>
            <w:r w:rsidRPr="002B220C">
              <w:rPr>
                <w:rFonts w:ascii="Times New Roman" w:hAnsi="Times New Roman"/>
                <w:sz w:val="20"/>
                <w:szCs w:val="20"/>
              </w:rPr>
              <w:t>Source : INSAE, EMICoV 2010</w:t>
            </w:r>
          </w:p>
        </w:tc>
      </w:tr>
    </w:tbl>
    <w:p w:rsidR="00130B50" w:rsidRPr="00472470" w:rsidRDefault="00130B50" w:rsidP="00130B50">
      <w:pPr>
        <w:spacing w:line="240" w:lineRule="auto"/>
        <w:rPr>
          <w:rFonts w:ascii="Times New Roman" w:eastAsia="Times New Roman" w:hAnsi="Times New Roman"/>
          <w:color w:val="000000"/>
          <w:sz w:val="12"/>
          <w:szCs w:val="12"/>
          <w:highlight w:val="yellow"/>
          <w:lang w:eastAsia="fr-FR"/>
        </w:rPr>
      </w:pPr>
    </w:p>
    <w:p w:rsidR="00130B50" w:rsidRDefault="00130B50" w:rsidP="00401A60">
      <w:pPr>
        <w:spacing w:line="276" w:lineRule="auto"/>
        <w:rPr>
          <w:rFonts w:ascii="Times New Roman" w:hAnsi="Times New Roman"/>
          <w:sz w:val="24"/>
          <w:szCs w:val="24"/>
        </w:rPr>
      </w:pPr>
    </w:p>
    <w:p w:rsidR="00401A60" w:rsidRDefault="009E3D3A" w:rsidP="00401A60">
      <w:pPr>
        <w:spacing w:line="276" w:lineRule="auto"/>
        <w:rPr>
          <w:rFonts w:ascii="Times New Roman" w:hAnsi="Times New Roman"/>
          <w:sz w:val="24"/>
          <w:szCs w:val="24"/>
        </w:rPr>
      </w:pPr>
      <w:r>
        <w:rPr>
          <w:rFonts w:ascii="Times New Roman" w:hAnsi="Times New Roman"/>
          <w:b/>
          <w:sz w:val="24"/>
          <w:szCs w:val="24"/>
        </w:rPr>
        <w:t>5</w:t>
      </w:r>
      <w:r w:rsidR="00401A60">
        <w:rPr>
          <w:rFonts w:ascii="Times New Roman" w:hAnsi="Times New Roman"/>
          <w:b/>
          <w:sz w:val="24"/>
          <w:szCs w:val="24"/>
        </w:rPr>
        <w:t>.2.3</w:t>
      </w:r>
      <w:r w:rsidR="00172E34">
        <w:rPr>
          <w:rFonts w:ascii="Times New Roman" w:hAnsi="Times New Roman"/>
          <w:b/>
          <w:sz w:val="24"/>
          <w:szCs w:val="24"/>
        </w:rPr>
        <w:t xml:space="preserve"> </w:t>
      </w:r>
      <w:r w:rsidR="00401A60" w:rsidRPr="007F42AC">
        <w:rPr>
          <w:rFonts w:ascii="Times New Roman" w:hAnsi="Times New Roman"/>
          <w:b/>
          <w:sz w:val="24"/>
          <w:szCs w:val="24"/>
        </w:rPr>
        <w:t>Composantes de la population active occupée</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taux d’emploi évolue dans le même sillage que le taux d’activité, en raison du faible niveau du chômage qui est au niveau national, quasi-inexistant. En effet, </w:t>
      </w:r>
      <w:r w:rsidR="00701C5F">
        <w:rPr>
          <w:rFonts w:ascii="Times New Roman" w:hAnsi="Times New Roman"/>
          <w:sz w:val="24"/>
          <w:szCs w:val="24"/>
        </w:rPr>
        <w:t>le Bénin</w:t>
      </w:r>
      <w:r>
        <w:rPr>
          <w:rFonts w:ascii="Times New Roman" w:hAnsi="Times New Roman"/>
          <w:sz w:val="24"/>
          <w:szCs w:val="24"/>
        </w:rPr>
        <w:t xml:space="preserve"> est caractérisé par une prépondérance de deux secteurs : le secteur informel qui domine en milieu urbain, et le secteur agricole en milieu rural. Dans ce contexte, la plupart des actifs s’ils ne sont pas dans le secteur informel en milieu urbain, ils sont dans les activités agricoles en milieu rural. Toutes ces personnes, lorsque l’agent enquêteur leur demande « avez-vous travaillé pendant au moins une heure au cours de la semaine de référence ? », ils répondent « oui ». En conséquence, ils ne  peuvent plus être considérés comme des chômeurs. Par contre, ils sont pour la plupart sous-employés. La plupart des actifs du secteur agricole sont sans niveau d’instruction. En milieu urbain également, le sous-emploi sévit dans le secteur informel. La plupart des habitants de la ville préfèrent accepter des emplois précaires et non décents que de rester au chômage car le Bénin n’octroi</w:t>
      </w:r>
      <w:r w:rsidR="009B1846">
        <w:rPr>
          <w:rFonts w:ascii="Times New Roman" w:hAnsi="Times New Roman"/>
          <w:sz w:val="24"/>
          <w:szCs w:val="24"/>
        </w:rPr>
        <w:t>e</w:t>
      </w:r>
      <w:r>
        <w:rPr>
          <w:rFonts w:ascii="Times New Roman" w:hAnsi="Times New Roman"/>
          <w:sz w:val="24"/>
          <w:szCs w:val="24"/>
        </w:rPr>
        <w:t xml:space="preserve"> pas pour le moment « d’indemnités de chômage ». </w:t>
      </w:r>
    </w:p>
    <w:p w:rsidR="00401A60" w:rsidRPr="004E39D9"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tableau </w:t>
      </w:r>
      <w:r w:rsidR="0030427B">
        <w:rPr>
          <w:rFonts w:ascii="Times New Roman" w:hAnsi="Times New Roman"/>
          <w:sz w:val="24"/>
          <w:szCs w:val="24"/>
        </w:rPr>
        <w:t>5</w:t>
      </w:r>
      <w:r>
        <w:rPr>
          <w:rFonts w:ascii="Times New Roman" w:hAnsi="Times New Roman"/>
          <w:sz w:val="24"/>
          <w:szCs w:val="24"/>
        </w:rPr>
        <w:t>.</w:t>
      </w:r>
      <w:r w:rsidR="0030427B">
        <w:rPr>
          <w:rFonts w:ascii="Times New Roman" w:hAnsi="Times New Roman"/>
          <w:sz w:val="24"/>
          <w:szCs w:val="24"/>
        </w:rPr>
        <w:t>2</w:t>
      </w:r>
      <w:r>
        <w:rPr>
          <w:rFonts w:ascii="Times New Roman" w:hAnsi="Times New Roman"/>
          <w:sz w:val="24"/>
          <w:szCs w:val="24"/>
        </w:rPr>
        <w:t xml:space="preserve"> donne la répartition de la population active selon la catégorie socio</w:t>
      </w:r>
      <w:r w:rsidR="00701C5F">
        <w:rPr>
          <w:rFonts w:ascii="Times New Roman" w:hAnsi="Times New Roman"/>
          <w:sz w:val="24"/>
          <w:szCs w:val="24"/>
        </w:rPr>
        <w:t>-</w:t>
      </w:r>
      <w:r>
        <w:rPr>
          <w:rFonts w:ascii="Times New Roman" w:hAnsi="Times New Roman"/>
          <w:sz w:val="24"/>
          <w:szCs w:val="24"/>
        </w:rPr>
        <w:t xml:space="preserve">professionnelle, le milieu de résidence et le sexe. Ce tableau indique que, que ce soit en milieu urbain ou en milieu rural et indépendamment du sexe, les actifs occupés sont pour la plupart des travailleurs à leur propre compte. Ainsi, 80% des hommes occupés (resp. 71% des femmes) travaillent pour leur propre compte en milieu rural contre 60% en milieu urbain (resp. 73% des femmes). Ces chiffres montrent aussi que la proportion de femmes travaillant à leur propre compte est plus élevée que celle des hommes en milieu urbain alors qu’en milieu rural, c’est l’inverse. Cet inversement de la part des travailleurs à leur propre compte parmi </w:t>
      </w:r>
      <w:r w:rsidR="009B1846">
        <w:rPr>
          <w:rFonts w:ascii="Times New Roman" w:hAnsi="Times New Roman"/>
          <w:sz w:val="24"/>
          <w:szCs w:val="24"/>
        </w:rPr>
        <w:t xml:space="preserve">les </w:t>
      </w:r>
      <w:r>
        <w:rPr>
          <w:rFonts w:ascii="Times New Roman" w:hAnsi="Times New Roman"/>
          <w:sz w:val="24"/>
          <w:szCs w:val="24"/>
        </w:rPr>
        <w:t>actifs occupés, selon le sexe, reflète une caractéristique principale de l’économie béninoise : le milieu rural est dominé par les activités agricoles qui mobilisent généralement plus les hommes que les femmes tandis que le milieu urbain est dominé par les activités commerciales et les services qui mobilisent généralement plus les femmes.</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tableau </w:t>
      </w:r>
      <w:r w:rsidR="00F31F3C">
        <w:rPr>
          <w:rFonts w:ascii="Times New Roman" w:hAnsi="Times New Roman"/>
          <w:sz w:val="24"/>
          <w:szCs w:val="24"/>
        </w:rPr>
        <w:t xml:space="preserve">5.2 </w:t>
      </w:r>
      <w:r>
        <w:rPr>
          <w:rFonts w:ascii="Times New Roman" w:hAnsi="Times New Roman"/>
          <w:sz w:val="24"/>
          <w:szCs w:val="24"/>
        </w:rPr>
        <w:t>montre également qu’il y a plus de salariés en milieu urbain qu’en milieu rural et plus de salariés parmi les hommes occupés que les femmes. 24,3% des hommes occupés en milieu urbain sont salariés, contre 8,7% des femmes. (resp. 5,1% contre 1,3% en milieu rural).</w:t>
      </w:r>
    </w:p>
    <w:p w:rsidR="00130B50" w:rsidRDefault="00130B50" w:rsidP="00130B50">
      <w:pPr>
        <w:spacing w:line="276" w:lineRule="auto"/>
        <w:rPr>
          <w:rFonts w:ascii="Times New Roman" w:hAnsi="Times New Roman"/>
          <w:sz w:val="24"/>
          <w:szCs w:val="24"/>
        </w:rPr>
      </w:pPr>
    </w:p>
    <w:tbl>
      <w:tblPr>
        <w:tblW w:w="9229" w:type="dxa"/>
        <w:tblInd w:w="93" w:type="dxa"/>
        <w:tblLook w:val="04A0" w:firstRow="1" w:lastRow="0" w:firstColumn="1" w:lastColumn="0" w:noHBand="0" w:noVBand="1"/>
      </w:tblPr>
      <w:tblGrid>
        <w:gridCol w:w="3276"/>
        <w:gridCol w:w="1701"/>
        <w:gridCol w:w="1295"/>
        <w:gridCol w:w="1887"/>
        <w:gridCol w:w="1070"/>
      </w:tblGrid>
      <w:tr w:rsidR="00130B50" w:rsidRPr="00D433D8" w:rsidTr="00F31F3C">
        <w:trPr>
          <w:trHeight w:val="173"/>
        </w:trPr>
        <w:tc>
          <w:tcPr>
            <w:tcW w:w="9229" w:type="dxa"/>
            <w:gridSpan w:val="5"/>
            <w:shd w:val="clear" w:color="auto" w:fill="92CDDC" w:themeFill="accent5" w:themeFillTint="99"/>
            <w:hideMark/>
          </w:tcPr>
          <w:p w:rsidR="00130B50" w:rsidRPr="00D433D8" w:rsidRDefault="00D433D8" w:rsidP="00130B50">
            <w:pPr>
              <w:spacing w:line="276" w:lineRule="auto"/>
              <w:rPr>
                <w:rFonts w:ascii="Times New Roman" w:hAnsi="Times New Roman"/>
                <w:sz w:val="24"/>
                <w:szCs w:val="24"/>
              </w:rPr>
            </w:pPr>
            <w:bookmarkStart w:id="157" w:name="_Toc369714516"/>
            <w:bookmarkStart w:id="158" w:name="_Toc373430441"/>
            <w:r w:rsidRPr="00D433D8">
              <w:rPr>
                <w:rFonts w:ascii="Times New Roman" w:hAnsi="Times New Roman"/>
                <w:sz w:val="24"/>
                <w:szCs w:val="24"/>
              </w:rPr>
              <w:t xml:space="preserve">Tableau 5. </w:t>
            </w:r>
            <w:r w:rsidR="00182C97" w:rsidRPr="00D433D8">
              <w:rPr>
                <w:rFonts w:ascii="Times New Roman" w:hAnsi="Times New Roman"/>
                <w:sz w:val="24"/>
                <w:szCs w:val="24"/>
              </w:rPr>
              <w:fldChar w:fldCharType="begin"/>
            </w:r>
            <w:r w:rsidRPr="00D433D8">
              <w:rPr>
                <w:rFonts w:ascii="Times New Roman" w:hAnsi="Times New Roman"/>
                <w:sz w:val="24"/>
                <w:szCs w:val="24"/>
              </w:rPr>
              <w:instrText xml:space="preserve"> SEQ Tableau_5. \* ARABIC </w:instrText>
            </w:r>
            <w:r w:rsidR="00182C97" w:rsidRPr="00D433D8">
              <w:rPr>
                <w:rFonts w:ascii="Times New Roman" w:hAnsi="Times New Roman"/>
                <w:sz w:val="24"/>
                <w:szCs w:val="24"/>
              </w:rPr>
              <w:fldChar w:fldCharType="separate"/>
            </w:r>
            <w:r w:rsidR="00AB1967">
              <w:rPr>
                <w:rFonts w:ascii="Times New Roman" w:hAnsi="Times New Roman"/>
                <w:noProof/>
                <w:sz w:val="24"/>
                <w:szCs w:val="24"/>
              </w:rPr>
              <w:t>2</w:t>
            </w:r>
            <w:r w:rsidR="00182C97" w:rsidRPr="00D433D8">
              <w:rPr>
                <w:rFonts w:ascii="Times New Roman" w:hAnsi="Times New Roman"/>
                <w:sz w:val="24"/>
                <w:szCs w:val="24"/>
              </w:rPr>
              <w:fldChar w:fldCharType="end"/>
            </w:r>
            <w:r w:rsidR="00130B50" w:rsidRPr="00D433D8">
              <w:rPr>
                <w:rFonts w:ascii="Times New Roman" w:hAnsi="Times New Roman"/>
                <w:sz w:val="24"/>
                <w:szCs w:val="24"/>
              </w:rPr>
              <w:t>: Répartition des actifs occupés selon la catégorie socio-professionnelle selon le milieu de résidence et le sexe en 2010</w:t>
            </w:r>
            <w:bookmarkEnd w:id="157"/>
            <w:bookmarkEnd w:id="158"/>
          </w:p>
        </w:tc>
      </w:tr>
      <w:tr w:rsidR="00130B50" w:rsidRPr="00693E2F" w:rsidTr="00472470">
        <w:trPr>
          <w:trHeight w:val="259"/>
        </w:trPr>
        <w:tc>
          <w:tcPr>
            <w:tcW w:w="3276" w:type="dxa"/>
            <w:vMerge w:val="restart"/>
            <w:tcBorders>
              <w:top w:val="double" w:sz="4" w:space="0" w:color="auto"/>
              <w:bottom w:val="single" w:sz="4" w:space="0" w:color="auto"/>
            </w:tcBorders>
            <w:shd w:val="clear" w:color="auto" w:fill="DAEEF3" w:themeFill="accent5" w:themeFillTint="33"/>
            <w:noWrap/>
            <w:vAlign w:val="bottom"/>
            <w:hideMark/>
          </w:tcPr>
          <w:p w:rsidR="00130B50" w:rsidRPr="00693E2F" w:rsidRDefault="00130B50" w:rsidP="00F31F3C">
            <w:pPr>
              <w:pBdr>
                <w:bar w:val="single" w:sz="4" w:color="auto"/>
              </w:pBdr>
              <w:rPr>
                <w:rFonts w:ascii="Times New Roman" w:hAnsi="Times New Roman"/>
                <w:b/>
                <w:bCs/>
              </w:rPr>
            </w:pPr>
          </w:p>
        </w:tc>
        <w:tc>
          <w:tcPr>
            <w:tcW w:w="2996" w:type="dxa"/>
            <w:gridSpan w:val="2"/>
            <w:tcBorders>
              <w:top w:val="double" w:sz="4" w:space="0" w:color="auto"/>
              <w:bottom w:val="single" w:sz="4" w:space="0" w:color="auto"/>
            </w:tcBorders>
            <w:shd w:val="clear" w:color="auto" w:fill="DAEEF3" w:themeFill="accent5" w:themeFillTint="33"/>
            <w:noWrap/>
            <w:hideMark/>
          </w:tcPr>
          <w:p w:rsidR="00130B50" w:rsidRPr="00693E2F" w:rsidRDefault="00130B50" w:rsidP="00F31F3C">
            <w:pPr>
              <w:pBdr>
                <w:bar w:val="single" w:sz="4" w:color="auto"/>
              </w:pBdr>
              <w:jc w:val="center"/>
              <w:rPr>
                <w:rFonts w:ascii="Times New Roman" w:hAnsi="Times New Roman"/>
              </w:rPr>
            </w:pPr>
            <w:r w:rsidRPr="00693E2F">
              <w:rPr>
                <w:rFonts w:ascii="Times New Roman" w:hAnsi="Times New Roman"/>
                <w:bCs/>
              </w:rPr>
              <w:t>R</w:t>
            </w:r>
            <w:r w:rsidR="00BB665E" w:rsidRPr="00693E2F">
              <w:rPr>
                <w:rFonts w:ascii="Times New Roman" w:hAnsi="Times New Roman"/>
                <w:bCs/>
              </w:rPr>
              <w:t>ural</w:t>
            </w:r>
          </w:p>
        </w:tc>
        <w:tc>
          <w:tcPr>
            <w:tcW w:w="2957" w:type="dxa"/>
            <w:gridSpan w:val="2"/>
            <w:tcBorders>
              <w:top w:val="double" w:sz="4" w:space="0" w:color="auto"/>
              <w:bottom w:val="single" w:sz="4" w:space="0" w:color="auto"/>
            </w:tcBorders>
            <w:shd w:val="clear" w:color="auto" w:fill="DAEEF3" w:themeFill="accent5" w:themeFillTint="33"/>
          </w:tcPr>
          <w:p w:rsidR="00130B50" w:rsidRPr="00693E2F" w:rsidRDefault="00130B50" w:rsidP="00F31F3C">
            <w:pPr>
              <w:pBdr>
                <w:bar w:val="single" w:sz="4" w:color="auto"/>
              </w:pBdr>
              <w:jc w:val="center"/>
              <w:rPr>
                <w:rFonts w:ascii="Times New Roman" w:hAnsi="Times New Roman"/>
                <w:bCs/>
              </w:rPr>
            </w:pPr>
            <w:r w:rsidRPr="00693E2F">
              <w:rPr>
                <w:rFonts w:ascii="Times New Roman" w:hAnsi="Times New Roman"/>
                <w:bCs/>
              </w:rPr>
              <w:t>U</w:t>
            </w:r>
            <w:r w:rsidR="00BB665E" w:rsidRPr="00693E2F">
              <w:rPr>
                <w:rFonts w:ascii="Times New Roman" w:hAnsi="Times New Roman"/>
                <w:bCs/>
              </w:rPr>
              <w:t>rbain</w:t>
            </w:r>
          </w:p>
        </w:tc>
      </w:tr>
      <w:tr w:rsidR="00130B50" w:rsidRPr="00693E2F" w:rsidTr="00472470">
        <w:trPr>
          <w:trHeight w:val="259"/>
        </w:trPr>
        <w:tc>
          <w:tcPr>
            <w:tcW w:w="3276" w:type="dxa"/>
            <w:vMerge/>
            <w:tcBorders>
              <w:top w:val="single" w:sz="4" w:space="0" w:color="auto"/>
              <w:bottom w:val="single" w:sz="4" w:space="0" w:color="auto"/>
            </w:tcBorders>
            <w:shd w:val="clear" w:color="auto" w:fill="DAEEF3" w:themeFill="accent5" w:themeFillTint="33"/>
            <w:noWrap/>
            <w:vAlign w:val="bottom"/>
            <w:hideMark/>
          </w:tcPr>
          <w:p w:rsidR="00130B50" w:rsidRPr="00693E2F" w:rsidRDefault="00130B50" w:rsidP="00F31F3C">
            <w:pPr>
              <w:pBdr>
                <w:bar w:val="single" w:sz="4" w:color="auto"/>
              </w:pBdr>
              <w:rPr>
                <w:rFonts w:ascii="Times New Roman" w:hAnsi="Times New Roman"/>
              </w:rPr>
            </w:pPr>
          </w:p>
        </w:tc>
        <w:tc>
          <w:tcPr>
            <w:tcW w:w="1701" w:type="dxa"/>
            <w:tcBorders>
              <w:top w:val="single" w:sz="4" w:space="0" w:color="auto"/>
              <w:bottom w:val="single" w:sz="4" w:space="0" w:color="auto"/>
            </w:tcBorders>
            <w:shd w:val="clear" w:color="auto" w:fill="DAEEF3" w:themeFill="accent5" w:themeFillTint="33"/>
            <w:hideMark/>
          </w:tcPr>
          <w:p w:rsidR="00130B50" w:rsidRPr="00693E2F" w:rsidRDefault="00130B50" w:rsidP="00F31F3C">
            <w:pPr>
              <w:pBdr>
                <w:bar w:val="single" w:sz="4" w:color="auto"/>
              </w:pBdr>
              <w:jc w:val="center"/>
              <w:rPr>
                <w:rFonts w:ascii="Times New Roman" w:hAnsi="Times New Roman"/>
                <w:bCs/>
                <w:color w:val="000000"/>
              </w:rPr>
            </w:pPr>
            <w:r w:rsidRPr="00693E2F">
              <w:rPr>
                <w:rFonts w:ascii="Times New Roman" w:hAnsi="Times New Roman"/>
                <w:bCs/>
                <w:color w:val="000000"/>
              </w:rPr>
              <w:t>Masculin</w:t>
            </w:r>
          </w:p>
        </w:tc>
        <w:tc>
          <w:tcPr>
            <w:tcW w:w="1295" w:type="dxa"/>
            <w:tcBorders>
              <w:top w:val="single" w:sz="4" w:space="0" w:color="auto"/>
              <w:bottom w:val="single" w:sz="4" w:space="0" w:color="auto"/>
            </w:tcBorders>
            <w:shd w:val="clear" w:color="auto" w:fill="DAEEF3" w:themeFill="accent5" w:themeFillTint="33"/>
            <w:hideMark/>
          </w:tcPr>
          <w:p w:rsidR="00130B50" w:rsidRPr="00693E2F" w:rsidRDefault="00130B50" w:rsidP="00F31F3C">
            <w:pPr>
              <w:pBdr>
                <w:bar w:val="single" w:sz="4" w:color="auto"/>
              </w:pBdr>
              <w:jc w:val="center"/>
              <w:rPr>
                <w:rFonts w:ascii="Times New Roman" w:hAnsi="Times New Roman"/>
                <w:bCs/>
                <w:color w:val="000000"/>
              </w:rPr>
            </w:pPr>
            <w:r w:rsidRPr="00693E2F">
              <w:rPr>
                <w:rFonts w:ascii="Times New Roman" w:hAnsi="Times New Roman"/>
                <w:bCs/>
                <w:color w:val="000000"/>
              </w:rPr>
              <w:t>Féminin</w:t>
            </w:r>
          </w:p>
        </w:tc>
        <w:tc>
          <w:tcPr>
            <w:tcW w:w="1887" w:type="dxa"/>
            <w:tcBorders>
              <w:top w:val="single" w:sz="4" w:space="0" w:color="auto"/>
              <w:bottom w:val="single" w:sz="4" w:space="0" w:color="auto"/>
            </w:tcBorders>
            <w:shd w:val="clear" w:color="auto" w:fill="DAEEF3" w:themeFill="accent5" w:themeFillTint="33"/>
          </w:tcPr>
          <w:p w:rsidR="00130B50" w:rsidRPr="00693E2F" w:rsidRDefault="00130B50" w:rsidP="00F31F3C">
            <w:pPr>
              <w:pBdr>
                <w:bar w:val="single" w:sz="4" w:color="auto"/>
              </w:pBdr>
              <w:jc w:val="center"/>
              <w:rPr>
                <w:rFonts w:ascii="Times New Roman" w:hAnsi="Times New Roman"/>
                <w:color w:val="000000"/>
              </w:rPr>
            </w:pPr>
            <w:r w:rsidRPr="00693E2F">
              <w:rPr>
                <w:rFonts w:ascii="Times New Roman" w:hAnsi="Times New Roman"/>
                <w:color w:val="000000"/>
              </w:rPr>
              <w:t>Masculin</w:t>
            </w:r>
          </w:p>
        </w:tc>
        <w:tc>
          <w:tcPr>
            <w:tcW w:w="1070" w:type="dxa"/>
            <w:tcBorders>
              <w:top w:val="single" w:sz="4" w:space="0" w:color="auto"/>
              <w:bottom w:val="single" w:sz="4" w:space="0" w:color="auto"/>
            </w:tcBorders>
            <w:shd w:val="clear" w:color="auto" w:fill="DAEEF3" w:themeFill="accent5" w:themeFillTint="33"/>
          </w:tcPr>
          <w:p w:rsidR="00130B50" w:rsidRPr="00693E2F" w:rsidRDefault="00130B50" w:rsidP="00F31F3C">
            <w:pPr>
              <w:pBdr>
                <w:bar w:val="single" w:sz="4" w:color="auto"/>
              </w:pBdr>
              <w:jc w:val="center"/>
              <w:rPr>
                <w:rFonts w:ascii="Times New Roman" w:hAnsi="Times New Roman"/>
                <w:color w:val="000000"/>
              </w:rPr>
            </w:pPr>
            <w:r w:rsidRPr="00693E2F">
              <w:rPr>
                <w:rFonts w:ascii="Times New Roman" w:hAnsi="Times New Roman"/>
                <w:color w:val="000000"/>
              </w:rPr>
              <w:t>Féminin</w:t>
            </w:r>
          </w:p>
        </w:tc>
      </w:tr>
      <w:tr w:rsidR="00130B50" w:rsidRPr="00693E2F" w:rsidTr="00472470">
        <w:trPr>
          <w:trHeight w:val="284"/>
        </w:trPr>
        <w:tc>
          <w:tcPr>
            <w:tcW w:w="3276" w:type="dxa"/>
            <w:shd w:val="clear" w:color="auto" w:fill="DAEEF3" w:themeFill="accent5" w:themeFillTint="33"/>
            <w:hideMark/>
          </w:tcPr>
          <w:p w:rsidR="00130B50" w:rsidRPr="00693E2F" w:rsidRDefault="00130B50" w:rsidP="00F31F3C">
            <w:pPr>
              <w:pBdr>
                <w:bar w:val="single" w:sz="4" w:color="auto"/>
              </w:pBdr>
              <w:spacing w:line="240" w:lineRule="auto"/>
              <w:rPr>
                <w:rFonts w:ascii="Times New Roman" w:hAnsi="Times New Roman"/>
                <w:color w:val="000000"/>
              </w:rPr>
            </w:pPr>
            <w:r w:rsidRPr="00693E2F">
              <w:rPr>
                <w:rFonts w:ascii="Times New Roman" w:hAnsi="Times New Roman"/>
                <w:color w:val="000000"/>
              </w:rPr>
              <w:t>Salariés</w:t>
            </w:r>
          </w:p>
        </w:tc>
        <w:tc>
          <w:tcPr>
            <w:tcW w:w="1701"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5,1</w:t>
            </w:r>
          </w:p>
        </w:tc>
        <w:tc>
          <w:tcPr>
            <w:tcW w:w="1295"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1,3</w:t>
            </w:r>
          </w:p>
        </w:tc>
        <w:tc>
          <w:tcPr>
            <w:tcW w:w="1887"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24,3</w:t>
            </w:r>
          </w:p>
        </w:tc>
        <w:tc>
          <w:tcPr>
            <w:tcW w:w="1070"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8,7</w:t>
            </w:r>
          </w:p>
        </w:tc>
      </w:tr>
      <w:tr w:rsidR="00130B50" w:rsidRPr="00693E2F" w:rsidTr="00472470">
        <w:trPr>
          <w:trHeight w:val="284"/>
        </w:trPr>
        <w:tc>
          <w:tcPr>
            <w:tcW w:w="3276" w:type="dxa"/>
            <w:shd w:val="clear" w:color="auto" w:fill="DAEEF3" w:themeFill="accent5" w:themeFillTint="33"/>
            <w:hideMark/>
          </w:tcPr>
          <w:p w:rsidR="00130B50" w:rsidRPr="00693E2F" w:rsidRDefault="00130B50" w:rsidP="00F31F3C">
            <w:pPr>
              <w:pBdr>
                <w:bar w:val="single" w:sz="4" w:color="auto"/>
              </w:pBdr>
              <w:spacing w:line="240" w:lineRule="auto"/>
              <w:rPr>
                <w:rFonts w:ascii="Times New Roman" w:hAnsi="Times New Roman"/>
                <w:color w:val="000000"/>
              </w:rPr>
            </w:pPr>
            <w:r w:rsidRPr="00693E2F">
              <w:rPr>
                <w:rFonts w:ascii="Times New Roman" w:hAnsi="Times New Roman"/>
                <w:color w:val="000000"/>
              </w:rPr>
              <w:t>Employeur</w:t>
            </w:r>
          </w:p>
        </w:tc>
        <w:tc>
          <w:tcPr>
            <w:tcW w:w="1701"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0,8</w:t>
            </w:r>
          </w:p>
        </w:tc>
        <w:tc>
          <w:tcPr>
            <w:tcW w:w="1295"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0,1</w:t>
            </w:r>
          </w:p>
        </w:tc>
        <w:tc>
          <w:tcPr>
            <w:tcW w:w="1887"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3,6</w:t>
            </w:r>
          </w:p>
        </w:tc>
        <w:tc>
          <w:tcPr>
            <w:tcW w:w="1070"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1,1</w:t>
            </w:r>
          </w:p>
        </w:tc>
      </w:tr>
      <w:tr w:rsidR="00130B50" w:rsidRPr="00693E2F" w:rsidTr="00472470">
        <w:trPr>
          <w:trHeight w:val="284"/>
        </w:trPr>
        <w:tc>
          <w:tcPr>
            <w:tcW w:w="3276" w:type="dxa"/>
            <w:shd w:val="clear" w:color="auto" w:fill="DAEEF3" w:themeFill="accent5" w:themeFillTint="33"/>
            <w:hideMark/>
          </w:tcPr>
          <w:p w:rsidR="00130B50" w:rsidRPr="00693E2F" w:rsidRDefault="00130B50" w:rsidP="00F31F3C">
            <w:pPr>
              <w:pBdr>
                <w:bar w:val="single" w:sz="4" w:color="auto"/>
              </w:pBdr>
              <w:spacing w:line="240" w:lineRule="auto"/>
              <w:rPr>
                <w:rFonts w:ascii="Times New Roman" w:hAnsi="Times New Roman"/>
                <w:color w:val="000000"/>
              </w:rPr>
            </w:pPr>
            <w:r w:rsidRPr="00693E2F">
              <w:rPr>
                <w:rFonts w:ascii="Times New Roman" w:hAnsi="Times New Roman"/>
                <w:color w:val="000000"/>
              </w:rPr>
              <w:t>Travailleur à son propre compte</w:t>
            </w:r>
          </w:p>
        </w:tc>
        <w:tc>
          <w:tcPr>
            <w:tcW w:w="1701"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80,1</w:t>
            </w:r>
          </w:p>
        </w:tc>
        <w:tc>
          <w:tcPr>
            <w:tcW w:w="1295"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70,8</w:t>
            </w:r>
          </w:p>
        </w:tc>
        <w:tc>
          <w:tcPr>
            <w:tcW w:w="1887"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60,5</w:t>
            </w:r>
          </w:p>
        </w:tc>
        <w:tc>
          <w:tcPr>
            <w:tcW w:w="1070"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73,3</w:t>
            </w:r>
          </w:p>
        </w:tc>
      </w:tr>
      <w:tr w:rsidR="00130B50" w:rsidRPr="00693E2F" w:rsidTr="00472470">
        <w:trPr>
          <w:trHeight w:val="284"/>
        </w:trPr>
        <w:tc>
          <w:tcPr>
            <w:tcW w:w="3276" w:type="dxa"/>
            <w:shd w:val="clear" w:color="auto" w:fill="DAEEF3" w:themeFill="accent5" w:themeFillTint="33"/>
            <w:hideMark/>
          </w:tcPr>
          <w:p w:rsidR="00130B50" w:rsidRPr="00693E2F" w:rsidRDefault="00130B50" w:rsidP="00F31F3C">
            <w:pPr>
              <w:pBdr>
                <w:bar w:val="single" w:sz="4" w:color="auto"/>
              </w:pBdr>
              <w:spacing w:line="240" w:lineRule="auto"/>
              <w:rPr>
                <w:rFonts w:ascii="Times New Roman" w:hAnsi="Times New Roman"/>
                <w:color w:val="000000"/>
              </w:rPr>
            </w:pPr>
            <w:r w:rsidRPr="00693E2F">
              <w:rPr>
                <w:rFonts w:ascii="Times New Roman" w:hAnsi="Times New Roman"/>
                <w:color w:val="000000"/>
              </w:rPr>
              <w:t>Apprenti/Aide familial</w:t>
            </w:r>
          </w:p>
        </w:tc>
        <w:tc>
          <w:tcPr>
            <w:tcW w:w="1701"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14,0</w:t>
            </w:r>
          </w:p>
        </w:tc>
        <w:tc>
          <w:tcPr>
            <w:tcW w:w="1295" w:type="dxa"/>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27,7</w:t>
            </w:r>
          </w:p>
        </w:tc>
        <w:tc>
          <w:tcPr>
            <w:tcW w:w="1887"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11,6</w:t>
            </w:r>
          </w:p>
        </w:tc>
        <w:tc>
          <w:tcPr>
            <w:tcW w:w="1070" w:type="dxa"/>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16,9</w:t>
            </w:r>
          </w:p>
        </w:tc>
      </w:tr>
      <w:tr w:rsidR="00130B50" w:rsidRPr="00693E2F" w:rsidTr="00472470">
        <w:trPr>
          <w:trHeight w:val="284"/>
        </w:trPr>
        <w:tc>
          <w:tcPr>
            <w:tcW w:w="3276" w:type="dxa"/>
            <w:tcBorders>
              <w:bottom w:val="double" w:sz="4" w:space="0" w:color="auto"/>
            </w:tcBorders>
            <w:shd w:val="clear" w:color="auto" w:fill="DAEEF3" w:themeFill="accent5" w:themeFillTint="33"/>
            <w:hideMark/>
          </w:tcPr>
          <w:p w:rsidR="00130B50" w:rsidRPr="00693E2F" w:rsidRDefault="00130B50" w:rsidP="00F31F3C">
            <w:pPr>
              <w:pBdr>
                <w:bar w:val="single" w:sz="4" w:color="auto"/>
              </w:pBdr>
              <w:spacing w:line="240" w:lineRule="auto"/>
              <w:rPr>
                <w:rFonts w:ascii="Times New Roman" w:hAnsi="Times New Roman"/>
                <w:color w:val="000000"/>
              </w:rPr>
            </w:pPr>
            <w:r w:rsidRPr="00693E2F">
              <w:rPr>
                <w:rFonts w:ascii="Times New Roman" w:hAnsi="Times New Roman"/>
                <w:color w:val="000000"/>
              </w:rPr>
              <w:t>Total</w:t>
            </w:r>
          </w:p>
        </w:tc>
        <w:tc>
          <w:tcPr>
            <w:tcW w:w="1701" w:type="dxa"/>
            <w:tcBorders>
              <w:bottom w:val="double" w:sz="4" w:space="0" w:color="auto"/>
            </w:tcBorders>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100,0</w:t>
            </w:r>
          </w:p>
        </w:tc>
        <w:tc>
          <w:tcPr>
            <w:tcW w:w="1295" w:type="dxa"/>
            <w:tcBorders>
              <w:bottom w:val="double" w:sz="4" w:space="0" w:color="auto"/>
            </w:tcBorders>
            <w:shd w:val="clear" w:color="auto" w:fill="DAEEF3" w:themeFill="accent5" w:themeFillTint="33"/>
            <w:noWrap/>
            <w:hideMark/>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100,0</w:t>
            </w:r>
          </w:p>
        </w:tc>
        <w:tc>
          <w:tcPr>
            <w:tcW w:w="1887" w:type="dxa"/>
            <w:tcBorders>
              <w:bottom w:val="double" w:sz="4" w:space="0" w:color="auto"/>
            </w:tcBorders>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100,0</w:t>
            </w:r>
          </w:p>
        </w:tc>
        <w:tc>
          <w:tcPr>
            <w:tcW w:w="1070" w:type="dxa"/>
            <w:tcBorders>
              <w:bottom w:val="double" w:sz="4" w:space="0" w:color="auto"/>
            </w:tcBorders>
            <w:shd w:val="clear" w:color="auto" w:fill="DAEEF3" w:themeFill="accent5" w:themeFillTint="33"/>
          </w:tcPr>
          <w:p w:rsidR="00130B50" w:rsidRPr="00693E2F" w:rsidRDefault="00130B50" w:rsidP="00F31F3C">
            <w:pPr>
              <w:pBdr>
                <w:bar w:val="single" w:sz="4" w:color="auto"/>
              </w:pBdr>
              <w:spacing w:line="240" w:lineRule="auto"/>
              <w:jc w:val="center"/>
              <w:rPr>
                <w:rFonts w:ascii="Times New Roman" w:hAnsi="Times New Roman"/>
                <w:color w:val="000000"/>
              </w:rPr>
            </w:pPr>
            <w:r w:rsidRPr="00693E2F">
              <w:rPr>
                <w:rFonts w:ascii="Times New Roman" w:hAnsi="Times New Roman"/>
                <w:color w:val="000000"/>
              </w:rPr>
              <w:t>100,0</w:t>
            </w:r>
          </w:p>
        </w:tc>
      </w:tr>
      <w:tr w:rsidR="00130B50" w:rsidRPr="00693E2F" w:rsidTr="00F31F3C">
        <w:trPr>
          <w:trHeight w:val="322"/>
        </w:trPr>
        <w:tc>
          <w:tcPr>
            <w:tcW w:w="9229" w:type="dxa"/>
            <w:gridSpan w:val="5"/>
            <w:shd w:val="clear" w:color="auto" w:fill="DAEEF3" w:themeFill="accent5" w:themeFillTint="33"/>
            <w:hideMark/>
          </w:tcPr>
          <w:p w:rsidR="00130B50" w:rsidRPr="00F20651" w:rsidRDefault="00130B50" w:rsidP="00F31F3C">
            <w:pPr>
              <w:spacing w:line="240" w:lineRule="auto"/>
              <w:rPr>
                <w:rFonts w:ascii="Times New Roman" w:hAnsi="Times New Roman"/>
                <w:sz w:val="20"/>
                <w:szCs w:val="20"/>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130B50" w:rsidRPr="00693E2F" w:rsidRDefault="00130B50" w:rsidP="00130B50">
      <w:pPr>
        <w:pBdr>
          <w:bar w:val="single" w:sz="4" w:color="auto"/>
        </w:pBdr>
        <w:spacing w:line="240" w:lineRule="auto"/>
        <w:rPr>
          <w:rFonts w:ascii="Times New Roman" w:hAnsi="Times New Roman"/>
          <w:color w:val="000000"/>
        </w:rPr>
      </w:pPr>
    </w:p>
    <w:p w:rsidR="00401A60" w:rsidRPr="004E39D9"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tableau </w:t>
      </w:r>
      <w:r w:rsidR="0030427B">
        <w:rPr>
          <w:rFonts w:ascii="Times New Roman" w:hAnsi="Times New Roman"/>
          <w:sz w:val="24"/>
          <w:szCs w:val="24"/>
        </w:rPr>
        <w:t>5</w:t>
      </w:r>
      <w:r>
        <w:rPr>
          <w:rFonts w:ascii="Times New Roman" w:hAnsi="Times New Roman"/>
          <w:sz w:val="24"/>
          <w:szCs w:val="24"/>
        </w:rPr>
        <w:t>.</w:t>
      </w:r>
      <w:r w:rsidR="00F31F3C">
        <w:rPr>
          <w:rFonts w:ascii="Times New Roman" w:hAnsi="Times New Roman"/>
          <w:sz w:val="24"/>
          <w:szCs w:val="24"/>
        </w:rPr>
        <w:t>3</w:t>
      </w:r>
      <w:r>
        <w:rPr>
          <w:rFonts w:ascii="Times New Roman" w:hAnsi="Times New Roman"/>
          <w:sz w:val="24"/>
          <w:szCs w:val="24"/>
        </w:rPr>
        <w:t xml:space="preserve"> présente la répartition des actifs occupés selon l’âge et la catégorie socio-professionnelle. Il montre que les jeunes de 15-24 ans sont majoritairement des apprentis ou des aides familiaux (85,5%) tandis que les adultes (25-64 ans) sont pour la plupart travailleurs à leur propre compte (67,5%).</w:t>
      </w:r>
    </w:p>
    <w:p w:rsidR="00F31F3C" w:rsidRPr="00472470" w:rsidRDefault="00F31F3C" w:rsidP="00F31F3C">
      <w:pPr>
        <w:rPr>
          <w:rFonts w:ascii="Arial" w:eastAsia="Times New Roman" w:hAnsi="Arial" w:cs="Arial"/>
          <w:b/>
          <w:bCs/>
          <w:sz w:val="12"/>
          <w:szCs w:val="12"/>
        </w:rPr>
      </w:pPr>
    </w:p>
    <w:tbl>
      <w:tblPr>
        <w:tblW w:w="9229" w:type="dxa"/>
        <w:tblInd w:w="93" w:type="dxa"/>
        <w:tblLook w:val="04A0" w:firstRow="1" w:lastRow="0" w:firstColumn="1" w:lastColumn="0" w:noHBand="0" w:noVBand="1"/>
      </w:tblPr>
      <w:tblGrid>
        <w:gridCol w:w="3321"/>
        <w:gridCol w:w="3321"/>
        <w:gridCol w:w="2587"/>
      </w:tblGrid>
      <w:tr w:rsidR="006A41A6" w:rsidRPr="006A41A6" w:rsidTr="006A41A6">
        <w:trPr>
          <w:trHeight w:val="278"/>
        </w:trPr>
        <w:tc>
          <w:tcPr>
            <w:tcW w:w="9229" w:type="dxa"/>
            <w:gridSpan w:val="3"/>
            <w:tcBorders>
              <w:left w:val="nil"/>
              <w:bottom w:val="double" w:sz="4" w:space="0" w:color="auto"/>
              <w:right w:val="nil"/>
            </w:tcBorders>
            <w:shd w:val="clear" w:color="auto" w:fill="92CDDC" w:themeFill="accent5" w:themeFillTint="99"/>
            <w:noWrap/>
            <w:vAlign w:val="bottom"/>
            <w:hideMark/>
          </w:tcPr>
          <w:p w:rsidR="006A41A6" w:rsidRPr="006A41A6" w:rsidRDefault="006A41A6" w:rsidP="00F31F3C">
            <w:pPr>
              <w:spacing w:line="240" w:lineRule="auto"/>
              <w:rPr>
                <w:rFonts w:ascii="Times New Roman" w:eastAsia="Times New Roman" w:hAnsi="Times New Roman"/>
                <w:bCs/>
                <w:sz w:val="24"/>
                <w:szCs w:val="24"/>
              </w:rPr>
            </w:pPr>
            <w:bookmarkStart w:id="159" w:name="_Toc369714517"/>
            <w:bookmarkStart w:id="160" w:name="_Toc373430442"/>
            <w:r w:rsidRPr="006A41A6">
              <w:rPr>
                <w:rFonts w:ascii="Times New Roman" w:hAnsi="Times New Roman"/>
                <w:sz w:val="24"/>
                <w:szCs w:val="24"/>
              </w:rPr>
              <w:t xml:space="preserve">Tableau 5. </w:t>
            </w:r>
            <w:r w:rsidR="00182C97" w:rsidRPr="006A41A6">
              <w:rPr>
                <w:rFonts w:ascii="Times New Roman" w:hAnsi="Times New Roman"/>
                <w:sz w:val="24"/>
                <w:szCs w:val="24"/>
              </w:rPr>
              <w:fldChar w:fldCharType="begin"/>
            </w:r>
            <w:r w:rsidRPr="006A41A6">
              <w:rPr>
                <w:rFonts w:ascii="Times New Roman" w:hAnsi="Times New Roman"/>
                <w:sz w:val="24"/>
                <w:szCs w:val="24"/>
              </w:rPr>
              <w:instrText xml:space="preserve"> SEQ Tableau_5. \* ARABIC </w:instrText>
            </w:r>
            <w:r w:rsidR="00182C97" w:rsidRPr="006A41A6">
              <w:rPr>
                <w:rFonts w:ascii="Times New Roman" w:hAnsi="Times New Roman"/>
                <w:sz w:val="24"/>
                <w:szCs w:val="24"/>
              </w:rPr>
              <w:fldChar w:fldCharType="separate"/>
            </w:r>
            <w:r w:rsidR="00AB1967">
              <w:rPr>
                <w:rFonts w:ascii="Times New Roman" w:hAnsi="Times New Roman"/>
                <w:noProof/>
                <w:sz w:val="24"/>
                <w:szCs w:val="24"/>
              </w:rPr>
              <w:t>3</w:t>
            </w:r>
            <w:r w:rsidR="00182C97" w:rsidRPr="006A41A6">
              <w:rPr>
                <w:rFonts w:ascii="Times New Roman" w:hAnsi="Times New Roman"/>
                <w:sz w:val="24"/>
                <w:szCs w:val="24"/>
              </w:rPr>
              <w:fldChar w:fldCharType="end"/>
            </w:r>
            <w:r w:rsidRPr="006A41A6">
              <w:rPr>
                <w:rFonts w:ascii="Times New Roman" w:hAnsi="Times New Roman"/>
                <w:sz w:val="24"/>
                <w:szCs w:val="24"/>
              </w:rPr>
              <w:t>: Répartition des actifs occupés selon l'âge et la catégorie socioprofessionnelle au Bénin en 2010</w:t>
            </w:r>
            <w:bookmarkEnd w:id="159"/>
            <w:bookmarkEnd w:id="160"/>
          </w:p>
        </w:tc>
      </w:tr>
      <w:tr w:rsidR="00F31F3C" w:rsidRPr="003C122C" w:rsidTr="006A41A6">
        <w:trPr>
          <w:trHeight w:val="278"/>
        </w:trPr>
        <w:tc>
          <w:tcPr>
            <w:tcW w:w="3321"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3C122C" w:rsidRDefault="00F31F3C" w:rsidP="00F31F3C">
            <w:pPr>
              <w:spacing w:line="240" w:lineRule="auto"/>
              <w:rPr>
                <w:rFonts w:ascii="Times New Roman" w:eastAsia="Times New Roman" w:hAnsi="Times New Roman"/>
              </w:rPr>
            </w:pPr>
            <w:r w:rsidRPr="003C122C">
              <w:rPr>
                <w:rFonts w:ascii="Times New Roman" w:eastAsia="Times New Roman" w:hAnsi="Times New Roman"/>
              </w:rPr>
              <w:t> </w:t>
            </w:r>
          </w:p>
        </w:tc>
        <w:tc>
          <w:tcPr>
            <w:tcW w:w="3321"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3C122C" w:rsidRDefault="00F31F3C" w:rsidP="00F31F3C">
            <w:pPr>
              <w:spacing w:line="240" w:lineRule="auto"/>
              <w:rPr>
                <w:rFonts w:ascii="Times New Roman" w:eastAsia="Times New Roman" w:hAnsi="Times New Roman"/>
                <w:bCs/>
              </w:rPr>
            </w:pPr>
            <w:r w:rsidRPr="003C122C">
              <w:rPr>
                <w:rFonts w:ascii="Times New Roman" w:eastAsia="Times New Roman" w:hAnsi="Times New Roman"/>
                <w:bCs/>
              </w:rPr>
              <w:t>15-24 ans</w:t>
            </w:r>
          </w:p>
        </w:tc>
        <w:tc>
          <w:tcPr>
            <w:tcW w:w="2587"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3C122C" w:rsidRDefault="00F31F3C" w:rsidP="00F31F3C">
            <w:pPr>
              <w:spacing w:line="240" w:lineRule="auto"/>
              <w:rPr>
                <w:rFonts w:ascii="Times New Roman" w:eastAsia="Times New Roman" w:hAnsi="Times New Roman"/>
                <w:bCs/>
              </w:rPr>
            </w:pPr>
            <w:r w:rsidRPr="003C122C">
              <w:rPr>
                <w:rFonts w:ascii="Times New Roman" w:eastAsia="Times New Roman" w:hAnsi="Times New Roman"/>
                <w:bCs/>
              </w:rPr>
              <w:t>25-64 ans</w:t>
            </w:r>
          </w:p>
        </w:tc>
      </w:tr>
      <w:tr w:rsidR="00F31F3C" w:rsidRPr="003C122C" w:rsidTr="00F31F3C">
        <w:trPr>
          <w:trHeight w:val="278"/>
        </w:trPr>
        <w:tc>
          <w:tcPr>
            <w:tcW w:w="3321" w:type="dxa"/>
            <w:tcBorders>
              <w:top w:val="nil"/>
              <w:left w:val="nil"/>
              <w:bottom w:val="nil"/>
              <w:right w:val="nil"/>
            </w:tcBorders>
            <w:shd w:val="clear" w:color="auto" w:fill="DAEEF3" w:themeFill="accent5" w:themeFillTint="33"/>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Salariés</w:t>
            </w:r>
          </w:p>
        </w:tc>
        <w:tc>
          <w:tcPr>
            <w:tcW w:w="3321" w:type="dxa"/>
            <w:tcBorders>
              <w:top w:val="nil"/>
              <w:left w:val="nil"/>
              <w:bottom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3,1</w:t>
            </w:r>
          </w:p>
        </w:tc>
        <w:tc>
          <w:tcPr>
            <w:tcW w:w="2587" w:type="dxa"/>
            <w:tcBorders>
              <w:top w:val="nil"/>
              <w:left w:val="nil"/>
              <w:bottom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7,3</w:t>
            </w:r>
          </w:p>
        </w:tc>
      </w:tr>
      <w:tr w:rsidR="00F31F3C" w:rsidRPr="003C122C" w:rsidTr="00F31F3C">
        <w:trPr>
          <w:trHeight w:val="278"/>
        </w:trPr>
        <w:tc>
          <w:tcPr>
            <w:tcW w:w="3321" w:type="dxa"/>
            <w:tcBorders>
              <w:top w:val="nil"/>
              <w:left w:val="nil"/>
              <w:bottom w:val="nil"/>
              <w:right w:val="nil"/>
            </w:tcBorders>
            <w:shd w:val="clear" w:color="auto" w:fill="DAEEF3" w:themeFill="accent5" w:themeFillTint="33"/>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Employeur</w:t>
            </w:r>
          </w:p>
        </w:tc>
        <w:tc>
          <w:tcPr>
            <w:tcW w:w="3321" w:type="dxa"/>
            <w:tcBorders>
              <w:top w:val="nil"/>
              <w:left w:val="nil"/>
              <w:bottom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0,0</w:t>
            </w:r>
          </w:p>
        </w:tc>
        <w:tc>
          <w:tcPr>
            <w:tcW w:w="2587" w:type="dxa"/>
            <w:tcBorders>
              <w:top w:val="nil"/>
              <w:left w:val="nil"/>
              <w:bottom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0,8</w:t>
            </w:r>
          </w:p>
        </w:tc>
      </w:tr>
      <w:tr w:rsidR="00F31F3C" w:rsidRPr="003C122C" w:rsidTr="00F31F3C">
        <w:trPr>
          <w:trHeight w:val="257"/>
        </w:trPr>
        <w:tc>
          <w:tcPr>
            <w:tcW w:w="3321" w:type="dxa"/>
            <w:tcBorders>
              <w:top w:val="nil"/>
              <w:left w:val="nil"/>
              <w:bottom w:val="nil"/>
              <w:right w:val="nil"/>
            </w:tcBorders>
            <w:shd w:val="clear" w:color="auto" w:fill="DAEEF3" w:themeFill="accent5" w:themeFillTint="33"/>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Travailleur à son propre compte</w:t>
            </w:r>
          </w:p>
        </w:tc>
        <w:tc>
          <w:tcPr>
            <w:tcW w:w="3321" w:type="dxa"/>
            <w:tcBorders>
              <w:top w:val="nil"/>
              <w:left w:val="nil"/>
              <w:bottom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11,5</w:t>
            </w:r>
          </w:p>
        </w:tc>
        <w:tc>
          <w:tcPr>
            <w:tcW w:w="2587" w:type="dxa"/>
            <w:tcBorders>
              <w:top w:val="nil"/>
              <w:left w:val="nil"/>
              <w:bottom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67,5</w:t>
            </w:r>
          </w:p>
        </w:tc>
      </w:tr>
      <w:tr w:rsidR="00F31F3C" w:rsidRPr="003C122C" w:rsidTr="00F31F3C">
        <w:trPr>
          <w:trHeight w:val="273"/>
        </w:trPr>
        <w:tc>
          <w:tcPr>
            <w:tcW w:w="3321" w:type="dxa"/>
            <w:tcBorders>
              <w:top w:val="nil"/>
              <w:left w:val="nil"/>
              <w:right w:val="nil"/>
            </w:tcBorders>
            <w:shd w:val="clear" w:color="auto" w:fill="DAEEF3" w:themeFill="accent5" w:themeFillTint="33"/>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Apprenti/Aide familial</w:t>
            </w:r>
          </w:p>
        </w:tc>
        <w:tc>
          <w:tcPr>
            <w:tcW w:w="3321" w:type="dxa"/>
            <w:tcBorders>
              <w:top w:val="nil"/>
              <w:left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85,5</w:t>
            </w:r>
          </w:p>
        </w:tc>
        <w:tc>
          <w:tcPr>
            <w:tcW w:w="2587" w:type="dxa"/>
            <w:tcBorders>
              <w:top w:val="nil"/>
              <w:left w:val="nil"/>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24,3</w:t>
            </w:r>
          </w:p>
        </w:tc>
      </w:tr>
      <w:tr w:rsidR="00F31F3C" w:rsidRPr="003C122C" w:rsidTr="00F31F3C">
        <w:trPr>
          <w:trHeight w:val="278"/>
        </w:trPr>
        <w:tc>
          <w:tcPr>
            <w:tcW w:w="3321" w:type="dxa"/>
            <w:tcBorders>
              <w:top w:val="nil"/>
              <w:left w:val="nil"/>
              <w:bottom w:val="double" w:sz="4" w:space="0" w:color="auto"/>
              <w:right w:val="nil"/>
            </w:tcBorders>
            <w:shd w:val="clear" w:color="auto" w:fill="DAEEF3" w:themeFill="accent5" w:themeFillTint="33"/>
            <w:hideMark/>
          </w:tcPr>
          <w:p w:rsidR="00F31F3C" w:rsidRPr="003C122C" w:rsidRDefault="00F31F3C" w:rsidP="00F31F3C">
            <w:pPr>
              <w:spacing w:line="240" w:lineRule="auto"/>
              <w:rPr>
                <w:rFonts w:ascii="Times New Roman" w:eastAsia="Times New Roman" w:hAnsi="Times New Roman"/>
                <w:b/>
                <w:color w:val="000000"/>
              </w:rPr>
            </w:pPr>
            <w:r w:rsidRPr="003C122C">
              <w:rPr>
                <w:rFonts w:ascii="Times New Roman" w:eastAsia="Times New Roman" w:hAnsi="Times New Roman"/>
                <w:b/>
                <w:color w:val="000000"/>
              </w:rPr>
              <w:t>Total</w:t>
            </w:r>
          </w:p>
        </w:tc>
        <w:tc>
          <w:tcPr>
            <w:tcW w:w="3321" w:type="dxa"/>
            <w:tcBorders>
              <w:top w:val="nil"/>
              <w:left w:val="nil"/>
              <w:bottom w:val="double" w:sz="4" w:space="0" w:color="auto"/>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100,0</w:t>
            </w:r>
          </w:p>
        </w:tc>
        <w:tc>
          <w:tcPr>
            <w:tcW w:w="2587" w:type="dxa"/>
            <w:tcBorders>
              <w:top w:val="nil"/>
              <w:left w:val="nil"/>
              <w:bottom w:val="double" w:sz="4" w:space="0" w:color="auto"/>
              <w:right w:val="nil"/>
            </w:tcBorders>
            <w:shd w:val="clear" w:color="auto" w:fill="DAEEF3" w:themeFill="accent5" w:themeFillTint="33"/>
            <w:noWrap/>
            <w:hideMark/>
          </w:tcPr>
          <w:p w:rsidR="00F31F3C" w:rsidRPr="003C122C" w:rsidRDefault="00F31F3C" w:rsidP="00F31F3C">
            <w:pPr>
              <w:spacing w:line="240" w:lineRule="auto"/>
              <w:rPr>
                <w:rFonts w:ascii="Times New Roman" w:eastAsia="Times New Roman" w:hAnsi="Times New Roman"/>
                <w:color w:val="000000"/>
              </w:rPr>
            </w:pPr>
            <w:r w:rsidRPr="003C122C">
              <w:rPr>
                <w:rFonts w:ascii="Times New Roman" w:eastAsia="Times New Roman" w:hAnsi="Times New Roman"/>
                <w:color w:val="000000"/>
              </w:rPr>
              <w:t>100,0</w:t>
            </w:r>
          </w:p>
        </w:tc>
      </w:tr>
      <w:tr w:rsidR="00F31F3C" w:rsidRPr="003C122C" w:rsidTr="00F31F3C">
        <w:trPr>
          <w:trHeight w:val="278"/>
        </w:trPr>
        <w:tc>
          <w:tcPr>
            <w:tcW w:w="9229" w:type="dxa"/>
            <w:gridSpan w:val="3"/>
            <w:tcBorders>
              <w:top w:val="double" w:sz="4" w:space="0" w:color="auto"/>
              <w:left w:val="nil"/>
              <w:right w:val="nil"/>
            </w:tcBorders>
            <w:shd w:val="clear" w:color="auto" w:fill="DAEEF3" w:themeFill="accent5" w:themeFillTint="33"/>
            <w:noWrap/>
            <w:vAlign w:val="bottom"/>
            <w:hideMark/>
          </w:tcPr>
          <w:p w:rsidR="00F31F3C" w:rsidRPr="00F20651" w:rsidRDefault="00F31F3C" w:rsidP="00F31F3C">
            <w:pPr>
              <w:spacing w:line="240" w:lineRule="auto"/>
              <w:rPr>
                <w:rFonts w:ascii="Times New Roman" w:hAnsi="Times New Roman"/>
                <w:sz w:val="20"/>
                <w:szCs w:val="20"/>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F31F3C" w:rsidRPr="00F31F3C" w:rsidRDefault="00F31F3C" w:rsidP="00F31F3C">
      <w:pPr>
        <w:spacing w:line="240" w:lineRule="auto"/>
        <w:rPr>
          <w:rFonts w:ascii="Times New Roman" w:hAnsi="Times New Roman"/>
          <w:sz w:val="12"/>
          <w:szCs w:val="12"/>
        </w:rPr>
      </w:pPr>
    </w:p>
    <w:p w:rsidR="00F31F3C" w:rsidRPr="00F31F3C" w:rsidRDefault="00F31F3C"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Il convient de mentionner que le faible </w:t>
      </w:r>
      <w:r w:rsidR="005922DF">
        <w:rPr>
          <w:rFonts w:ascii="Times New Roman" w:hAnsi="Times New Roman"/>
          <w:sz w:val="24"/>
          <w:szCs w:val="24"/>
        </w:rPr>
        <w:t xml:space="preserve">taux </w:t>
      </w:r>
      <w:r>
        <w:rPr>
          <w:rFonts w:ascii="Times New Roman" w:hAnsi="Times New Roman"/>
          <w:sz w:val="24"/>
          <w:szCs w:val="24"/>
        </w:rPr>
        <w:t xml:space="preserve">d’activité pour le niveau secondaire </w:t>
      </w:r>
      <w:r w:rsidRPr="00D90D62">
        <w:rPr>
          <w:rFonts w:ascii="Times New Roman" w:hAnsi="Times New Roman"/>
          <w:sz w:val="24"/>
          <w:szCs w:val="24"/>
        </w:rPr>
        <w:t xml:space="preserve">s’explique par le fait que beaucoup de personnes de </w:t>
      </w:r>
      <w:r>
        <w:rPr>
          <w:rFonts w:ascii="Times New Roman" w:hAnsi="Times New Roman"/>
          <w:sz w:val="24"/>
          <w:szCs w:val="24"/>
        </w:rPr>
        <w:t>ce niveau</w:t>
      </w:r>
      <w:r w:rsidRPr="00D90D62">
        <w:rPr>
          <w:rFonts w:ascii="Times New Roman" w:hAnsi="Times New Roman"/>
          <w:sz w:val="24"/>
          <w:szCs w:val="24"/>
        </w:rPr>
        <w:t xml:space="preserve"> vont à l’école et se retrouvent donc dans la population inactive. En conséquence, </w:t>
      </w:r>
      <w:r>
        <w:rPr>
          <w:rFonts w:ascii="Times New Roman" w:hAnsi="Times New Roman"/>
          <w:sz w:val="24"/>
          <w:szCs w:val="24"/>
        </w:rPr>
        <w:t xml:space="preserve">pour cette catégorie de la population, </w:t>
      </w:r>
      <w:r w:rsidRPr="00D90D62">
        <w:rPr>
          <w:rFonts w:ascii="Times New Roman" w:hAnsi="Times New Roman"/>
          <w:sz w:val="24"/>
          <w:szCs w:val="24"/>
        </w:rPr>
        <w:t>le numérateur (actif</w:t>
      </w:r>
      <w:r>
        <w:rPr>
          <w:rFonts w:ascii="Times New Roman" w:hAnsi="Times New Roman"/>
          <w:sz w:val="24"/>
          <w:szCs w:val="24"/>
        </w:rPr>
        <w:t>s occupés+chômeurs) du taux d’activité est petit tandis que l</w:t>
      </w:r>
      <w:r w:rsidRPr="00D90D62">
        <w:rPr>
          <w:rFonts w:ascii="Times New Roman" w:hAnsi="Times New Roman"/>
          <w:sz w:val="24"/>
          <w:szCs w:val="24"/>
        </w:rPr>
        <w:t>e dénominateur (population en âge de travailler) est élevé</w:t>
      </w:r>
      <w:r>
        <w:rPr>
          <w:rFonts w:ascii="Times New Roman" w:hAnsi="Times New Roman"/>
          <w:sz w:val="24"/>
          <w:szCs w:val="24"/>
        </w:rPr>
        <w:t>.</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tableau </w:t>
      </w:r>
      <w:r w:rsidR="0030427B">
        <w:rPr>
          <w:rFonts w:ascii="Times New Roman" w:hAnsi="Times New Roman"/>
          <w:sz w:val="24"/>
          <w:szCs w:val="24"/>
        </w:rPr>
        <w:t>5</w:t>
      </w:r>
      <w:r>
        <w:rPr>
          <w:rFonts w:ascii="Times New Roman" w:hAnsi="Times New Roman"/>
          <w:sz w:val="24"/>
          <w:szCs w:val="24"/>
        </w:rPr>
        <w:t>.</w:t>
      </w:r>
      <w:r w:rsidR="0030427B">
        <w:rPr>
          <w:rFonts w:ascii="Times New Roman" w:hAnsi="Times New Roman"/>
          <w:sz w:val="24"/>
          <w:szCs w:val="24"/>
        </w:rPr>
        <w:t>4</w:t>
      </w:r>
      <w:r>
        <w:rPr>
          <w:rFonts w:ascii="Times New Roman" w:hAnsi="Times New Roman"/>
          <w:sz w:val="24"/>
          <w:szCs w:val="24"/>
        </w:rPr>
        <w:t xml:space="preserve"> montre que sur 2 784 165 actifs occupés, 1232 329 soit 44,3% sont dans l’agriculture. 126 906 sont dans le coton-textile et 768 513 soit 27,6% sont dans le commerce et la logistique. Les activités culturelles et touristiques mobilisent 215529 actifs  soit 7,7% des actifs occupés.</w:t>
      </w:r>
    </w:p>
    <w:p w:rsidR="00401A60" w:rsidRDefault="00401A60" w:rsidP="00401A60">
      <w:pPr>
        <w:spacing w:line="240" w:lineRule="auto"/>
        <w:rPr>
          <w:rFonts w:ascii="Times New Roman" w:hAnsi="Times New Roman"/>
          <w:sz w:val="12"/>
          <w:szCs w:val="12"/>
        </w:rPr>
      </w:pPr>
    </w:p>
    <w:p w:rsidR="006A41A6" w:rsidRPr="00472470" w:rsidRDefault="006A41A6" w:rsidP="00401A60">
      <w:pPr>
        <w:spacing w:line="240" w:lineRule="auto"/>
        <w:rPr>
          <w:rFonts w:ascii="Times New Roman" w:hAnsi="Times New Roman"/>
          <w:sz w:val="12"/>
          <w:szCs w:val="12"/>
        </w:rPr>
      </w:pPr>
    </w:p>
    <w:tbl>
      <w:tblPr>
        <w:tblW w:w="9532" w:type="dxa"/>
        <w:tblInd w:w="-34" w:type="dxa"/>
        <w:tblLook w:val="04A0" w:firstRow="1" w:lastRow="0" w:firstColumn="1" w:lastColumn="0" w:noHBand="0" w:noVBand="1"/>
      </w:tblPr>
      <w:tblGrid>
        <w:gridCol w:w="2836"/>
        <w:gridCol w:w="1175"/>
        <w:gridCol w:w="944"/>
        <w:gridCol w:w="1468"/>
        <w:gridCol w:w="1022"/>
        <w:gridCol w:w="1236"/>
        <w:gridCol w:w="851"/>
      </w:tblGrid>
      <w:tr w:rsidR="006A41A6" w:rsidRPr="006A41A6" w:rsidTr="006A41A6">
        <w:trPr>
          <w:trHeight w:val="369"/>
        </w:trPr>
        <w:tc>
          <w:tcPr>
            <w:tcW w:w="9532" w:type="dxa"/>
            <w:gridSpan w:val="7"/>
            <w:tcBorders>
              <w:left w:val="nil"/>
              <w:bottom w:val="double" w:sz="4" w:space="0" w:color="auto"/>
              <w:right w:val="nil"/>
            </w:tcBorders>
            <w:shd w:val="clear" w:color="auto" w:fill="92CDDC" w:themeFill="accent5" w:themeFillTint="99"/>
            <w:noWrap/>
            <w:vAlign w:val="bottom"/>
            <w:hideMark/>
          </w:tcPr>
          <w:p w:rsidR="006A41A6" w:rsidRPr="006A41A6" w:rsidRDefault="006A41A6" w:rsidP="00F31F3C">
            <w:pPr>
              <w:spacing w:line="240" w:lineRule="auto"/>
              <w:rPr>
                <w:rFonts w:ascii="Times New Roman" w:eastAsia="Times New Roman" w:hAnsi="Times New Roman"/>
                <w:sz w:val="24"/>
                <w:szCs w:val="24"/>
              </w:rPr>
            </w:pPr>
            <w:bookmarkStart w:id="161" w:name="_Toc369714518"/>
            <w:bookmarkStart w:id="162" w:name="_Toc373430443"/>
            <w:r w:rsidRPr="006A41A6">
              <w:rPr>
                <w:rFonts w:ascii="Times New Roman" w:hAnsi="Times New Roman"/>
                <w:sz w:val="24"/>
                <w:szCs w:val="24"/>
              </w:rPr>
              <w:t xml:space="preserve">Tableau 5. </w:t>
            </w:r>
            <w:r w:rsidR="00182C97" w:rsidRPr="006A41A6">
              <w:rPr>
                <w:rFonts w:ascii="Times New Roman" w:hAnsi="Times New Roman"/>
                <w:sz w:val="24"/>
                <w:szCs w:val="24"/>
              </w:rPr>
              <w:fldChar w:fldCharType="begin"/>
            </w:r>
            <w:r w:rsidRPr="006A41A6">
              <w:rPr>
                <w:rFonts w:ascii="Times New Roman" w:hAnsi="Times New Roman"/>
                <w:sz w:val="24"/>
                <w:szCs w:val="24"/>
              </w:rPr>
              <w:instrText xml:space="preserve"> SEQ Tableau_5. \* ARABIC </w:instrText>
            </w:r>
            <w:r w:rsidR="00182C97" w:rsidRPr="006A41A6">
              <w:rPr>
                <w:rFonts w:ascii="Times New Roman" w:hAnsi="Times New Roman"/>
                <w:sz w:val="24"/>
                <w:szCs w:val="24"/>
              </w:rPr>
              <w:fldChar w:fldCharType="separate"/>
            </w:r>
            <w:r w:rsidR="00AB1967">
              <w:rPr>
                <w:rFonts w:ascii="Times New Roman" w:hAnsi="Times New Roman"/>
                <w:noProof/>
                <w:sz w:val="24"/>
                <w:szCs w:val="24"/>
              </w:rPr>
              <w:t>4</w:t>
            </w:r>
            <w:r w:rsidR="00182C97" w:rsidRPr="006A41A6">
              <w:rPr>
                <w:rFonts w:ascii="Times New Roman" w:hAnsi="Times New Roman"/>
                <w:sz w:val="24"/>
                <w:szCs w:val="24"/>
              </w:rPr>
              <w:fldChar w:fldCharType="end"/>
            </w:r>
            <w:r w:rsidRPr="006A41A6">
              <w:rPr>
                <w:rFonts w:ascii="Times New Roman" w:hAnsi="Times New Roman"/>
                <w:sz w:val="24"/>
                <w:szCs w:val="24"/>
              </w:rPr>
              <w:t>: Répartition des actifs occupés selon les pôles de croissance</w:t>
            </w:r>
            <w:r w:rsidRPr="006A41A6">
              <w:rPr>
                <w:rStyle w:val="Appelnotedebasdep"/>
                <w:rFonts w:ascii="Times New Roman" w:hAnsi="Times New Roman"/>
                <w:sz w:val="24"/>
                <w:szCs w:val="24"/>
              </w:rPr>
              <w:footnoteReference w:id="83"/>
            </w:r>
            <w:r w:rsidRPr="006A41A6">
              <w:rPr>
                <w:rFonts w:ascii="Times New Roman" w:hAnsi="Times New Roman"/>
                <w:sz w:val="24"/>
                <w:szCs w:val="24"/>
              </w:rPr>
              <w:t xml:space="preserve"> et le sexe en 2010</w:t>
            </w:r>
            <w:bookmarkEnd w:id="161"/>
            <w:bookmarkEnd w:id="162"/>
          </w:p>
        </w:tc>
      </w:tr>
      <w:tr w:rsidR="00F31F3C" w:rsidRPr="00A1339E" w:rsidTr="006A41A6">
        <w:trPr>
          <w:trHeight w:val="251"/>
        </w:trPr>
        <w:tc>
          <w:tcPr>
            <w:tcW w:w="2836"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rPr>
            </w:pPr>
            <w:r w:rsidRPr="00A1339E">
              <w:rPr>
                <w:rFonts w:ascii="Times New Roman" w:eastAsia="Times New Roman" w:hAnsi="Times New Roman"/>
              </w:rPr>
              <w:t> </w:t>
            </w:r>
          </w:p>
        </w:tc>
        <w:tc>
          <w:tcPr>
            <w:tcW w:w="1175"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bCs/>
              </w:rPr>
            </w:pPr>
            <w:r w:rsidRPr="00A1339E">
              <w:rPr>
                <w:rFonts w:ascii="Times New Roman" w:eastAsia="Times New Roman" w:hAnsi="Times New Roman"/>
                <w:bCs/>
              </w:rPr>
              <w:t>Masculin</w:t>
            </w:r>
          </w:p>
        </w:tc>
        <w:tc>
          <w:tcPr>
            <w:tcW w:w="944"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bCs/>
              </w:rPr>
            </w:pPr>
            <w:r w:rsidRPr="00A1339E">
              <w:rPr>
                <w:rFonts w:ascii="Times New Roman" w:eastAsia="Times New Roman" w:hAnsi="Times New Roman"/>
                <w:bCs/>
              </w:rPr>
              <w:t> </w:t>
            </w:r>
          </w:p>
        </w:tc>
        <w:tc>
          <w:tcPr>
            <w:tcW w:w="1468"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bCs/>
              </w:rPr>
            </w:pPr>
            <w:r>
              <w:rPr>
                <w:rFonts w:ascii="Times New Roman" w:eastAsia="Times New Roman" w:hAnsi="Times New Roman"/>
                <w:bCs/>
              </w:rPr>
              <w:t>Fé</w:t>
            </w:r>
            <w:r w:rsidRPr="00A1339E">
              <w:rPr>
                <w:rFonts w:ascii="Times New Roman" w:eastAsia="Times New Roman" w:hAnsi="Times New Roman"/>
                <w:bCs/>
              </w:rPr>
              <w:t>minin</w:t>
            </w:r>
          </w:p>
        </w:tc>
        <w:tc>
          <w:tcPr>
            <w:tcW w:w="1022"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bCs/>
              </w:rPr>
            </w:pPr>
            <w:r w:rsidRPr="00A1339E">
              <w:rPr>
                <w:rFonts w:ascii="Times New Roman" w:eastAsia="Times New Roman" w:hAnsi="Times New Roman"/>
                <w:bCs/>
              </w:rPr>
              <w:t> </w:t>
            </w:r>
          </w:p>
        </w:tc>
        <w:tc>
          <w:tcPr>
            <w:tcW w:w="1236"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bCs/>
              </w:rPr>
            </w:pPr>
            <w:r w:rsidRPr="00A1339E">
              <w:rPr>
                <w:rFonts w:ascii="Times New Roman" w:eastAsia="Times New Roman" w:hAnsi="Times New Roman"/>
                <w:bCs/>
              </w:rPr>
              <w:t>Total</w:t>
            </w:r>
          </w:p>
        </w:tc>
        <w:tc>
          <w:tcPr>
            <w:tcW w:w="851" w:type="dxa"/>
            <w:tcBorders>
              <w:top w:val="doub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rPr>
            </w:pPr>
            <w:r w:rsidRPr="00A1339E">
              <w:rPr>
                <w:rFonts w:ascii="Times New Roman" w:eastAsia="Times New Roman" w:hAnsi="Times New Roman"/>
              </w:rPr>
              <w:t> </w:t>
            </w:r>
          </w:p>
        </w:tc>
      </w:tr>
      <w:tr w:rsidR="00F31F3C" w:rsidRPr="00A1339E" w:rsidTr="00F31F3C">
        <w:trPr>
          <w:trHeight w:val="251"/>
        </w:trPr>
        <w:tc>
          <w:tcPr>
            <w:tcW w:w="2836"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F31F3C">
            <w:pPr>
              <w:spacing w:line="240" w:lineRule="auto"/>
              <w:rPr>
                <w:rFonts w:ascii="Times New Roman" w:eastAsia="Times New Roman" w:hAnsi="Times New Roman"/>
              </w:rPr>
            </w:pPr>
            <w:r w:rsidRPr="00A1339E">
              <w:rPr>
                <w:rFonts w:ascii="Times New Roman" w:eastAsia="Times New Roman" w:hAnsi="Times New Roman"/>
              </w:rPr>
              <w:t> </w:t>
            </w:r>
          </w:p>
        </w:tc>
        <w:tc>
          <w:tcPr>
            <w:tcW w:w="1175"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BB665E">
            <w:pPr>
              <w:spacing w:line="240" w:lineRule="auto"/>
              <w:jc w:val="center"/>
              <w:rPr>
                <w:rFonts w:ascii="Times New Roman" w:eastAsia="Times New Roman" w:hAnsi="Times New Roman"/>
              </w:rPr>
            </w:pPr>
            <w:r w:rsidRPr="00A1339E">
              <w:rPr>
                <w:rFonts w:ascii="Times New Roman" w:eastAsia="Times New Roman" w:hAnsi="Times New Roman"/>
              </w:rPr>
              <w:t>Effectif</w:t>
            </w:r>
          </w:p>
        </w:tc>
        <w:tc>
          <w:tcPr>
            <w:tcW w:w="944"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BB665E">
            <w:pPr>
              <w:spacing w:line="240" w:lineRule="auto"/>
              <w:jc w:val="center"/>
              <w:rPr>
                <w:rFonts w:ascii="Times New Roman" w:eastAsia="Times New Roman" w:hAnsi="Times New Roman"/>
              </w:rPr>
            </w:pPr>
            <w:r w:rsidRPr="00A1339E">
              <w:rPr>
                <w:rFonts w:ascii="Times New Roman" w:eastAsia="Times New Roman" w:hAnsi="Times New Roman"/>
              </w:rPr>
              <w:t>%</w:t>
            </w:r>
          </w:p>
        </w:tc>
        <w:tc>
          <w:tcPr>
            <w:tcW w:w="1468"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BB665E">
            <w:pPr>
              <w:spacing w:line="240" w:lineRule="auto"/>
              <w:jc w:val="center"/>
              <w:rPr>
                <w:rFonts w:ascii="Times New Roman" w:eastAsia="Times New Roman" w:hAnsi="Times New Roman"/>
              </w:rPr>
            </w:pPr>
            <w:r w:rsidRPr="00A1339E">
              <w:rPr>
                <w:rFonts w:ascii="Times New Roman" w:eastAsia="Times New Roman" w:hAnsi="Times New Roman"/>
              </w:rPr>
              <w:t>Effectif</w:t>
            </w:r>
          </w:p>
        </w:tc>
        <w:tc>
          <w:tcPr>
            <w:tcW w:w="1022"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BB665E">
            <w:pPr>
              <w:spacing w:line="240" w:lineRule="auto"/>
              <w:jc w:val="center"/>
              <w:rPr>
                <w:rFonts w:ascii="Times New Roman" w:eastAsia="Times New Roman" w:hAnsi="Times New Roman"/>
              </w:rPr>
            </w:pPr>
            <w:r w:rsidRPr="00A1339E">
              <w:rPr>
                <w:rFonts w:ascii="Times New Roman" w:eastAsia="Times New Roman" w:hAnsi="Times New Roman"/>
              </w:rPr>
              <w:t>%</w:t>
            </w:r>
          </w:p>
        </w:tc>
        <w:tc>
          <w:tcPr>
            <w:tcW w:w="1236"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BB665E">
            <w:pPr>
              <w:spacing w:line="240" w:lineRule="auto"/>
              <w:jc w:val="center"/>
              <w:rPr>
                <w:rFonts w:ascii="Times New Roman" w:eastAsia="Times New Roman" w:hAnsi="Times New Roman"/>
              </w:rPr>
            </w:pPr>
            <w:r w:rsidRPr="00A1339E">
              <w:rPr>
                <w:rFonts w:ascii="Times New Roman" w:eastAsia="Times New Roman" w:hAnsi="Times New Roman"/>
              </w:rPr>
              <w:t>Effectif</w:t>
            </w:r>
          </w:p>
        </w:tc>
        <w:tc>
          <w:tcPr>
            <w:tcW w:w="851" w:type="dxa"/>
            <w:tcBorders>
              <w:top w:val="single" w:sz="4" w:space="0" w:color="auto"/>
              <w:left w:val="nil"/>
              <w:bottom w:val="single" w:sz="4" w:space="0" w:color="auto"/>
              <w:right w:val="nil"/>
            </w:tcBorders>
            <w:shd w:val="clear" w:color="auto" w:fill="DAEEF3" w:themeFill="accent5" w:themeFillTint="33"/>
            <w:noWrap/>
            <w:vAlign w:val="bottom"/>
            <w:hideMark/>
          </w:tcPr>
          <w:p w:rsidR="00F31F3C" w:rsidRPr="00A1339E" w:rsidRDefault="00F31F3C" w:rsidP="00BB665E">
            <w:pPr>
              <w:spacing w:line="240" w:lineRule="auto"/>
              <w:jc w:val="center"/>
              <w:rPr>
                <w:rFonts w:ascii="Times New Roman" w:eastAsia="Times New Roman" w:hAnsi="Times New Roman"/>
              </w:rPr>
            </w:pPr>
            <w:r w:rsidRPr="00A1339E">
              <w:rPr>
                <w:rFonts w:ascii="Times New Roman" w:eastAsia="Times New Roman" w:hAnsi="Times New Roman"/>
              </w:rPr>
              <w:t>%</w:t>
            </w:r>
          </w:p>
        </w:tc>
      </w:tr>
      <w:tr w:rsidR="00F31F3C" w:rsidRPr="00A1339E" w:rsidTr="00F31F3C">
        <w:trPr>
          <w:trHeight w:val="251"/>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Agriculture</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682150</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51,7</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550179</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37,5</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1 232329</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44,3</w:t>
            </w:r>
          </w:p>
        </w:tc>
      </w:tr>
      <w:tr w:rsidR="00F31F3C" w:rsidRPr="00A1339E" w:rsidTr="00F31F3C">
        <w:trPr>
          <w:trHeight w:val="251"/>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Coton-Textile</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58120</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4,4</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68786</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4,7</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126906</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4,6</w:t>
            </w:r>
          </w:p>
        </w:tc>
      </w:tr>
      <w:tr w:rsidR="00F31F3C" w:rsidRPr="00A1339E" w:rsidTr="00F31F3C">
        <w:trPr>
          <w:trHeight w:val="251"/>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Commerce-logistique</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234635</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17,8</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533879</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36,4</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768513</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27,6</w:t>
            </w:r>
          </w:p>
        </w:tc>
      </w:tr>
      <w:tr w:rsidR="00F31F3C" w:rsidRPr="00A1339E" w:rsidTr="00F31F3C">
        <w:trPr>
          <w:trHeight w:val="251"/>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Agroalimentaire</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9416</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0,7</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39590</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2,7</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49006</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1,8</w:t>
            </w:r>
          </w:p>
        </w:tc>
      </w:tr>
      <w:tr w:rsidR="00F31F3C" w:rsidRPr="00A1339E" w:rsidTr="00F31F3C">
        <w:trPr>
          <w:trHeight w:val="433"/>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BTP - matériaux de construction</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74153</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5,6</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4456</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Pr>
                <w:rFonts w:ascii="Times New Roman" w:eastAsia="Times New Roman" w:hAnsi="Times New Roman"/>
                <w:color w:val="000000"/>
              </w:rPr>
              <w:t>0</w:t>
            </w:r>
            <w:r w:rsidRPr="00A1339E">
              <w:rPr>
                <w:rFonts w:ascii="Times New Roman" w:eastAsia="Times New Roman" w:hAnsi="Times New Roman"/>
                <w:color w:val="000000"/>
              </w:rPr>
              <w:t>,3</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78609</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2,8</w:t>
            </w:r>
          </w:p>
        </w:tc>
      </w:tr>
      <w:tr w:rsidR="00F31F3C" w:rsidRPr="00A1339E" w:rsidTr="00F31F3C">
        <w:trPr>
          <w:trHeight w:val="251"/>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Culture et tourisme</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39011</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3,0</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176518</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12,0</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215529</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7,7</w:t>
            </w:r>
          </w:p>
        </w:tc>
      </w:tr>
      <w:tr w:rsidR="00F31F3C" w:rsidRPr="00A1339E" w:rsidTr="00F31F3C">
        <w:trPr>
          <w:trHeight w:val="480"/>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Autres activités industrielles et artisanales</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66629</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5,1</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7676</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0,5</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74305</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2,7</w:t>
            </w:r>
          </w:p>
        </w:tc>
      </w:tr>
      <w:tr w:rsidR="00F31F3C" w:rsidRPr="00A1339E" w:rsidTr="00F31F3C">
        <w:trPr>
          <w:trHeight w:val="251"/>
        </w:trPr>
        <w:tc>
          <w:tcPr>
            <w:tcW w:w="2836" w:type="dxa"/>
            <w:tcBorders>
              <w:top w:val="nil"/>
              <w:left w:val="nil"/>
              <w:bottom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Autres services</w:t>
            </w:r>
          </w:p>
        </w:tc>
        <w:tc>
          <w:tcPr>
            <w:tcW w:w="1175"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137580</w:t>
            </w:r>
          </w:p>
        </w:tc>
        <w:tc>
          <w:tcPr>
            <w:tcW w:w="944"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10,4</w:t>
            </w:r>
          </w:p>
        </w:tc>
        <w:tc>
          <w:tcPr>
            <w:tcW w:w="1468"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71955</w:t>
            </w:r>
          </w:p>
        </w:tc>
        <w:tc>
          <w:tcPr>
            <w:tcW w:w="1022"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4,9</w:t>
            </w:r>
          </w:p>
        </w:tc>
        <w:tc>
          <w:tcPr>
            <w:tcW w:w="1236"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209536</w:t>
            </w:r>
          </w:p>
        </w:tc>
        <w:tc>
          <w:tcPr>
            <w:tcW w:w="851" w:type="dxa"/>
            <w:tcBorders>
              <w:top w:val="nil"/>
              <w:left w:val="nil"/>
              <w:bottom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7,5</w:t>
            </w:r>
          </w:p>
        </w:tc>
      </w:tr>
      <w:tr w:rsidR="00F31F3C" w:rsidRPr="00A1339E" w:rsidTr="00F31F3C">
        <w:trPr>
          <w:trHeight w:val="251"/>
        </w:trPr>
        <w:tc>
          <w:tcPr>
            <w:tcW w:w="2836" w:type="dxa"/>
            <w:tcBorders>
              <w:top w:val="nil"/>
              <w:left w:val="nil"/>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Non déclaré</w:t>
            </w:r>
          </w:p>
        </w:tc>
        <w:tc>
          <w:tcPr>
            <w:tcW w:w="1175" w:type="dxa"/>
            <w:tcBorders>
              <w:top w:val="nil"/>
              <w:left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16698</w:t>
            </w:r>
          </w:p>
        </w:tc>
        <w:tc>
          <w:tcPr>
            <w:tcW w:w="944" w:type="dxa"/>
            <w:tcBorders>
              <w:top w:val="nil"/>
              <w:left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1,3</w:t>
            </w:r>
          </w:p>
        </w:tc>
        <w:tc>
          <w:tcPr>
            <w:tcW w:w="1468" w:type="dxa"/>
            <w:tcBorders>
              <w:top w:val="nil"/>
              <w:left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12735</w:t>
            </w:r>
          </w:p>
        </w:tc>
        <w:tc>
          <w:tcPr>
            <w:tcW w:w="1022" w:type="dxa"/>
            <w:tcBorders>
              <w:top w:val="nil"/>
              <w:left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0,9</w:t>
            </w:r>
          </w:p>
        </w:tc>
        <w:tc>
          <w:tcPr>
            <w:tcW w:w="1236" w:type="dxa"/>
            <w:tcBorders>
              <w:top w:val="nil"/>
              <w:left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29433</w:t>
            </w:r>
          </w:p>
        </w:tc>
        <w:tc>
          <w:tcPr>
            <w:tcW w:w="851" w:type="dxa"/>
            <w:tcBorders>
              <w:top w:val="nil"/>
              <w:left w:val="nil"/>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1,1</w:t>
            </w:r>
          </w:p>
        </w:tc>
      </w:tr>
      <w:tr w:rsidR="00F31F3C" w:rsidRPr="00A1339E" w:rsidTr="00F31F3C">
        <w:trPr>
          <w:trHeight w:val="251"/>
        </w:trPr>
        <w:tc>
          <w:tcPr>
            <w:tcW w:w="2836" w:type="dxa"/>
            <w:tcBorders>
              <w:top w:val="nil"/>
              <w:left w:val="nil"/>
              <w:bottom w:val="double" w:sz="4" w:space="0" w:color="auto"/>
              <w:right w:val="nil"/>
            </w:tcBorders>
            <w:shd w:val="clear" w:color="auto" w:fill="DAEEF3" w:themeFill="accent5" w:themeFillTint="33"/>
            <w:vAlign w:val="center"/>
            <w:hideMark/>
          </w:tcPr>
          <w:p w:rsidR="00F31F3C" w:rsidRPr="00A1339E" w:rsidRDefault="00F31F3C" w:rsidP="00F31F3C">
            <w:pPr>
              <w:spacing w:line="240" w:lineRule="auto"/>
              <w:jc w:val="left"/>
              <w:rPr>
                <w:rFonts w:ascii="Times New Roman" w:eastAsia="Times New Roman" w:hAnsi="Times New Roman"/>
                <w:color w:val="000000"/>
              </w:rPr>
            </w:pPr>
            <w:r w:rsidRPr="00A1339E">
              <w:rPr>
                <w:rFonts w:ascii="Times New Roman" w:eastAsia="Times New Roman" w:hAnsi="Times New Roman"/>
                <w:color w:val="000000"/>
              </w:rPr>
              <w:t>Total</w:t>
            </w:r>
          </w:p>
        </w:tc>
        <w:tc>
          <w:tcPr>
            <w:tcW w:w="1175" w:type="dxa"/>
            <w:tcBorders>
              <w:top w:val="nil"/>
              <w:left w:val="nil"/>
              <w:bottom w:val="double" w:sz="4" w:space="0" w:color="auto"/>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1 318390</w:t>
            </w:r>
          </w:p>
        </w:tc>
        <w:tc>
          <w:tcPr>
            <w:tcW w:w="944" w:type="dxa"/>
            <w:tcBorders>
              <w:top w:val="nil"/>
              <w:left w:val="nil"/>
              <w:bottom w:val="double" w:sz="4" w:space="0" w:color="auto"/>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100,0</w:t>
            </w:r>
          </w:p>
        </w:tc>
        <w:tc>
          <w:tcPr>
            <w:tcW w:w="1468" w:type="dxa"/>
            <w:tcBorders>
              <w:top w:val="nil"/>
              <w:left w:val="nil"/>
              <w:bottom w:val="double" w:sz="4" w:space="0" w:color="auto"/>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1 465775</w:t>
            </w:r>
          </w:p>
        </w:tc>
        <w:tc>
          <w:tcPr>
            <w:tcW w:w="1022" w:type="dxa"/>
            <w:tcBorders>
              <w:top w:val="nil"/>
              <w:left w:val="nil"/>
              <w:bottom w:val="double" w:sz="4" w:space="0" w:color="auto"/>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100,0</w:t>
            </w:r>
          </w:p>
        </w:tc>
        <w:tc>
          <w:tcPr>
            <w:tcW w:w="1236" w:type="dxa"/>
            <w:tcBorders>
              <w:top w:val="nil"/>
              <w:left w:val="nil"/>
              <w:bottom w:val="double" w:sz="4" w:space="0" w:color="auto"/>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2 784165</w:t>
            </w:r>
          </w:p>
        </w:tc>
        <w:tc>
          <w:tcPr>
            <w:tcW w:w="851" w:type="dxa"/>
            <w:tcBorders>
              <w:top w:val="nil"/>
              <w:left w:val="nil"/>
              <w:bottom w:val="double" w:sz="4" w:space="0" w:color="auto"/>
              <w:right w:val="nil"/>
            </w:tcBorders>
            <w:shd w:val="clear" w:color="auto" w:fill="DAEEF3" w:themeFill="accent5" w:themeFillTint="33"/>
            <w:noWrap/>
            <w:vAlign w:val="center"/>
            <w:hideMark/>
          </w:tcPr>
          <w:p w:rsidR="00F31F3C" w:rsidRPr="00A1339E" w:rsidRDefault="00F31F3C" w:rsidP="00F31F3C">
            <w:pPr>
              <w:spacing w:line="240" w:lineRule="auto"/>
              <w:jc w:val="right"/>
              <w:rPr>
                <w:rFonts w:ascii="Times New Roman" w:eastAsia="Times New Roman" w:hAnsi="Times New Roman"/>
                <w:color w:val="000000"/>
              </w:rPr>
            </w:pPr>
            <w:r w:rsidRPr="00A1339E">
              <w:rPr>
                <w:rFonts w:ascii="Times New Roman" w:eastAsia="Times New Roman" w:hAnsi="Times New Roman"/>
                <w:color w:val="000000"/>
              </w:rPr>
              <w:t>100,0</w:t>
            </w:r>
          </w:p>
        </w:tc>
      </w:tr>
      <w:tr w:rsidR="00F31F3C" w:rsidRPr="00A1339E" w:rsidTr="00F31F3C">
        <w:trPr>
          <w:trHeight w:val="251"/>
        </w:trPr>
        <w:tc>
          <w:tcPr>
            <w:tcW w:w="9532" w:type="dxa"/>
            <w:gridSpan w:val="7"/>
            <w:tcBorders>
              <w:top w:val="double" w:sz="4" w:space="0" w:color="auto"/>
              <w:left w:val="nil"/>
              <w:right w:val="nil"/>
            </w:tcBorders>
            <w:shd w:val="clear" w:color="auto" w:fill="DAEEF3" w:themeFill="accent5" w:themeFillTint="33"/>
            <w:hideMark/>
          </w:tcPr>
          <w:p w:rsidR="00F31F3C" w:rsidRPr="008D38DF" w:rsidRDefault="00F31F3C" w:rsidP="00F31F3C">
            <w:pPr>
              <w:spacing w:line="240" w:lineRule="auto"/>
              <w:rPr>
                <w:rFonts w:ascii="Times New Roman" w:hAnsi="Times New Roman"/>
                <w:sz w:val="20"/>
                <w:szCs w:val="20"/>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F31F3C" w:rsidRPr="00472470" w:rsidRDefault="00F31F3C" w:rsidP="00F31F3C">
      <w:pPr>
        <w:rPr>
          <w:rFonts w:ascii="Times New Roman" w:hAnsi="Times New Roman"/>
          <w:sz w:val="12"/>
          <w:szCs w:val="12"/>
        </w:rPr>
      </w:pPr>
    </w:p>
    <w:p w:rsidR="009240AE" w:rsidRDefault="009240AE" w:rsidP="009240AE">
      <w:pPr>
        <w:spacing w:line="276" w:lineRule="auto"/>
        <w:rPr>
          <w:rFonts w:ascii="Times New Roman" w:hAnsi="Times New Roman"/>
          <w:sz w:val="24"/>
          <w:szCs w:val="24"/>
        </w:rPr>
      </w:pPr>
      <w:r>
        <w:rPr>
          <w:rFonts w:ascii="Times New Roman" w:hAnsi="Times New Roman"/>
          <w:sz w:val="24"/>
          <w:szCs w:val="24"/>
        </w:rPr>
        <w:t>L’analyse du tableau 5.4 selon le sexe, révèle que l’agriculture et le commerce/logistique mobilisent à eux seuls plus de 2/3 des actifs occupés</w:t>
      </w:r>
      <w:r w:rsidR="009B1846">
        <w:rPr>
          <w:rFonts w:ascii="Times New Roman" w:hAnsi="Times New Roman"/>
          <w:sz w:val="24"/>
          <w:szCs w:val="24"/>
        </w:rPr>
        <w:t>,</w:t>
      </w:r>
      <w:r>
        <w:rPr>
          <w:rFonts w:ascii="Times New Roman" w:hAnsi="Times New Roman"/>
          <w:sz w:val="24"/>
          <w:szCs w:val="24"/>
        </w:rPr>
        <w:t xml:space="preserve"> que ce soit chez les hommes ou chez les femmes. En effet, 51,7% et 17,8% des hommes occupés sont respectivement dans l’agriculture et le commerce/logistique contre respectivement 37,5% et 36,4% pour les femmes. En dehors des activités agricoles, les hommes se retrouvent dans les travaux de BTP et la fabrication de matériaux de construction, de même que dans l’artisanal industriel avec respectivement 5,6% et 5,1%. Les femmes quant à elles sont dans les activités culturelles et touristiques avec 12,0%.</w:t>
      </w:r>
    </w:p>
    <w:p w:rsidR="009240AE" w:rsidRPr="00472470" w:rsidRDefault="009240AE"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Dans le tableau ci-</w:t>
      </w:r>
      <w:r w:rsidR="00D77EF5">
        <w:rPr>
          <w:rFonts w:ascii="Times New Roman" w:hAnsi="Times New Roman"/>
          <w:sz w:val="24"/>
          <w:szCs w:val="24"/>
        </w:rPr>
        <w:t>après</w:t>
      </w:r>
      <w:r w:rsidRPr="007C1C1E">
        <w:rPr>
          <w:rFonts w:ascii="Times New Roman" w:hAnsi="Times New Roman"/>
          <w:sz w:val="24"/>
          <w:szCs w:val="24"/>
        </w:rPr>
        <w:t>, on cherche à savoir la catégorie socio-professionnelle des actifs occupés en fonction de leur milieu de résidence et de leur branche d’activité.</w:t>
      </w:r>
      <w:r w:rsidR="00172E34">
        <w:rPr>
          <w:rFonts w:ascii="Times New Roman" w:hAnsi="Times New Roman"/>
          <w:sz w:val="24"/>
          <w:szCs w:val="24"/>
        </w:rPr>
        <w:t xml:space="preserve"> </w:t>
      </w:r>
      <w:r>
        <w:rPr>
          <w:rFonts w:ascii="Times New Roman" w:hAnsi="Times New Roman"/>
          <w:sz w:val="24"/>
          <w:szCs w:val="24"/>
        </w:rPr>
        <w:t>Au niveau national,</w:t>
      </w:r>
      <w:r w:rsidR="00172E34">
        <w:rPr>
          <w:rFonts w:ascii="Times New Roman" w:hAnsi="Times New Roman"/>
          <w:sz w:val="24"/>
          <w:szCs w:val="24"/>
        </w:rPr>
        <w:t xml:space="preserve"> </w:t>
      </w:r>
      <w:r>
        <w:rPr>
          <w:rFonts w:ascii="Times New Roman" w:hAnsi="Times New Roman"/>
          <w:sz w:val="24"/>
          <w:szCs w:val="24"/>
        </w:rPr>
        <w:t xml:space="preserve">près de quatre (4) travailleurs sur cinq (5) sont à leur propre compte et seulement 1,2% sont des employeurs. Ce résultat est un trait caractéristique d’une économie dont le secteur privé est embryonnaire. Or le secteur privé est celui </w:t>
      </w:r>
      <w:r w:rsidR="00C27923">
        <w:rPr>
          <w:rFonts w:ascii="Times New Roman" w:hAnsi="Times New Roman"/>
          <w:sz w:val="24"/>
          <w:szCs w:val="24"/>
        </w:rPr>
        <w:t xml:space="preserve">qui </w:t>
      </w:r>
      <w:r>
        <w:rPr>
          <w:rFonts w:ascii="Times New Roman" w:hAnsi="Times New Roman"/>
          <w:sz w:val="24"/>
          <w:szCs w:val="24"/>
        </w:rPr>
        <w:t>créé le plus d’emplois dans une économie de marché. La réduction de la pauvreté devrait donc passer par l’amélioration des conditions de création d’entreprises et la promotion du secteur privé.</w:t>
      </w:r>
      <w:r w:rsidR="00172E34">
        <w:rPr>
          <w:rFonts w:ascii="Times New Roman" w:hAnsi="Times New Roman"/>
          <w:sz w:val="24"/>
          <w:szCs w:val="24"/>
        </w:rPr>
        <w:t xml:space="preserve"> </w:t>
      </w:r>
      <w:r>
        <w:rPr>
          <w:rFonts w:ascii="Times New Roman" w:hAnsi="Times New Roman"/>
          <w:sz w:val="24"/>
          <w:szCs w:val="24"/>
        </w:rPr>
        <w:t>Seuls les pôles « Bâtiments et travaux publics-matériaux de construction » et « Autres activités industrielles et artisanales » comportent plus d’employeurs avec respectivement 8,8% et 5,2%. Ce résultat n’est pas étonnant dans la mesure où ces entreprises doivent utiliser de la main d’œuvre pour pouvoir fonctionner. Un des principaux défis à relever dans ce domaine concerne les autres pôles de développement dont notamment le pôle « agriculture » et le pôle « agroalimentaire ». La réduction de la pauvreté au Bénin passera par une profonde réforme de ces deux pôles afin de les rendre plus professionnels et plus structurés.</w:t>
      </w:r>
      <w:r w:rsidR="00172E34">
        <w:rPr>
          <w:rFonts w:ascii="Times New Roman" w:hAnsi="Times New Roman"/>
          <w:sz w:val="24"/>
          <w:szCs w:val="24"/>
        </w:rPr>
        <w:t xml:space="preserve"> </w:t>
      </w:r>
      <w:r>
        <w:rPr>
          <w:rFonts w:ascii="Times New Roman" w:hAnsi="Times New Roman"/>
          <w:sz w:val="24"/>
          <w:szCs w:val="24"/>
        </w:rPr>
        <w:t>L’analyse de la catégorie socio-professionnelle montre qu’indépendamment de la branche d’activité et du milieu de résidence, la plupart des travailleurs sont soit travailleurs à leur propre compte (67,3%) ou apprenti</w:t>
      </w:r>
      <w:r w:rsidR="009B1846">
        <w:rPr>
          <w:rFonts w:ascii="Times New Roman" w:hAnsi="Times New Roman"/>
          <w:sz w:val="24"/>
          <w:szCs w:val="24"/>
        </w:rPr>
        <w:t>s</w:t>
      </w:r>
      <w:r>
        <w:rPr>
          <w:rFonts w:ascii="Times New Roman" w:hAnsi="Times New Roman"/>
          <w:sz w:val="24"/>
          <w:szCs w:val="24"/>
        </w:rPr>
        <w:t>/aide</w:t>
      </w:r>
      <w:r w:rsidR="009B1846">
        <w:rPr>
          <w:rFonts w:ascii="Times New Roman" w:hAnsi="Times New Roman"/>
          <w:sz w:val="24"/>
          <w:szCs w:val="24"/>
        </w:rPr>
        <w:t>s</w:t>
      </w:r>
      <w:r>
        <w:rPr>
          <w:rFonts w:ascii="Times New Roman" w:hAnsi="Times New Roman"/>
          <w:sz w:val="24"/>
          <w:szCs w:val="24"/>
        </w:rPr>
        <w:t xml:space="preserve"> </w:t>
      </w:r>
      <w:r w:rsidR="009B1846">
        <w:rPr>
          <w:rFonts w:ascii="Times New Roman" w:hAnsi="Times New Roman"/>
          <w:sz w:val="24"/>
          <w:szCs w:val="24"/>
        </w:rPr>
        <w:t xml:space="preserve">familiaux </w:t>
      </w:r>
      <w:r>
        <w:rPr>
          <w:rFonts w:ascii="Times New Roman" w:hAnsi="Times New Roman"/>
          <w:sz w:val="24"/>
          <w:szCs w:val="24"/>
        </w:rPr>
        <w:t>(14,0%).</w:t>
      </w:r>
    </w:p>
    <w:p w:rsidR="005F3C7E" w:rsidRDefault="005F3C7E" w:rsidP="00401A60">
      <w:pPr>
        <w:spacing w:line="276" w:lineRule="auto"/>
        <w:rPr>
          <w:rFonts w:ascii="Times New Roman" w:hAnsi="Times New Roman"/>
          <w:sz w:val="24"/>
          <w:szCs w:val="24"/>
        </w:rPr>
      </w:pPr>
    </w:p>
    <w:p w:rsidR="005F3C7E" w:rsidRDefault="005F3C7E" w:rsidP="00401A60">
      <w:pPr>
        <w:spacing w:line="276" w:lineRule="auto"/>
        <w:rPr>
          <w:rFonts w:ascii="Times New Roman" w:hAnsi="Times New Roman"/>
          <w:sz w:val="24"/>
          <w:szCs w:val="24"/>
        </w:rPr>
      </w:pPr>
    </w:p>
    <w:p w:rsidR="005F3C7E" w:rsidRDefault="005F3C7E" w:rsidP="00D60CFD">
      <w:pPr>
        <w:pStyle w:val="Lgende"/>
        <w:framePr w:wrap="around"/>
        <w:sectPr w:rsidR="005F3C7E" w:rsidSect="004E2E24">
          <w:headerReference w:type="default" r:id="rId73"/>
          <w:pgSz w:w="11906" w:h="16838"/>
          <w:pgMar w:top="1220" w:right="1418" w:bottom="1418" w:left="1418" w:header="284" w:footer="709" w:gutter="0"/>
          <w:cols w:space="708"/>
          <w:docGrid w:linePitch="360"/>
        </w:sectPr>
      </w:pPr>
    </w:p>
    <w:p w:rsidR="00D527B0" w:rsidRDefault="00D527B0" w:rsidP="00D60CFD">
      <w:pPr>
        <w:pStyle w:val="Lgende"/>
        <w:framePr w:wrap="around"/>
      </w:pPr>
    </w:p>
    <w:tbl>
      <w:tblPr>
        <w:tblpPr w:leftFromText="180" w:rightFromText="180" w:vertAnchor="text" w:tblpXSpec="center" w:tblpY="1"/>
        <w:tblOverlap w:val="never"/>
        <w:tblW w:w="15417" w:type="dxa"/>
        <w:tblLayout w:type="fixed"/>
        <w:tblLook w:val="04A0" w:firstRow="1" w:lastRow="0" w:firstColumn="1" w:lastColumn="0" w:noHBand="0" w:noVBand="1"/>
      </w:tblPr>
      <w:tblGrid>
        <w:gridCol w:w="2160"/>
        <w:gridCol w:w="851"/>
        <w:gridCol w:w="992"/>
        <w:gridCol w:w="992"/>
        <w:gridCol w:w="783"/>
        <w:gridCol w:w="851"/>
        <w:gridCol w:w="850"/>
        <w:gridCol w:w="851"/>
        <w:gridCol w:w="918"/>
        <w:gridCol w:w="850"/>
        <w:gridCol w:w="851"/>
        <w:gridCol w:w="850"/>
        <w:gridCol w:w="851"/>
        <w:gridCol w:w="992"/>
        <w:gridCol w:w="783"/>
        <w:gridCol w:w="992"/>
      </w:tblGrid>
      <w:tr w:rsidR="005F3C7E" w:rsidRPr="00933FBA" w:rsidTr="00B3020F">
        <w:trPr>
          <w:trHeight w:val="397"/>
        </w:trPr>
        <w:tc>
          <w:tcPr>
            <w:tcW w:w="15417" w:type="dxa"/>
            <w:gridSpan w:val="16"/>
            <w:tcBorders>
              <w:left w:val="nil"/>
              <w:right w:val="nil"/>
            </w:tcBorders>
            <w:shd w:val="clear" w:color="auto" w:fill="92CDDC" w:themeFill="accent5" w:themeFillTint="99"/>
            <w:vAlign w:val="center"/>
            <w:hideMark/>
          </w:tcPr>
          <w:p w:rsidR="00D527B0" w:rsidRDefault="00D433D8" w:rsidP="00D60CFD">
            <w:pPr>
              <w:pStyle w:val="Lgende"/>
              <w:framePr w:hSpace="0" w:wrap="auto" w:vAnchor="margin" w:hAnchor="text" w:xAlign="left" w:yAlign="inline"/>
            </w:pPr>
            <w:bookmarkStart w:id="163" w:name="_Toc369714519"/>
            <w:bookmarkStart w:id="164" w:name="_Toc373430444"/>
            <w:r>
              <w:t xml:space="preserve">Tableau 5. </w:t>
            </w:r>
            <w:r w:rsidR="004F064D">
              <w:fldChar w:fldCharType="begin"/>
            </w:r>
            <w:r w:rsidR="004F064D">
              <w:instrText xml:space="preserve"> SEQ Tableau_5. \* ARABIC </w:instrText>
            </w:r>
            <w:r w:rsidR="004F064D">
              <w:fldChar w:fldCharType="separate"/>
            </w:r>
            <w:r w:rsidR="00AB1967">
              <w:rPr>
                <w:noProof/>
              </w:rPr>
              <w:t>5</w:t>
            </w:r>
            <w:r w:rsidR="004F064D">
              <w:rPr>
                <w:noProof/>
              </w:rPr>
              <w:fldChar w:fldCharType="end"/>
            </w:r>
            <w:r w:rsidR="005F3C7E">
              <w:t>:</w:t>
            </w:r>
            <w:r w:rsidR="005F3C7E" w:rsidRPr="007A6608">
              <w:t xml:space="preserve"> Répartition des actifs occupés selon le pôle de croissance, le milieu de résidence et la catégorie socioprofessionnelle</w:t>
            </w:r>
            <w:bookmarkEnd w:id="163"/>
            <w:bookmarkEnd w:id="164"/>
          </w:p>
        </w:tc>
      </w:tr>
      <w:tr w:rsidR="005F3C7E" w:rsidRPr="00933FBA" w:rsidTr="00B3020F">
        <w:trPr>
          <w:trHeight w:val="292"/>
        </w:trPr>
        <w:tc>
          <w:tcPr>
            <w:tcW w:w="2160" w:type="dxa"/>
            <w:tcBorders>
              <w:left w:val="nil"/>
            </w:tcBorders>
            <w:shd w:val="clear" w:color="auto" w:fill="DAEEF3" w:themeFill="accent5" w:themeFillTint="33"/>
            <w:noWrap/>
            <w:vAlign w:val="bottom"/>
            <w:hideMark/>
          </w:tcPr>
          <w:p w:rsidR="005F3C7E" w:rsidRPr="00933FBA" w:rsidRDefault="005F3C7E" w:rsidP="00A7608B">
            <w:pPr>
              <w:spacing w:line="240" w:lineRule="auto"/>
              <w:rPr>
                <w:rFonts w:ascii="Times New Roman" w:eastAsia="Times New Roman" w:hAnsi="Times New Roman"/>
              </w:rPr>
            </w:pPr>
            <w:r w:rsidRPr="00933FBA">
              <w:rPr>
                <w:rFonts w:ascii="Times New Roman" w:eastAsia="Times New Roman" w:hAnsi="Times New Roman"/>
              </w:rPr>
              <w:t> </w:t>
            </w:r>
          </w:p>
        </w:tc>
        <w:tc>
          <w:tcPr>
            <w:tcW w:w="4469" w:type="dxa"/>
            <w:gridSpan w:val="5"/>
            <w:shd w:val="clear" w:color="auto" w:fill="DAEEF3" w:themeFill="accent5" w:themeFillTint="33"/>
            <w:noWrap/>
            <w:vAlign w:val="center"/>
            <w:hideMark/>
          </w:tcPr>
          <w:p w:rsidR="005F3C7E" w:rsidRPr="008D38DF" w:rsidRDefault="005F3C7E" w:rsidP="00A7608B">
            <w:pPr>
              <w:spacing w:line="240" w:lineRule="auto"/>
              <w:jc w:val="center"/>
              <w:rPr>
                <w:rFonts w:ascii="Times New Roman" w:eastAsia="Times New Roman" w:hAnsi="Times New Roman"/>
                <w:b/>
                <w:bCs/>
              </w:rPr>
            </w:pPr>
            <w:r w:rsidRPr="00933FBA">
              <w:rPr>
                <w:rFonts w:ascii="Times New Roman" w:eastAsia="Times New Roman" w:hAnsi="Times New Roman"/>
                <w:b/>
                <w:bCs/>
              </w:rPr>
              <w:t>C</w:t>
            </w:r>
            <w:r w:rsidR="00B3020F" w:rsidRPr="00933FBA">
              <w:rPr>
                <w:rFonts w:ascii="Times New Roman" w:eastAsia="Times New Roman" w:hAnsi="Times New Roman"/>
                <w:b/>
                <w:bCs/>
              </w:rPr>
              <w:t>otono</w:t>
            </w:r>
            <w:r w:rsidR="00B3020F">
              <w:rPr>
                <w:rFonts w:ascii="Times New Roman" w:eastAsia="Times New Roman" w:hAnsi="Times New Roman"/>
                <w:b/>
                <w:bCs/>
              </w:rPr>
              <w:t>u</w:t>
            </w:r>
          </w:p>
        </w:tc>
        <w:tc>
          <w:tcPr>
            <w:tcW w:w="4320" w:type="dxa"/>
            <w:gridSpan w:val="5"/>
            <w:shd w:val="clear" w:color="auto" w:fill="DAEEF3" w:themeFill="accent5" w:themeFillTint="33"/>
            <w:vAlign w:val="center"/>
          </w:tcPr>
          <w:p w:rsidR="005F3C7E" w:rsidRPr="00933FBA" w:rsidRDefault="005F3C7E" w:rsidP="00A7608B">
            <w:pPr>
              <w:spacing w:line="240" w:lineRule="auto"/>
              <w:jc w:val="center"/>
              <w:rPr>
                <w:rFonts w:ascii="Times New Roman" w:eastAsia="Times New Roman" w:hAnsi="Times New Roman"/>
              </w:rPr>
            </w:pPr>
            <w:r w:rsidRPr="00933FBA">
              <w:rPr>
                <w:rFonts w:ascii="Times New Roman" w:eastAsia="Times New Roman" w:hAnsi="Times New Roman"/>
                <w:b/>
                <w:bCs/>
              </w:rPr>
              <w:t>A</w:t>
            </w:r>
            <w:r w:rsidR="00B3020F" w:rsidRPr="00933FBA">
              <w:rPr>
                <w:rFonts w:ascii="Times New Roman" w:eastAsia="Times New Roman" w:hAnsi="Times New Roman"/>
                <w:b/>
                <w:bCs/>
              </w:rPr>
              <w:t>utre urbain</w:t>
            </w:r>
          </w:p>
        </w:tc>
        <w:tc>
          <w:tcPr>
            <w:tcW w:w="4468" w:type="dxa"/>
            <w:gridSpan w:val="5"/>
            <w:shd w:val="clear" w:color="auto" w:fill="DAEEF3" w:themeFill="accent5" w:themeFillTint="33"/>
            <w:vAlign w:val="center"/>
          </w:tcPr>
          <w:p w:rsidR="005F3C7E" w:rsidRPr="00933FBA" w:rsidRDefault="005F3C7E" w:rsidP="00A7608B">
            <w:pPr>
              <w:spacing w:line="240" w:lineRule="auto"/>
              <w:jc w:val="center"/>
              <w:rPr>
                <w:rFonts w:ascii="Times New Roman" w:eastAsia="Times New Roman" w:hAnsi="Times New Roman"/>
              </w:rPr>
            </w:pPr>
            <w:r>
              <w:rPr>
                <w:rFonts w:ascii="Times New Roman" w:eastAsia="Times New Roman" w:hAnsi="Times New Roman"/>
                <w:b/>
                <w:bCs/>
              </w:rPr>
              <w:t>E</w:t>
            </w:r>
            <w:r w:rsidR="00B3020F">
              <w:rPr>
                <w:rFonts w:ascii="Times New Roman" w:eastAsia="Times New Roman" w:hAnsi="Times New Roman"/>
                <w:b/>
                <w:bCs/>
              </w:rPr>
              <w:t>nsemble</w:t>
            </w:r>
            <w:r w:rsidR="00B3020F" w:rsidRPr="00933FBA">
              <w:rPr>
                <w:rFonts w:ascii="Times New Roman" w:eastAsia="Times New Roman" w:hAnsi="Times New Roman"/>
                <w:b/>
                <w:bCs/>
              </w:rPr>
              <w:t xml:space="preserve"> urbain</w:t>
            </w:r>
          </w:p>
        </w:tc>
      </w:tr>
      <w:tr w:rsidR="005F3C7E" w:rsidRPr="00933FBA" w:rsidTr="00B3020F">
        <w:trPr>
          <w:trHeight w:val="770"/>
        </w:trPr>
        <w:tc>
          <w:tcPr>
            <w:tcW w:w="2160" w:type="dxa"/>
            <w:tcBorders>
              <w:left w:val="nil"/>
              <w:bottom w:val="single" w:sz="4" w:space="0" w:color="auto"/>
            </w:tcBorders>
            <w:shd w:val="clear" w:color="auto" w:fill="DAEEF3" w:themeFill="accent5" w:themeFillTint="33"/>
            <w:noWrap/>
            <w:vAlign w:val="bottom"/>
            <w:hideMark/>
          </w:tcPr>
          <w:p w:rsidR="005F3C7E" w:rsidRPr="005A6C63" w:rsidRDefault="005F3C7E" w:rsidP="00A7608B">
            <w:pPr>
              <w:spacing w:line="240" w:lineRule="auto"/>
              <w:rPr>
                <w:rFonts w:ascii="Times New Roman" w:eastAsia="Times New Roman" w:hAnsi="Times New Roman"/>
              </w:rPr>
            </w:pPr>
            <w:r w:rsidRPr="005A6C63">
              <w:rPr>
                <w:rFonts w:ascii="Times New Roman" w:eastAsia="Times New Roman" w:hAnsi="Times New Roman"/>
              </w:rPr>
              <w:t> </w:t>
            </w:r>
          </w:p>
        </w:tc>
        <w:tc>
          <w:tcPr>
            <w:tcW w:w="851" w:type="dxa"/>
            <w:tcBorders>
              <w:bottom w:val="single" w:sz="4" w:space="0" w:color="auto"/>
            </w:tcBorders>
            <w:shd w:val="clear" w:color="auto" w:fill="DAEEF3" w:themeFill="accent5" w:themeFillTint="33"/>
            <w:vAlign w:val="bottom"/>
            <w:hideMark/>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Salariés</w:t>
            </w:r>
          </w:p>
        </w:tc>
        <w:tc>
          <w:tcPr>
            <w:tcW w:w="992" w:type="dxa"/>
            <w:tcBorders>
              <w:bottom w:val="single" w:sz="4" w:space="0" w:color="auto"/>
            </w:tcBorders>
            <w:shd w:val="clear" w:color="auto" w:fill="DAEEF3" w:themeFill="accent5" w:themeFillTint="33"/>
            <w:vAlign w:val="bottom"/>
            <w:hideMark/>
          </w:tcPr>
          <w:p w:rsidR="005F3C7E" w:rsidRPr="005A6C63" w:rsidRDefault="005F3C7E" w:rsidP="005F3C7E">
            <w:pPr>
              <w:spacing w:line="240" w:lineRule="auto"/>
              <w:jc w:val="left"/>
              <w:rPr>
                <w:rFonts w:ascii="Times New Roman" w:eastAsia="Times New Roman" w:hAnsi="Times New Roman"/>
                <w:sz w:val="18"/>
                <w:szCs w:val="18"/>
              </w:rPr>
            </w:pPr>
            <w:r w:rsidRPr="00961895">
              <w:rPr>
                <w:rFonts w:ascii="Times New Roman" w:eastAsia="Times New Roman" w:hAnsi="Times New Roman"/>
                <w:sz w:val="18"/>
                <w:szCs w:val="18"/>
              </w:rPr>
              <w:t>Employ</w:t>
            </w:r>
          </w:p>
        </w:tc>
        <w:tc>
          <w:tcPr>
            <w:tcW w:w="992" w:type="dxa"/>
            <w:tcBorders>
              <w:bottom w:val="single" w:sz="4" w:space="0" w:color="auto"/>
            </w:tcBorders>
            <w:shd w:val="clear" w:color="auto" w:fill="DAEEF3" w:themeFill="accent5" w:themeFillTint="33"/>
            <w:vAlign w:val="bottom"/>
            <w:hideMark/>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 xml:space="preserve">Trav. </w:t>
            </w:r>
          </w:p>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à son propre compte</w:t>
            </w:r>
          </w:p>
        </w:tc>
        <w:tc>
          <w:tcPr>
            <w:tcW w:w="783" w:type="dxa"/>
            <w:tcBorders>
              <w:bottom w:val="single" w:sz="4" w:space="0" w:color="auto"/>
            </w:tcBorders>
            <w:shd w:val="clear" w:color="auto" w:fill="DAEEF3" w:themeFill="accent5" w:themeFillTint="33"/>
            <w:vAlign w:val="bottom"/>
            <w:hideMark/>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Appr./</w:t>
            </w:r>
          </w:p>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Aide familial</w:t>
            </w:r>
          </w:p>
        </w:tc>
        <w:tc>
          <w:tcPr>
            <w:tcW w:w="851" w:type="dxa"/>
            <w:tcBorders>
              <w:bottom w:val="single" w:sz="4" w:space="0" w:color="auto"/>
            </w:tcBorders>
            <w:shd w:val="clear" w:color="auto" w:fill="DAEEF3" w:themeFill="accent5" w:themeFillTint="33"/>
            <w:vAlign w:val="bottom"/>
            <w:hideMark/>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Eff. Total</w:t>
            </w:r>
          </w:p>
        </w:tc>
        <w:tc>
          <w:tcPr>
            <w:tcW w:w="850"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Salariés</w:t>
            </w:r>
          </w:p>
        </w:tc>
        <w:tc>
          <w:tcPr>
            <w:tcW w:w="851"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Employ.</w:t>
            </w:r>
          </w:p>
        </w:tc>
        <w:tc>
          <w:tcPr>
            <w:tcW w:w="918"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 xml:space="preserve">Trav. </w:t>
            </w:r>
          </w:p>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à son propre compte</w:t>
            </w:r>
          </w:p>
        </w:tc>
        <w:tc>
          <w:tcPr>
            <w:tcW w:w="850"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Appr./</w:t>
            </w:r>
          </w:p>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Aide familial</w:t>
            </w:r>
          </w:p>
        </w:tc>
        <w:tc>
          <w:tcPr>
            <w:tcW w:w="851"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Eff. Total</w:t>
            </w:r>
          </w:p>
        </w:tc>
        <w:tc>
          <w:tcPr>
            <w:tcW w:w="850"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Salariés</w:t>
            </w:r>
          </w:p>
        </w:tc>
        <w:tc>
          <w:tcPr>
            <w:tcW w:w="851"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Employ.</w:t>
            </w:r>
          </w:p>
        </w:tc>
        <w:tc>
          <w:tcPr>
            <w:tcW w:w="992" w:type="dxa"/>
            <w:tcBorders>
              <w:bottom w:val="single" w:sz="4" w:space="0" w:color="auto"/>
            </w:tcBorders>
            <w:shd w:val="clear" w:color="auto" w:fill="DAEEF3" w:themeFill="accent5" w:themeFillTint="33"/>
            <w:vAlign w:val="bottom"/>
          </w:tcPr>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 xml:space="preserve">Trav. </w:t>
            </w:r>
          </w:p>
          <w:p w:rsidR="005F3C7E" w:rsidRPr="005A6C63" w:rsidRDefault="005F3C7E" w:rsidP="00A7608B">
            <w:pPr>
              <w:spacing w:line="240" w:lineRule="auto"/>
              <w:jc w:val="left"/>
              <w:rPr>
                <w:rFonts w:ascii="Times New Roman" w:eastAsia="Times New Roman" w:hAnsi="Times New Roman"/>
                <w:sz w:val="18"/>
                <w:szCs w:val="18"/>
              </w:rPr>
            </w:pPr>
            <w:r w:rsidRPr="005A6C63">
              <w:rPr>
                <w:rFonts w:ascii="Times New Roman" w:eastAsia="Times New Roman" w:hAnsi="Times New Roman"/>
                <w:sz w:val="18"/>
                <w:szCs w:val="18"/>
              </w:rPr>
              <w:t>à son propre compte</w:t>
            </w:r>
          </w:p>
        </w:tc>
        <w:tc>
          <w:tcPr>
            <w:tcW w:w="783" w:type="dxa"/>
            <w:tcBorders>
              <w:bottom w:val="single" w:sz="4" w:space="0" w:color="auto"/>
            </w:tcBorders>
            <w:shd w:val="clear" w:color="auto" w:fill="DAEEF3" w:themeFill="accent5" w:themeFillTint="33"/>
            <w:vAlign w:val="bottom"/>
          </w:tcPr>
          <w:p w:rsidR="005F3C7E" w:rsidRDefault="005F3C7E" w:rsidP="00A7608B">
            <w:pPr>
              <w:spacing w:line="240" w:lineRule="auto"/>
              <w:jc w:val="left"/>
              <w:rPr>
                <w:rFonts w:ascii="Times New Roman" w:eastAsia="Times New Roman" w:hAnsi="Times New Roman"/>
                <w:sz w:val="18"/>
                <w:szCs w:val="18"/>
              </w:rPr>
            </w:pPr>
            <w:r w:rsidRPr="008D38DF">
              <w:rPr>
                <w:rFonts w:ascii="Times New Roman" w:eastAsia="Times New Roman" w:hAnsi="Times New Roman"/>
                <w:sz w:val="18"/>
                <w:szCs w:val="18"/>
              </w:rPr>
              <w:t>Appr</w:t>
            </w:r>
            <w:r>
              <w:rPr>
                <w:rFonts w:ascii="Times New Roman" w:eastAsia="Times New Roman" w:hAnsi="Times New Roman"/>
                <w:sz w:val="18"/>
                <w:szCs w:val="18"/>
              </w:rPr>
              <w:t>.</w:t>
            </w:r>
            <w:r w:rsidRPr="008D38DF">
              <w:rPr>
                <w:rFonts w:ascii="Times New Roman" w:eastAsia="Times New Roman" w:hAnsi="Times New Roman"/>
                <w:sz w:val="18"/>
                <w:szCs w:val="18"/>
              </w:rPr>
              <w:t>/</w:t>
            </w:r>
          </w:p>
          <w:p w:rsidR="005F3C7E" w:rsidRPr="008D38DF" w:rsidRDefault="005F3C7E" w:rsidP="00A7608B">
            <w:pPr>
              <w:spacing w:line="240" w:lineRule="auto"/>
              <w:jc w:val="left"/>
              <w:rPr>
                <w:rFonts w:ascii="Times New Roman" w:eastAsia="Times New Roman" w:hAnsi="Times New Roman"/>
                <w:sz w:val="18"/>
                <w:szCs w:val="18"/>
              </w:rPr>
            </w:pPr>
            <w:r w:rsidRPr="008D38DF">
              <w:rPr>
                <w:rFonts w:ascii="Times New Roman" w:eastAsia="Times New Roman" w:hAnsi="Times New Roman"/>
                <w:sz w:val="18"/>
                <w:szCs w:val="18"/>
              </w:rPr>
              <w:t>Aide familial</w:t>
            </w:r>
          </w:p>
        </w:tc>
        <w:tc>
          <w:tcPr>
            <w:tcW w:w="992" w:type="dxa"/>
            <w:tcBorders>
              <w:bottom w:val="single" w:sz="4" w:space="0" w:color="auto"/>
            </w:tcBorders>
            <w:shd w:val="clear" w:color="auto" w:fill="DAEEF3" w:themeFill="accent5" w:themeFillTint="33"/>
            <w:vAlign w:val="bottom"/>
          </w:tcPr>
          <w:p w:rsidR="005F3C7E" w:rsidRPr="008D38DF" w:rsidRDefault="005F3C7E" w:rsidP="00A7608B">
            <w:pPr>
              <w:spacing w:line="240" w:lineRule="auto"/>
              <w:jc w:val="left"/>
              <w:rPr>
                <w:rFonts w:ascii="Times New Roman" w:eastAsia="Times New Roman" w:hAnsi="Times New Roman"/>
                <w:sz w:val="18"/>
                <w:szCs w:val="18"/>
              </w:rPr>
            </w:pPr>
            <w:r>
              <w:rPr>
                <w:rFonts w:ascii="Times New Roman" w:eastAsia="Times New Roman" w:hAnsi="Times New Roman"/>
                <w:sz w:val="18"/>
                <w:szCs w:val="18"/>
              </w:rPr>
              <w:t xml:space="preserve">Eff. </w:t>
            </w:r>
            <w:r w:rsidRPr="008D38DF">
              <w:rPr>
                <w:rFonts w:ascii="Times New Roman" w:eastAsia="Times New Roman" w:hAnsi="Times New Roman"/>
                <w:sz w:val="18"/>
                <w:szCs w:val="18"/>
              </w:rPr>
              <w:t>Total</w:t>
            </w:r>
          </w:p>
        </w:tc>
      </w:tr>
      <w:tr w:rsidR="005F3C7E" w:rsidRPr="00933FBA" w:rsidTr="00B3020F">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Agriculture</w:t>
            </w:r>
          </w:p>
        </w:tc>
        <w:tc>
          <w:tcPr>
            <w:tcW w:w="851" w:type="dxa"/>
            <w:tcBorders>
              <w:top w:val="single" w:sz="4" w:space="0" w:color="auto"/>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6,1</w:t>
            </w:r>
          </w:p>
        </w:tc>
        <w:tc>
          <w:tcPr>
            <w:tcW w:w="992" w:type="dxa"/>
            <w:tcBorders>
              <w:top w:val="single" w:sz="4" w:space="0" w:color="auto"/>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0,0</w:t>
            </w:r>
          </w:p>
        </w:tc>
        <w:tc>
          <w:tcPr>
            <w:tcW w:w="992" w:type="dxa"/>
            <w:tcBorders>
              <w:top w:val="single" w:sz="4" w:space="0" w:color="auto"/>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93,9</w:t>
            </w:r>
          </w:p>
        </w:tc>
        <w:tc>
          <w:tcPr>
            <w:tcW w:w="783" w:type="dxa"/>
            <w:tcBorders>
              <w:top w:val="single" w:sz="4" w:space="0" w:color="auto"/>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0,0</w:t>
            </w:r>
          </w:p>
        </w:tc>
        <w:tc>
          <w:tcPr>
            <w:tcW w:w="851" w:type="dxa"/>
            <w:tcBorders>
              <w:top w:val="single" w:sz="4" w:space="0" w:color="auto"/>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1613</w:t>
            </w:r>
          </w:p>
        </w:tc>
        <w:tc>
          <w:tcPr>
            <w:tcW w:w="850"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1,8</w:t>
            </w:r>
          </w:p>
        </w:tc>
        <w:tc>
          <w:tcPr>
            <w:tcW w:w="851"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0,6</w:t>
            </w:r>
          </w:p>
        </w:tc>
        <w:tc>
          <w:tcPr>
            <w:tcW w:w="918"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67,6</w:t>
            </w:r>
          </w:p>
        </w:tc>
        <w:tc>
          <w:tcPr>
            <w:tcW w:w="850"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30,1</w:t>
            </w:r>
          </w:p>
        </w:tc>
        <w:tc>
          <w:tcPr>
            <w:tcW w:w="851"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243470   </w:t>
            </w:r>
          </w:p>
        </w:tc>
        <w:tc>
          <w:tcPr>
            <w:tcW w:w="850"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1,8</w:t>
            </w:r>
          </w:p>
        </w:tc>
        <w:tc>
          <w:tcPr>
            <w:tcW w:w="851"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0,6</w:t>
            </w:r>
          </w:p>
        </w:tc>
        <w:tc>
          <w:tcPr>
            <w:tcW w:w="992"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67,7</w:t>
            </w:r>
          </w:p>
        </w:tc>
        <w:tc>
          <w:tcPr>
            <w:tcW w:w="783"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29,9</w:t>
            </w:r>
          </w:p>
        </w:tc>
        <w:tc>
          <w:tcPr>
            <w:tcW w:w="992" w:type="dxa"/>
            <w:tcBorders>
              <w:top w:val="single" w:sz="4" w:space="0" w:color="auto"/>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245083   </w:t>
            </w:r>
          </w:p>
        </w:tc>
      </w:tr>
      <w:tr w:rsidR="005F3C7E" w:rsidRPr="00933FBA" w:rsidTr="005A6C63">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Coton-Textile</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3,0</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4,8</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70,4</w:t>
            </w:r>
          </w:p>
        </w:tc>
        <w:tc>
          <w:tcPr>
            <w:tcW w:w="783"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21,8</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23579</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1,6</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4,0</w:t>
            </w:r>
          </w:p>
        </w:tc>
        <w:tc>
          <w:tcPr>
            <w:tcW w:w="918"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70,7</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23,7</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42864   </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2,1</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4,3</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70,6</w:t>
            </w:r>
          </w:p>
        </w:tc>
        <w:tc>
          <w:tcPr>
            <w:tcW w:w="783"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23,0</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66443</w:t>
            </w:r>
          </w:p>
        </w:tc>
      </w:tr>
      <w:tr w:rsidR="005F3C7E" w:rsidRPr="00933FBA" w:rsidTr="005A6C63">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Commerce-logistique</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17,5</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2,5</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75,4</w:t>
            </w:r>
          </w:p>
        </w:tc>
        <w:tc>
          <w:tcPr>
            <w:tcW w:w="783"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4,5</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161729</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6,5</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1,2</w:t>
            </w:r>
          </w:p>
        </w:tc>
        <w:tc>
          <w:tcPr>
            <w:tcW w:w="918"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84,9</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7,4</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284619   </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10,5</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1,7</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81,5</w:t>
            </w:r>
          </w:p>
        </w:tc>
        <w:tc>
          <w:tcPr>
            <w:tcW w:w="783"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6,4</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446348   </w:t>
            </w:r>
          </w:p>
        </w:tc>
      </w:tr>
      <w:tr w:rsidR="005F3C7E" w:rsidRPr="00933FBA" w:rsidTr="005A6C63">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Agroalimentaire</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25,0</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12,0</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60,1</w:t>
            </w:r>
          </w:p>
        </w:tc>
        <w:tc>
          <w:tcPr>
            <w:tcW w:w="783"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2,9</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4729</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14,7</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0,0</w:t>
            </w:r>
          </w:p>
        </w:tc>
        <w:tc>
          <w:tcPr>
            <w:tcW w:w="918"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81,3</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3,9</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8414   </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18,4</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4,3</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73,7</w:t>
            </w:r>
          </w:p>
        </w:tc>
        <w:tc>
          <w:tcPr>
            <w:tcW w:w="783"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3,6</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13143   </w:t>
            </w:r>
          </w:p>
        </w:tc>
      </w:tr>
      <w:tr w:rsidR="005F3C7E" w:rsidRPr="00933FBA" w:rsidTr="005A6C63">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BTP - matériaux de construction</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19,4</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10,4</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51,7</w:t>
            </w:r>
          </w:p>
        </w:tc>
        <w:tc>
          <w:tcPr>
            <w:tcW w:w="783"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18,5</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18901</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11,5</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10,2</w:t>
            </w:r>
          </w:p>
        </w:tc>
        <w:tc>
          <w:tcPr>
            <w:tcW w:w="918"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63,1</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15,2</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32 215   </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14,4</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10,3</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58,9</w:t>
            </w:r>
          </w:p>
        </w:tc>
        <w:tc>
          <w:tcPr>
            <w:tcW w:w="783"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16,4</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51 117   </w:t>
            </w:r>
          </w:p>
        </w:tc>
      </w:tr>
      <w:tr w:rsidR="005F3C7E" w:rsidRPr="00933FBA" w:rsidTr="005A6C63">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Culture et tourisme</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12,3</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5,2</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65,6</w:t>
            </w:r>
          </w:p>
        </w:tc>
        <w:tc>
          <w:tcPr>
            <w:tcW w:w="783"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16,9</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52951</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8,0</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2,5</w:t>
            </w:r>
          </w:p>
        </w:tc>
        <w:tc>
          <w:tcPr>
            <w:tcW w:w="918"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76,8</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12,7</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73210   </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9,8</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3,6</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72,1</w:t>
            </w:r>
          </w:p>
        </w:tc>
        <w:tc>
          <w:tcPr>
            <w:tcW w:w="783"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14,4</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126160   </w:t>
            </w:r>
          </w:p>
        </w:tc>
      </w:tr>
      <w:tr w:rsidR="005F3C7E" w:rsidRPr="00933FBA" w:rsidTr="005A6C63">
        <w:trPr>
          <w:trHeight w:val="397"/>
        </w:trPr>
        <w:tc>
          <w:tcPr>
            <w:tcW w:w="2160" w:type="dxa"/>
            <w:tcBorders>
              <w:top w:val="nil"/>
              <w:left w:val="nil"/>
              <w:bottom w:val="nil"/>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Autres activités industrielles et artisanales</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10,6</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5,2</w:t>
            </w:r>
          </w:p>
        </w:tc>
        <w:tc>
          <w:tcPr>
            <w:tcW w:w="992"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73,3</w:t>
            </w:r>
          </w:p>
        </w:tc>
        <w:tc>
          <w:tcPr>
            <w:tcW w:w="783"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10,9</w:t>
            </w:r>
          </w:p>
        </w:tc>
        <w:tc>
          <w:tcPr>
            <w:tcW w:w="851" w:type="dxa"/>
            <w:tcBorders>
              <w:top w:val="nil"/>
              <w:left w:val="nil"/>
              <w:bottom w:val="nil"/>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20470</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7,0</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7,1</w:t>
            </w:r>
          </w:p>
        </w:tc>
        <w:tc>
          <w:tcPr>
            <w:tcW w:w="918"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74,0</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11,9</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28503   </w:t>
            </w:r>
          </w:p>
        </w:tc>
        <w:tc>
          <w:tcPr>
            <w:tcW w:w="850"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8,5</w:t>
            </w:r>
          </w:p>
        </w:tc>
        <w:tc>
          <w:tcPr>
            <w:tcW w:w="851"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6,3</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73,7</w:t>
            </w:r>
          </w:p>
        </w:tc>
        <w:tc>
          <w:tcPr>
            <w:tcW w:w="783"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11,5</w:t>
            </w:r>
          </w:p>
        </w:tc>
        <w:tc>
          <w:tcPr>
            <w:tcW w:w="992" w:type="dxa"/>
            <w:tcBorders>
              <w:top w:val="nil"/>
              <w:left w:val="nil"/>
              <w:bottom w:val="nil"/>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48973   </w:t>
            </w:r>
          </w:p>
        </w:tc>
      </w:tr>
      <w:tr w:rsidR="005F3C7E" w:rsidRPr="00933FBA" w:rsidTr="005A6C63">
        <w:trPr>
          <w:trHeight w:val="397"/>
        </w:trPr>
        <w:tc>
          <w:tcPr>
            <w:tcW w:w="2160" w:type="dxa"/>
            <w:tcBorders>
              <w:top w:val="nil"/>
              <w:left w:val="nil"/>
              <w:bottom w:val="single" w:sz="4" w:space="0" w:color="auto"/>
              <w:right w:val="nil"/>
            </w:tcBorders>
            <w:shd w:val="clear" w:color="auto" w:fill="DAEEF3" w:themeFill="accent5" w:themeFillTint="33"/>
            <w:vAlign w:val="center"/>
            <w:hideMark/>
          </w:tcPr>
          <w:p w:rsidR="005F3C7E" w:rsidRPr="00933FBA" w:rsidRDefault="005F3C7E" w:rsidP="00A7608B">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Autres services</w:t>
            </w:r>
          </w:p>
        </w:tc>
        <w:tc>
          <w:tcPr>
            <w:tcW w:w="851" w:type="dxa"/>
            <w:tcBorders>
              <w:top w:val="nil"/>
              <w:left w:val="nil"/>
              <w:bottom w:val="single" w:sz="4" w:space="0" w:color="auto"/>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79,6</w:t>
            </w:r>
          </w:p>
        </w:tc>
        <w:tc>
          <w:tcPr>
            <w:tcW w:w="992" w:type="dxa"/>
            <w:tcBorders>
              <w:top w:val="nil"/>
              <w:left w:val="nil"/>
              <w:bottom w:val="single" w:sz="4" w:space="0" w:color="auto"/>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1,2</w:t>
            </w:r>
          </w:p>
        </w:tc>
        <w:tc>
          <w:tcPr>
            <w:tcW w:w="992" w:type="dxa"/>
            <w:tcBorders>
              <w:top w:val="nil"/>
              <w:left w:val="nil"/>
              <w:bottom w:val="single" w:sz="4" w:space="0" w:color="auto"/>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13,5</w:t>
            </w:r>
          </w:p>
        </w:tc>
        <w:tc>
          <w:tcPr>
            <w:tcW w:w="783" w:type="dxa"/>
            <w:tcBorders>
              <w:top w:val="nil"/>
              <w:left w:val="nil"/>
              <w:bottom w:val="single" w:sz="4" w:space="0" w:color="auto"/>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5,7</w:t>
            </w:r>
          </w:p>
        </w:tc>
        <w:tc>
          <w:tcPr>
            <w:tcW w:w="851" w:type="dxa"/>
            <w:tcBorders>
              <w:top w:val="nil"/>
              <w:left w:val="nil"/>
              <w:bottom w:val="single" w:sz="4" w:space="0" w:color="auto"/>
              <w:right w:val="nil"/>
            </w:tcBorders>
            <w:shd w:val="clear" w:color="auto" w:fill="DAEEF3" w:themeFill="accent5" w:themeFillTint="33"/>
            <w:noWrap/>
            <w:vAlign w:val="center"/>
            <w:hideMark/>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72332</w:t>
            </w:r>
          </w:p>
        </w:tc>
        <w:tc>
          <w:tcPr>
            <w:tcW w:w="850"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63,4</w:t>
            </w:r>
          </w:p>
        </w:tc>
        <w:tc>
          <w:tcPr>
            <w:tcW w:w="851"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0,8</w:t>
            </w:r>
          </w:p>
        </w:tc>
        <w:tc>
          <w:tcPr>
            <w:tcW w:w="918"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26,0</w:t>
            </w:r>
          </w:p>
        </w:tc>
        <w:tc>
          <w:tcPr>
            <w:tcW w:w="850"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9,7</w:t>
            </w:r>
          </w:p>
        </w:tc>
        <w:tc>
          <w:tcPr>
            <w:tcW w:w="851"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  82084   </w:t>
            </w:r>
          </w:p>
        </w:tc>
        <w:tc>
          <w:tcPr>
            <w:tcW w:w="850"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71,0</w:t>
            </w:r>
          </w:p>
        </w:tc>
        <w:tc>
          <w:tcPr>
            <w:tcW w:w="851"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1,0</w:t>
            </w:r>
          </w:p>
        </w:tc>
        <w:tc>
          <w:tcPr>
            <w:tcW w:w="992"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20,2</w:t>
            </w:r>
          </w:p>
        </w:tc>
        <w:tc>
          <w:tcPr>
            <w:tcW w:w="783"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7,8</w:t>
            </w:r>
          </w:p>
        </w:tc>
        <w:tc>
          <w:tcPr>
            <w:tcW w:w="992" w:type="dxa"/>
            <w:tcBorders>
              <w:top w:val="nil"/>
              <w:left w:val="nil"/>
              <w:bottom w:val="single" w:sz="4" w:space="0" w:color="auto"/>
              <w:right w:val="nil"/>
            </w:tcBorders>
            <w:shd w:val="clear" w:color="auto" w:fill="DAEEF3" w:themeFill="accent5" w:themeFillTint="33"/>
            <w:vAlign w:val="center"/>
          </w:tcPr>
          <w:p w:rsidR="005F3C7E" w:rsidRPr="008D38DF" w:rsidRDefault="005F3C7E" w:rsidP="00A7608B">
            <w:pPr>
              <w:spacing w:line="240" w:lineRule="auto"/>
              <w:jc w:val="right"/>
              <w:rPr>
                <w:rFonts w:ascii="Times New Roman" w:eastAsia="Times New Roman" w:hAnsi="Times New Roman"/>
                <w:color w:val="000000"/>
                <w:sz w:val="20"/>
                <w:szCs w:val="20"/>
              </w:rPr>
            </w:pPr>
            <w:r w:rsidRPr="008D38DF">
              <w:rPr>
                <w:rFonts w:ascii="Times New Roman" w:eastAsia="Times New Roman" w:hAnsi="Times New Roman"/>
                <w:color w:val="000000"/>
                <w:sz w:val="20"/>
                <w:szCs w:val="20"/>
              </w:rPr>
              <w:t xml:space="preserve">154416   </w:t>
            </w:r>
          </w:p>
        </w:tc>
      </w:tr>
      <w:tr w:rsidR="005F3C7E" w:rsidRPr="00933FBA" w:rsidTr="005A6C63">
        <w:trPr>
          <w:trHeight w:val="397"/>
        </w:trPr>
        <w:tc>
          <w:tcPr>
            <w:tcW w:w="2160" w:type="dxa"/>
            <w:tcBorders>
              <w:top w:val="single" w:sz="4" w:space="0" w:color="auto"/>
              <w:left w:val="nil"/>
              <w:bottom w:val="double" w:sz="4" w:space="0" w:color="auto"/>
              <w:right w:val="nil"/>
            </w:tcBorders>
            <w:shd w:val="clear" w:color="auto" w:fill="DAEEF3" w:themeFill="accent5" w:themeFillTint="33"/>
            <w:vAlign w:val="center"/>
            <w:hideMark/>
          </w:tcPr>
          <w:p w:rsidR="005F3C7E" w:rsidRPr="005A6C63" w:rsidRDefault="005A6C63" w:rsidP="00A7608B">
            <w:pPr>
              <w:spacing w:line="240" w:lineRule="auto"/>
              <w:jc w:val="left"/>
              <w:rPr>
                <w:rFonts w:ascii="Times New Roman" w:eastAsia="Times New Roman" w:hAnsi="Times New Roman"/>
                <w:b/>
                <w:color w:val="000000"/>
              </w:rPr>
            </w:pPr>
            <w:r>
              <w:rPr>
                <w:rFonts w:ascii="Times New Roman" w:eastAsia="Times New Roman" w:hAnsi="Times New Roman"/>
                <w:b/>
                <w:color w:val="000000"/>
              </w:rPr>
              <w:t>Ensemble</w:t>
            </w:r>
          </w:p>
        </w:tc>
        <w:tc>
          <w:tcPr>
            <w:tcW w:w="851" w:type="dxa"/>
            <w:tcBorders>
              <w:top w:val="single" w:sz="4" w:space="0" w:color="auto"/>
              <w:left w:val="nil"/>
              <w:bottom w:val="double" w:sz="4" w:space="0" w:color="auto"/>
              <w:right w:val="nil"/>
            </w:tcBorders>
            <w:shd w:val="clear" w:color="auto" w:fill="DAEEF3" w:themeFill="accent5" w:themeFillTint="33"/>
            <w:noWrap/>
            <w:vAlign w:val="center"/>
            <w:hideMark/>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28,2</w:t>
            </w:r>
          </w:p>
        </w:tc>
        <w:tc>
          <w:tcPr>
            <w:tcW w:w="992" w:type="dxa"/>
            <w:tcBorders>
              <w:top w:val="single" w:sz="4" w:space="0" w:color="auto"/>
              <w:left w:val="nil"/>
              <w:bottom w:val="double" w:sz="4" w:space="0" w:color="auto"/>
              <w:right w:val="nil"/>
            </w:tcBorders>
            <w:shd w:val="clear" w:color="auto" w:fill="DAEEF3" w:themeFill="accent5" w:themeFillTint="33"/>
            <w:noWrap/>
            <w:vAlign w:val="center"/>
            <w:hideMark/>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3,5</w:t>
            </w:r>
          </w:p>
        </w:tc>
        <w:tc>
          <w:tcPr>
            <w:tcW w:w="992" w:type="dxa"/>
            <w:tcBorders>
              <w:top w:val="single" w:sz="4" w:space="0" w:color="auto"/>
              <w:left w:val="nil"/>
              <w:bottom w:val="double" w:sz="4" w:space="0" w:color="auto"/>
              <w:right w:val="nil"/>
            </w:tcBorders>
            <w:shd w:val="clear" w:color="auto" w:fill="DAEEF3" w:themeFill="accent5" w:themeFillTint="33"/>
            <w:noWrap/>
            <w:vAlign w:val="center"/>
            <w:hideMark/>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59,6</w:t>
            </w:r>
          </w:p>
        </w:tc>
        <w:tc>
          <w:tcPr>
            <w:tcW w:w="783" w:type="dxa"/>
            <w:tcBorders>
              <w:top w:val="single" w:sz="4" w:space="0" w:color="auto"/>
              <w:left w:val="nil"/>
              <w:bottom w:val="double" w:sz="4" w:space="0" w:color="auto"/>
              <w:right w:val="nil"/>
            </w:tcBorders>
            <w:shd w:val="clear" w:color="auto" w:fill="DAEEF3" w:themeFill="accent5" w:themeFillTint="33"/>
            <w:noWrap/>
            <w:vAlign w:val="center"/>
            <w:hideMark/>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8,8</w:t>
            </w:r>
          </w:p>
        </w:tc>
        <w:tc>
          <w:tcPr>
            <w:tcW w:w="851" w:type="dxa"/>
            <w:tcBorders>
              <w:top w:val="single" w:sz="4" w:space="0" w:color="auto"/>
              <w:left w:val="nil"/>
              <w:bottom w:val="double" w:sz="4" w:space="0" w:color="auto"/>
              <w:right w:val="nil"/>
            </w:tcBorders>
            <w:shd w:val="clear" w:color="auto" w:fill="DAEEF3" w:themeFill="accent5" w:themeFillTint="33"/>
            <w:noWrap/>
            <w:vAlign w:val="center"/>
            <w:hideMark/>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356304</w:t>
            </w:r>
          </w:p>
        </w:tc>
        <w:tc>
          <w:tcPr>
            <w:tcW w:w="850"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11,1</w:t>
            </w:r>
          </w:p>
        </w:tc>
        <w:tc>
          <w:tcPr>
            <w:tcW w:w="851"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1,8</w:t>
            </w:r>
          </w:p>
        </w:tc>
        <w:tc>
          <w:tcPr>
            <w:tcW w:w="918"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70,7</w:t>
            </w:r>
          </w:p>
        </w:tc>
        <w:tc>
          <w:tcPr>
            <w:tcW w:w="850"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16,4</w:t>
            </w:r>
          </w:p>
        </w:tc>
        <w:tc>
          <w:tcPr>
            <w:tcW w:w="851"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 xml:space="preserve">795380   </w:t>
            </w:r>
          </w:p>
        </w:tc>
        <w:tc>
          <w:tcPr>
            <w:tcW w:w="850"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16,4</w:t>
            </w:r>
          </w:p>
        </w:tc>
        <w:tc>
          <w:tcPr>
            <w:tcW w:w="851"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2,3</w:t>
            </w:r>
          </w:p>
        </w:tc>
        <w:tc>
          <w:tcPr>
            <w:tcW w:w="992"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67,3</w:t>
            </w:r>
          </w:p>
        </w:tc>
        <w:tc>
          <w:tcPr>
            <w:tcW w:w="783"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eastAsia="Times New Roman" w:hAnsi="Times New Roman"/>
                <w:b/>
                <w:color w:val="000000"/>
                <w:sz w:val="20"/>
                <w:szCs w:val="20"/>
              </w:rPr>
            </w:pPr>
            <w:r w:rsidRPr="005A6C63">
              <w:rPr>
                <w:rFonts w:ascii="Times New Roman" w:eastAsia="Times New Roman" w:hAnsi="Times New Roman"/>
                <w:b/>
                <w:color w:val="000000"/>
                <w:sz w:val="20"/>
                <w:szCs w:val="20"/>
              </w:rPr>
              <w:t>14,0</w:t>
            </w:r>
          </w:p>
        </w:tc>
        <w:tc>
          <w:tcPr>
            <w:tcW w:w="992" w:type="dxa"/>
            <w:tcBorders>
              <w:top w:val="single" w:sz="4" w:space="0" w:color="auto"/>
              <w:left w:val="nil"/>
              <w:bottom w:val="double" w:sz="4" w:space="0" w:color="auto"/>
              <w:right w:val="nil"/>
            </w:tcBorders>
            <w:shd w:val="clear" w:color="auto" w:fill="DAEEF3" w:themeFill="accent5" w:themeFillTint="33"/>
            <w:vAlign w:val="center"/>
          </w:tcPr>
          <w:p w:rsidR="005F3C7E" w:rsidRPr="005A6C63" w:rsidRDefault="005F3C7E" w:rsidP="00A7608B">
            <w:pPr>
              <w:spacing w:line="240" w:lineRule="auto"/>
              <w:jc w:val="right"/>
              <w:rPr>
                <w:rFonts w:ascii="Times New Roman" w:hAnsi="Times New Roman"/>
                <w:b/>
                <w:bCs/>
                <w:color w:val="000000"/>
                <w:sz w:val="20"/>
                <w:szCs w:val="20"/>
              </w:rPr>
            </w:pPr>
            <w:r w:rsidRPr="005A6C63">
              <w:rPr>
                <w:rFonts w:ascii="Times New Roman" w:hAnsi="Times New Roman"/>
                <w:b/>
                <w:bCs/>
                <w:color w:val="000000"/>
                <w:sz w:val="20"/>
                <w:szCs w:val="20"/>
              </w:rPr>
              <w:t xml:space="preserve">1151683   </w:t>
            </w:r>
          </w:p>
        </w:tc>
      </w:tr>
      <w:tr w:rsidR="005F3C7E" w:rsidRPr="008D38DF" w:rsidTr="005A6C63">
        <w:trPr>
          <w:trHeight w:val="397"/>
        </w:trPr>
        <w:tc>
          <w:tcPr>
            <w:tcW w:w="15417" w:type="dxa"/>
            <w:gridSpan w:val="16"/>
            <w:tcBorders>
              <w:top w:val="double" w:sz="4" w:space="0" w:color="auto"/>
              <w:left w:val="nil"/>
              <w:right w:val="nil"/>
            </w:tcBorders>
            <w:shd w:val="clear" w:color="auto" w:fill="DAEEF3" w:themeFill="accent5" w:themeFillTint="33"/>
            <w:vAlign w:val="center"/>
            <w:hideMark/>
          </w:tcPr>
          <w:p w:rsidR="005F3C7E" w:rsidRPr="005A6C63" w:rsidRDefault="005F3C7E" w:rsidP="005A6C63">
            <w:pPr>
              <w:spacing w:line="240" w:lineRule="auto"/>
              <w:rPr>
                <w:rFonts w:ascii="Times New Roman" w:hAnsi="Times New Roman"/>
                <w:sz w:val="20"/>
                <w:szCs w:val="20"/>
              </w:rPr>
            </w:pPr>
            <w:r w:rsidRPr="005A6C63">
              <w:rPr>
                <w:rFonts w:ascii="Times New Roman" w:hAnsi="Times New Roman"/>
                <w:sz w:val="20"/>
                <w:szCs w:val="20"/>
              </w:rPr>
              <w:t>Source : INSAE, EMICoV 2010</w:t>
            </w:r>
          </w:p>
          <w:p w:rsidR="005F3C7E" w:rsidRPr="005A6C63" w:rsidRDefault="005F3C7E" w:rsidP="005A6C63">
            <w:pPr>
              <w:spacing w:line="240" w:lineRule="auto"/>
              <w:jc w:val="left"/>
              <w:rPr>
                <w:rFonts w:ascii="Times New Roman" w:eastAsia="Times New Roman" w:hAnsi="Times New Roman"/>
                <w:sz w:val="18"/>
                <w:szCs w:val="18"/>
              </w:rPr>
            </w:pPr>
            <w:r w:rsidRPr="005A6C63">
              <w:rPr>
                <w:rFonts w:ascii="Times New Roman" w:hAnsi="Times New Roman"/>
                <w:sz w:val="20"/>
                <w:szCs w:val="20"/>
              </w:rPr>
              <w:t xml:space="preserve">NB : </w:t>
            </w:r>
            <w:r w:rsidRPr="005A6C63">
              <w:rPr>
                <w:rFonts w:ascii="Times New Roman" w:eastAsia="Times New Roman" w:hAnsi="Times New Roman"/>
                <w:sz w:val="18"/>
                <w:szCs w:val="18"/>
              </w:rPr>
              <w:t>Employ. = Employeur ;  Trav. = Travaille ; Appr.=Apprenti</w:t>
            </w:r>
          </w:p>
        </w:tc>
      </w:tr>
    </w:tbl>
    <w:p w:rsidR="005F3C7E" w:rsidRDefault="005F3C7E" w:rsidP="005F3C7E">
      <w:pPr>
        <w:rPr>
          <w:rFonts w:ascii="Times New Roman" w:hAnsi="Times New Roman"/>
          <w:sz w:val="20"/>
          <w:szCs w:val="20"/>
        </w:rPr>
      </w:pPr>
    </w:p>
    <w:p w:rsidR="005F3C7E" w:rsidRDefault="005F3C7E" w:rsidP="00401A60">
      <w:pPr>
        <w:spacing w:line="276" w:lineRule="auto"/>
        <w:rPr>
          <w:rFonts w:ascii="Times New Roman" w:hAnsi="Times New Roman"/>
          <w:sz w:val="24"/>
          <w:szCs w:val="24"/>
        </w:rPr>
      </w:pPr>
    </w:p>
    <w:p w:rsidR="005F3C7E" w:rsidRDefault="005F3C7E" w:rsidP="00401A60">
      <w:pPr>
        <w:spacing w:line="276" w:lineRule="auto"/>
        <w:rPr>
          <w:rFonts w:ascii="Times New Roman" w:hAnsi="Times New Roman"/>
          <w:sz w:val="24"/>
          <w:szCs w:val="24"/>
        </w:rPr>
        <w:sectPr w:rsidR="005F3C7E" w:rsidSect="005F3C7E">
          <w:pgSz w:w="16838" w:h="11906" w:orient="landscape"/>
          <w:pgMar w:top="1418" w:right="1220" w:bottom="1418" w:left="1418" w:header="284" w:footer="709" w:gutter="0"/>
          <w:cols w:space="708"/>
          <w:docGrid w:linePitch="360"/>
        </w:sectPr>
      </w:pPr>
    </w:p>
    <w:p w:rsidR="003104FA" w:rsidRDefault="00401A60" w:rsidP="00401A60">
      <w:pPr>
        <w:spacing w:line="276" w:lineRule="auto"/>
        <w:rPr>
          <w:rFonts w:ascii="Times New Roman" w:hAnsi="Times New Roman"/>
          <w:sz w:val="24"/>
          <w:szCs w:val="24"/>
        </w:rPr>
      </w:pPr>
      <w:r>
        <w:rPr>
          <w:rFonts w:ascii="Times New Roman" w:hAnsi="Times New Roman"/>
          <w:sz w:val="24"/>
          <w:szCs w:val="24"/>
        </w:rPr>
        <w:t>A</w:t>
      </w:r>
      <w:r w:rsidRPr="007C1C1E">
        <w:rPr>
          <w:rFonts w:ascii="Times New Roman" w:hAnsi="Times New Roman"/>
          <w:sz w:val="24"/>
          <w:szCs w:val="24"/>
        </w:rPr>
        <w:t xml:space="preserve"> Cotonou, 59,6% des actifs occupés sont des travailleurs à leur propre compte. Parmi les activités non agricoles, c’est dans le commerce et la logistique que l’on retrouve le plus de travailleurs à leur compte propre à Cotonou (75,4%) contre 85% dans les autres milieux urbains. Avec 28,2% de salariés, Cotonou est la ville qui enregistre le plus fort taux de salarisation contre 11% pour les autres milieux urbains. La situation de l’emploi dans la ville de Cotonou vient de ce que la plupart des grandes entreprises sont installés dans cette ville en raison de la présence des principales structures administratives et d’un certain nombre d’infrastructures économiques dont le port.</w:t>
      </w:r>
    </w:p>
    <w:p w:rsidR="00401A60" w:rsidRDefault="00401A60" w:rsidP="003D1F53">
      <w:pPr>
        <w:spacing w:line="240" w:lineRule="auto"/>
        <w:rPr>
          <w:rFonts w:ascii="Times New Roman" w:hAnsi="Times New Roman"/>
          <w:sz w:val="24"/>
          <w:szCs w:val="24"/>
        </w:rPr>
      </w:pPr>
      <w:r>
        <w:br w:type="textWrapping" w:clear="all"/>
      </w:r>
      <w:r w:rsidRPr="007C1C1E">
        <w:rPr>
          <w:rFonts w:ascii="Times New Roman" w:hAnsi="Times New Roman"/>
          <w:sz w:val="24"/>
          <w:szCs w:val="24"/>
        </w:rPr>
        <w:t xml:space="preserve">Cependant, lorsqu’on s’intéresse aux activités économiques dans la ville de Cotonou, il ressort que l’agroalimentaire compte </w:t>
      </w:r>
      <w:r>
        <w:rPr>
          <w:rFonts w:ascii="Times New Roman" w:hAnsi="Times New Roman"/>
          <w:sz w:val="24"/>
          <w:szCs w:val="24"/>
        </w:rPr>
        <w:t xml:space="preserve">un </w:t>
      </w:r>
      <w:r w:rsidRPr="007C1C1E">
        <w:rPr>
          <w:rFonts w:ascii="Times New Roman" w:hAnsi="Times New Roman"/>
          <w:sz w:val="24"/>
          <w:szCs w:val="24"/>
        </w:rPr>
        <w:t xml:space="preserve">taux de salarisation </w:t>
      </w:r>
      <w:r>
        <w:rPr>
          <w:rFonts w:ascii="Times New Roman" w:hAnsi="Times New Roman"/>
          <w:sz w:val="24"/>
          <w:szCs w:val="24"/>
        </w:rPr>
        <w:t>de</w:t>
      </w:r>
      <w:r w:rsidR="00172E34">
        <w:rPr>
          <w:rFonts w:ascii="Times New Roman" w:hAnsi="Times New Roman"/>
          <w:sz w:val="24"/>
          <w:szCs w:val="24"/>
        </w:rPr>
        <w:t xml:space="preserve"> </w:t>
      </w:r>
      <w:r w:rsidRPr="007C1C1E">
        <w:rPr>
          <w:rFonts w:ascii="Times New Roman" w:hAnsi="Times New Roman"/>
          <w:sz w:val="24"/>
          <w:szCs w:val="24"/>
        </w:rPr>
        <w:t xml:space="preserve">25% </w:t>
      </w:r>
      <w:r>
        <w:rPr>
          <w:rFonts w:ascii="Times New Roman" w:hAnsi="Times New Roman"/>
          <w:sz w:val="24"/>
          <w:szCs w:val="24"/>
        </w:rPr>
        <w:t>juste derrière le pôle « Autre</w:t>
      </w:r>
      <w:r w:rsidR="009B1846">
        <w:rPr>
          <w:rFonts w:ascii="Times New Roman" w:hAnsi="Times New Roman"/>
          <w:sz w:val="24"/>
          <w:szCs w:val="24"/>
        </w:rPr>
        <w:t>s</w:t>
      </w:r>
      <w:r>
        <w:rPr>
          <w:rFonts w:ascii="Times New Roman" w:hAnsi="Times New Roman"/>
          <w:sz w:val="24"/>
          <w:szCs w:val="24"/>
        </w:rPr>
        <w:t xml:space="preserve"> services » qui enregistre le plus fort pourcentage de salariés avec un taux de salarisation de 79,6%. Il faut préciser que le pôle « autres services » prend en compte toutes les autres activités de services en dehors des services de « Banque et assurance » et de « Transport et télécommunications ».</w:t>
      </w:r>
    </w:p>
    <w:p w:rsidR="00401A60" w:rsidRPr="003D1F53" w:rsidRDefault="00401A60" w:rsidP="003D1F53">
      <w:pPr>
        <w:tabs>
          <w:tab w:val="left" w:pos="3051"/>
        </w:tabs>
        <w:spacing w:line="276" w:lineRule="auto"/>
        <w:rPr>
          <w:rFonts w:ascii="Times New Roman" w:hAnsi="Times New Roman"/>
          <w:sz w:val="24"/>
          <w:szCs w:val="24"/>
        </w:rPr>
      </w:pPr>
    </w:p>
    <w:tbl>
      <w:tblPr>
        <w:tblW w:w="8861" w:type="dxa"/>
        <w:tblInd w:w="93" w:type="dxa"/>
        <w:tblLayout w:type="fixed"/>
        <w:tblLook w:val="04A0" w:firstRow="1" w:lastRow="0" w:firstColumn="1" w:lastColumn="0" w:noHBand="0" w:noVBand="1"/>
      </w:tblPr>
      <w:tblGrid>
        <w:gridCol w:w="2500"/>
        <w:gridCol w:w="920"/>
        <w:gridCol w:w="1194"/>
        <w:gridCol w:w="1355"/>
        <w:gridCol w:w="1417"/>
        <w:gridCol w:w="1475"/>
      </w:tblGrid>
      <w:tr w:rsidR="009B5A09" w:rsidRPr="009B5A09" w:rsidTr="009B5A09">
        <w:trPr>
          <w:trHeight w:val="274"/>
        </w:trPr>
        <w:tc>
          <w:tcPr>
            <w:tcW w:w="8861" w:type="dxa"/>
            <w:gridSpan w:val="6"/>
            <w:tcBorders>
              <w:left w:val="nil"/>
              <w:bottom w:val="double" w:sz="4" w:space="0" w:color="auto"/>
              <w:right w:val="nil"/>
            </w:tcBorders>
            <w:shd w:val="clear" w:color="auto" w:fill="92CDDC" w:themeFill="accent5" w:themeFillTint="99"/>
            <w:noWrap/>
            <w:vAlign w:val="bottom"/>
          </w:tcPr>
          <w:p w:rsidR="009B5A09" w:rsidRPr="009B5A09" w:rsidRDefault="009B5A09" w:rsidP="009B5A09">
            <w:pPr>
              <w:spacing w:line="240" w:lineRule="auto"/>
              <w:jc w:val="left"/>
              <w:rPr>
                <w:rFonts w:ascii="Times New Roman" w:eastAsia="Times New Roman" w:hAnsi="Times New Roman"/>
                <w:b/>
                <w:sz w:val="24"/>
                <w:szCs w:val="24"/>
              </w:rPr>
            </w:pPr>
            <w:bookmarkStart w:id="165" w:name="_Toc369714520"/>
            <w:bookmarkStart w:id="166" w:name="_Toc373430445"/>
            <w:r w:rsidRPr="009B5A09">
              <w:rPr>
                <w:rFonts w:ascii="Times New Roman" w:hAnsi="Times New Roman"/>
                <w:sz w:val="24"/>
                <w:szCs w:val="24"/>
              </w:rPr>
              <w:t xml:space="preserve">Tableau 5. </w:t>
            </w:r>
            <w:r w:rsidR="00182C97" w:rsidRPr="009B5A09">
              <w:rPr>
                <w:rFonts w:ascii="Times New Roman" w:hAnsi="Times New Roman"/>
                <w:sz w:val="24"/>
                <w:szCs w:val="24"/>
              </w:rPr>
              <w:fldChar w:fldCharType="begin"/>
            </w:r>
            <w:r w:rsidRPr="009B5A09">
              <w:rPr>
                <w:rFonts w:ascii="Times New Roman" w:hAnsi="Times New Roman"/>
                <w:sz w:val="24"/>
                <w:szCs w:val="24"/>
              </w:rPr>
              <w:instrText xml:space="preserve"> SEQ Tableau_5. \* ARABIC </w:instrText>
            </w:r>
            <w:r w:rsidR="00182C97" w:rsidRPr="009B5A09">
              <w:rPr>
                <w:rFonts w:ascii="Times New Roman" w:hAnsi="Times New Roman"/>
                <w:sz w:val="24"/>
                <w:szCs w:val="24"/>
              </w:rPr>
              <w:fldChar w:fldCharType="separate"/>
            </w:r>
            <w:r w:rsidR="00AB1967">
              <w:rPr>
                <w:rFonts w:ascii="Times New Roman" w:hAnsi="Times New Roman"/>
                <w:noProof/>
                <w:sz w:val="24"/>
                <w:szCs w:val="24"/>
              </w:rPr>
              <w:t>6</w:t>
            </w:r>
            <w:r w:rsidR="00182C97" w:rsidRPr="009B5A09">
              <w:rPr>
                <w:rFonts w:ascii="Times New Roman" w:hAnsi="Times New Roman"/>
                <w:sz w:val="24"/>
                <w:szCs w:val="24"/>
              </w:rPr>
              <w:fldChar w:fldCharType="end"/>
            </w:r>
            <w:r w:rsidRPr="009B5A09">
              <w:rPr>
                <w:rFonts w:ascii="Times New Roman" w:hAnsi="Times New Roman"/>
                <w:sz w:val="24"/>
                <w:szCs w:val="24"/>
              </w:rPr>
              <w:t>: Répartition des actifs occupés selon le pôle de croissance, le milieu de résidence et la catégorie socioprofessionnelle</w:t>
            </w:r>
            <w:bookmarkEnd w:id="165"/>
            <w:bookmarkEnd w:id="166"/>
          </w:p>
        </w:tc>
      </w:tr>
      <w:tr w:rsidR="003D1F53" w:rsidRPr="00933FBA" w:rsidTr="009B5A09">
        <w:trPr>
          <w:trHeight w:val="274"/>
        </w:trPr>
        <w:tc>
          <w:tcPr>
            <w:tcW w:w="8861" w:type="dxa"/>
            <w:gridSpan w:val="6"/>
            <w:tcBorders>
              <w:top w:val="double" w:sz="4" w:space="0" w:color="auto"/>
              <w:left w:val="nil"/>
              <w:bottom w:val="single" w:sz="4" w:space="0" w:color="auto"/>
              <w:right w:val="nil"/>
            </w:tcBorders>
            <w:shd w:val="clear" w:color="auto" w:fill="DAEEF3" w:themeFill="accent5" w:themeFillTint="33"/>
            <w:noWrap/>
            <w:vAlign w:val="bottom"/>
          </w:tcPr>
          <w:p w:rsidR="003D1F53" w:rsidRPr="00933FBA" w:rsidRDefault="003D1F53" w:rsidP="00A7608B">
            <w:pPr>
              <w:spacing w:line="240" w:lineRule="auto"/>
              <w:jc w:val="center"/>
              <w:rPr>
                <w:rFonts w:ascii="Times New Roman" w:eastAsia="Times New Roman" w:hAnsi="Times New Roman"/>
              </w:rPr>
            </w:pPr>
            <w:r w:rsidRPr="00933FBA">
              <w:rPr>
                <w:rFonts w:ascii="Times New Roman" w:eastAsia="Times New Roman" w:hAnsi="Times New Roman"/>
                <w:b/>
              </w:rPr>
              <w:t>R</w:t>
            </w:r>
            <w:r w:rsidR="00686925" w:rsidRPr="00933FBA">
              <w:rPr>
                <w:rFonts w:ascii="Times New Roman" w:eastAsia="Times New Roman" w:hAnsi="Times New Roman"/>
                <w:b/>
              </w:rPr>
              <w:t>ural</w:t>
            </w:r>
          </w:p>
        </w:tc>
      </w:tr>
      <w:tr w:rsidR="003D1F53" w:rsidRPr="00933FBA" w:rsidTr="003D1F53">
        <w:trPr>
          <w:trHeight w:val="696"/>
        </w:trPr>
        <w:tc>
          <w:tcPr>
            <w:tcW w:w="2500" w:type="dxa"/>
            <w:tcBorders>
              <w:top w:val="single" w:sz="4" w:space="0" w:color="auto"/>
              <w:left w:val="nil"/>
              <w:bottom w:val="single" w:sz="4" w:space="0" w:color="auto"/>
              <w:right w:val="nil"/>
            </w:tcBorders>
            <w:shd w:val="clear" w:color="auto" w:fill="DAEEF3" w:themeFill="accent5" w:themeFillTint="33"/>
            <w:noWrap/>
            <w:vAlign w:val="bottom"/>
            <w:hideMark/>
          </w:tcPr>
          <w:p w:rsidR="003D1F53" w:rsidRPr="00933FBA" w:rsidRDefault="003D1F53" w:rsidP="00A7608B">
            <w:pPr>
              <w:spacing w:line="240" w:lineRule="auto"/>
              <w:rPr>
                <w:rFonts w:ascii="Times New Roman" w:eastAsia="Times New Roman" w:hAnsi="Times New Roman"/>
              </w:rPr>
            </w:pPr>
            <w:r w:rsidRPr="00933FBA">
              <w:rPr>
                <w:rFonts w:ascii="Times New Roman" w:eastAsia="Times New Roman" w:hAnsi="Times New Roman"/>
              </w:rPr>
              <w:t> </w:t>
            </w:r>
          </w:p>
        </w:tc>
        <w:tc>
          <w:tcPr>
            <w:tcW w:w="920" w:type="dxa"/>
            <w:tcBorders>
              <w:top w:val="single" w:sz="4" w:space="0" w:color="auto"/>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Salariés</w:t>
            </w:r>
          </w:p>
        </w:tc>
        <w:tc>
          <w:tcPr>
            <w:tcW w:w="1194" w:type="dxa"/>
            <w:tcBorders>
              <w:top w:val="single" w:sz="4" w:space="0" w:color="auto"/>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Employeur</w:t>
            </w:r>
          </w:p>
        </w:tc>
        <w:tc>
          <w:tcPr>
            <w:tcW w:w="1355" w:type="dxa"/>
            <w:tcBorders>
              <w:top w:val="single" w:sz="4" w:space="0" w:color="auto"/>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Travailleur à son propre compte</w:t>
            </w:r>
          </w:p>
        </w:tc>
        <w:tc>
          <w:tcPr>
            <w:tcW w:w="1417" w:type="dxa"/>
            <w:tcBorders>
              <w:top w:val="single" w:sz="4" w:space="0" w:color="auto"/>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Apprenti/Aide familial</w:t>
            </w:r>
          </w:p>
        </w:tc>
        <w:tc>
          <w:tcPr>
            <w:tcW w:w="1475" w:type="dxa"/>
            <w:tcBorders>
              <w:top w:val="single" w:sz="4" w:space="0" w:color="auto"/>
              <w:left w:val="nil"/>
              <w:bottom w:val="single" w:sz="4" w:space="0" w:color="auto"/>
              <w:right w:val="nil"/>
            </w:tcBorders>
            <w:shd w:val="clear" w:color="auto" w:fill="DAEEF3" w:themeFill="accent5" w:themeFillTint="33"/>
            <w:vAlign w:val="bottom"/>
            <w:hideMark/>
          </w:tcPr>
          <w:p w:rsidR="003D1F53" w:rsidRPr="00933FBA" w:rsidRDefault="003D1F53" w:rsidP="00A7608B">
            <w:pPr>
              <w:spacing w:line="240" w:lineRule="auto"/>
              <w:rPr>
                <w:rFonts w:ascii="Times New Roman" w:eastAsia="Times New Roman" w:hAnsi="Times New Roman"/>
              </w:rPr>
            </w:pPr>
            <w:r w:rsidRPr="00933FBA">
              <w:rPr>
                <w:rFonts w:ascii="Times New Roman" w:eastAsia="Times New Roman" w:hAnsi="Times New Roman"/>
              </w:rPr>
              <w:t>Total</w:t>
            </w:r>
          </w:p>
        </w:tc>
      </w:tr>
      <w:tr w:rsidR="003D1F53" w:rsidRPr="00933FBA" w:rsidTr="003D1F53">
        <w:trPr>
          <w:trHeight w:val="264"/>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Agriculture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1,1</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0,2</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70,9</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27,7</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987 165   </w:t>
            </w:r>
          </w:p>
        </w:tc>
      </w:tr>
      <w:tr w:rsidR="003D1F53" w:rsidRPr="00933FBA" w:rsidTr="003D1F53">
        <w:trPr>
          <w:trHeight w:val="264"/>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Coton-Textile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1,1</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0,9</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61,4</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36,7</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3D1F53">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60 463   </w:t>
            </w:r>
          </w:p>
        </w:tc>
      </w:tr>
      <w:tr w:rsidR="003D1F53" w:rsidRPr="00933FBA" w:rsidTr="003D1F53">
        <w:trPr>
          <w:trHeight w:val="228"/>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Commerce-logistique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2,7</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0,4</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91,5</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5,4</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322 166   </w:t>
            </w:r>
          </w:p>
        </w:tc>
      </w:tr>
      <w:tr w:rsidR="003D1F53" w:rsidRPr="00933FBA" w:rsidTr="003D1F53">
        <w:trPr>
          <w:trHeight w:val="276"/>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Agroalimentaire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2,5</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0,5</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94,2</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2,8</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3D1F53">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35 863   </w:t>
            </w:r>
          </w:p>
        </w:tc>
      </w:tr>
      <w:tr w:rsidR="003D1F53" w:rsidRPr="00933FBA" w:rsidTr="003D1F53">
        <w:trPr>
          <w:trHeight w:val="480"/>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BTP - matériaux de construction</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4,1</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6,1</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66,4</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23,4</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27 492   </w:t>
            </w:r>
          </w:p>
        </w:tc>
      </w:tr>
      <w:tr w:rsidR="003D1F53" w:rsidRPr="00933FBA" w:rsidTr="003D1F53">
        <w:trPr>
          <w:trHeight w:val="228"/>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Culture et tourisme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3,0</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0,3</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83,8</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12,8</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89 368   </w:t>
            </w:r>
          </w:p>
        </w:tc>
      </w:tr>
      <w:tr w:rsidR="003D1F53" w:rsidRPr="00933FBA" w:rsidTr="003D1F53">
        <w:trPr>
          <w:trHeight w:val="492"/>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Autres activités industrielles et artisanales</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3,0</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3,0</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80,6</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13,4</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25 332   </w:t>
            </w:r>
          </w:p>
        </w:tc>
      </w:tr>
      <w:tr w:rsidR="003D1F53" w:rsidRPr="00933FBA" w:rsidTr="003D1F53">
        <w:trPr>
          <w:trHeight w:val="276"/>
        </w:trPr>
        <w:tc>
          <w:tcPr>
            <w:tcW w:w="2500" w:type="dxa"/>
            <w:tcBorders>
              <w:top w:val="nil"/>
              <w:left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Autres services</w:t>
            </w:r>
          </w:p>
        </w:tc>
        <w:tc>
          <w:tcPr>
            <w:tcW w:w="920"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42,0</w:t>
            </w:r>
          </w:p>
        </w:tc>
        <w:tc>
          <w:tcPr>
            <w:tcW w:w="1194"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0,5</w:t>
            </w:r>
          </w:p>
        </w:tc>
        <w:tc>
          <w:tcPr>
            <w:tcW w:w="1355"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46,6</w:t>
            </w:r>
          </w:p>
        </w:tc>
        <w:tc>
          <w:tcPr>
            <w:tcW w:w="1417"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10,9</w:t>
            </w:r>
          </w:p>
        </w:tc>
        <w:tc>
          <w:tcPr>
            <w:tcW w:w="1475" w:type="dxa"/>
            <w:tcBorders>
              <w:top w:val="nil"/>
              <w:left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55 119   </w:t>
            </w:r>
          </w:p>
        </w:tc>
      </w:tr>
      <w:tr w:rsidR="003D1F53" w:rsidRPr="00933FBA" w:rsidTr="003D1F53">
        <w:trPr>
          <w:trHeight w:val="74"/>
        </w:trPr>
        <w:tc>
          <w:tcPr>
            <w:tcW w:w="2500" w:type="dxa"/>
            <w:tcBorders>
              <w:top w:val="nil"/>
              <w:left w:val="nil"/>
              <w:bottom w:val="double" w:sz="4" w:space="0" w:color="auto"/>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Pr>
                <w:rFonts w:ascii="Times New Roman" w:eastAsia="Times New Roman" w:hAnsi="Times New Roman"/>
                <w:color w:val="000000"/>
              </w:rPr>
              <w:t>Ensemble</w:t>
            </w:r>
          </w:p>
        </w:tc>
        <w:tc>
          <w:tcPr>
            <w:tcW w:w="920"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3,1</w:t>
            </w:r>
          </w:p>
        </w:tc>
        <w:tc>
          <w:tcPr>
            <w:tcW w:w="1194"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0,4</w:t>
            </w:r>
          </w:p>
        </w:tc>
        <w:tc>
          <w:tcPr>
            <w:tcW w:w="1355"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75,2</w:t>
            </w:r>
          </w:p>
        </w:tc>
        <w:tc>
          <w:tcPr>
            <w:tcW w:w="1417"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21,3</w:t>
            </w:r>
          </w:p>
        </w:tc>
        <w:tc>
          <w:tcPr>
            <w:tcW w:w="1475" w:type="dxa"/>
            <w:tcBorders>
              <w:top w:val="nil"/>
              <w:left w:val="nil"/>
              <w:bottom w:val="double" w:sz="4" w:space="0" w:color="auto"/>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1 602 969   </w:t>
            </w:r>
          </w:p>
        </w:tc>
      </w:tr>
      <w:tr w:rsidR="003D1F53" w:rsidRPr="00933FBA" w:rsidTr="003D1F53">
        <w:trPr>
          <w:trHeight w:val="264"/>
        </w:trPr>
        <w:tc>
          <w:tcPr>
            <w:tcW w:w="8861" w:type="dxa"/>
            <w:gridSpan w:val="6"/>
            <w:tcBorders>
              <w:top w:val="double" w:sz="4" w:space="0" w:color="auto"/>
              <w:left w:val="nil"/>
              <w:bottom w:val="single" w:sz="4" w:space="0" w:color="auto"/>
              <w:right w:val="nil"/>
            </w:tcBorders>
            <w:shd w:val="clear" w:color="auto" w:fill="DAEEF3" w:themeFill="accent5" w:themeFillTint="33"/>
            <w:noWrap/>
            <w:vAlign w:val="bottom"/>
            <w:hideMark/>
          </w:tcPr>
          <w:p w:rsidR="003D1F53" w:rsidRPr="00933FBA" w:rsidRDefault="003D1F53" w:rsidP="00A7608B">
            <w:pPr>
              <w:spacing w:line="240" w:lineRule="auto"/>
              <w:jc w:val="center"/>
              <w:rPr>
                <w:rFonts w:ascii="Times New Roman" w:eastAsia="Times New Roman" w:hAnsi="Times New Roman"/>
                <w:b/>
                <w:bCs/>
              </w:rPr>
            </w:pPr>
            <w:r w:rsidRPr="00933FBA">
              <w:rPr>
                <w:rFonts w:ascii="Times New Roman" w:eastAsia="Times New Roman" w:hAnsi="Times New Roman"/>
                <w:b/>
                <w:bCs/>
              </w:rPr>
              <w:t>E</w:t>
            </w:r>
            <w:r w:rsidR="00686925">
              <w:rPr>
                <w:rFonts w:ascii="Times New Roman" w:eastAsia="Times New Roman" w:hAnsi="Times New Roman"/>
                <w:b/>
                <w:bCs/>
              </w:rPr>
              <w:t>nsemble Bé</w:t>
            </w:r>
            <w:r w:rsidR="00686925" w:rsidRPr="00933FBA">
              <w:rPr>
                <w:rFonts w:ascii="Times New Roman" w:eastAsia="Times New Roman" w:hAnsi="Times New Roman"/>
                <w:b/>
                <w:bCs/>
              </w:rPr>
              <w:t>nin</w:t>
            </w:r>
          </w:p>
        </w:tc>
      </w:tr>
      <w:tr w:rsidR="003D1F53" w:rsidRPr="00933FBA" w:rsidTr="003D1F53">
        <w:trPr>
          <w:trHeight w:val="696"/>
        </w:trPr>
        <w:tc>
          <w:tcPr>
            <w:tcW w:w="2500" w:type="dxa"/>
            <w:tcBorders>
              <w:top w:val="nil"/>
              <w:left w:val="nil"/>
              <w:bottom w:val="single" w:sz="4" w:space="0" w:color="auto"/>
              <w:right w:val="nil"/>
            </w:tcBorders>
            <w:shd w:val="clear" w:color="auto" w:fill="DAEEF3" w:themeFill="accent5" w:themeFillTint="33"/>
            <w:noWrap/>
            <w:vAlign w:val="bottom"/>
            <w:hideMark/>
          </w:tcPr>
          <w:p w:rsidR="003D1F53" w:rsidRPr="00933FBA" w:rsidRDefault="003D1F53" w:rsidP="00A7608B">
            <w:pPr>
              <w:spacing w:line="240" w:lineRule="auto"/>
              <w:rPr>
                <w:rFonts w:ascii="Times New Roman" w:eastAsia="Times New Roman" w:hAnsi="Times New Roman"/>
              </w:rPr>
            </w:pPr>
            <w:r w:rsidRPr="00933FBA">
              <w:rPr>
                <w:rFonts w:ascii="Times New Roman" w:eastAsia="Times New Roman" w:hAnsi="Times New Roman"/>
              </w:rPr>
              <w:t> </w:t>
            </w:r>
          </w:p>
        </w:tc>
        <w:tc>
          <w:tcPr>
            <w:tcW w:w="920" w:type="dxa"/>
            <w:tcBorders>
              <w:top w:val="nil"/>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Salariés</w:t>
            </w:r>
          </w:p>
        </w:tc>
        <w:tc>
          <w:tcPr>
            <w:tcW w:w="1194" w:type="dxa"/>
            <w:tcBorders>
              <w:top w:val="nil"/>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Employeur</w:t>
            </w:r>
          </w:p>
        </w:tc>
        <w:tc>
          <w:tcPr>
            <w:tcW w:w="1355" w:type="dxa"/>
            <w:tcBorders>
              <w:top w:val="nil"/>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Travailleur à son propre compte</w:t>
            </w:r>
          </w:p>
        </w:tc>
        <w:tc>
          <w:tcPr>
            <w:tcW w:w="1417" w:type="dxa"/>
            <w:tcBorders>
              <w:top w:val="nil"/>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Apprenti/Aide familial</w:t>
            </w:r>
          </w:p>
        </w:tc>
        <w:tc>
          <w:tcPr>
            <w:tcW w:w="1475" w:type="dxa"/>
            <w:tcBorders>
              <w:top w:val="nil"/>
              <w:left w:val="nil"/>
              <w:bottom w:val="single" w:sz="4" w:space="0" w:color="auto"/>
              <w:right w:val="nil"/>
            </w:tcBorders>
            <w:shd w:val="clear" w:color="auto" w:fill="DAEEF3" w:themeFill="accent5" w:themeFillTint="33"/>
            <w:vAlign w:val="bottom"/>
            <w:hideMark/>
          </w:tcPr>
          <w:p w:rsidR="003D1F53" w:rsidRPr="00933FBA" w:rsidRDefault="003D1F53" w:rsidP="003D1F53">
            <w:pPr>
              <w:spacing w:line="240" w:lineRule="auto"/>
              <w:jc w:val="left"/>
              <w:rPr>
                <w:rFonts w:ascii="Times New Roman" w:eastAsia="Times New Roman" w:hAnsi="Times New Roman"/>
              </w:rPr>
            </w:pPr>
            <w:r w:rsidRPr="00933FBA">
              <w:rPr>
                <w:rFonts w:ascii="Times New Roman" w:eastAsia="Times New Roman" w:hAnsi="Times New Roman"/>
              </w:rPr>
              <w:t>Total</w:t>
            </w:r>
          </w:p>
        </w:tc>
      </w:tr>
      <w:tr w:rsidR="003D1F53" w:rsidRPr="00933FBA" w:rsidTr="003D1F53">
        <w:trPr>
          <w:trHeight w:val="264"/>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Agriculture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1,3</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0,3</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70,3</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28,2</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1 232 248   </w:t>
            </w:r>
          </w:p>
        </w:tc>
      </w:tr>
      <w:tr w:rsidR="003D1F53" w:rsidRPr="00933FBA" w:rsidTr="003D1F53">
        <w:trPr>
          <w:trHeight w:val="264"/>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Coton-Textile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1,6</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2,7</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66,2</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29,5</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126 906   </w:t>
            </w:r>
          </w:p>
        </w:tc>
      </w:tr>
      <w:tr w:rsidR="003D1F53" w:rsidRPr="00933FBA" w:rsidTr="003D1F53">
        <w:trPr>
          <w:trHeight w:val="312"/>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Commerce-logistique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7,2</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1,1</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85,7</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6,0</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768 513   </w:t>
            </w:r>
          </w:p>
        </w:tc>
      </w:tr>
      <w:tr w:rsidR="003D1F53" w:rsidRPr="00933FBA" w:rsidTr="003D1F53">
        <w:trPr>
          <w:trHeight w:val="264"/>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Agroalimentaire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6,8</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1,5</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88,7</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3,0</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49 006   </w:t>
            </w:r>
          </w:p>
        </w:tc>
      </w:tr>
      <w:tr w:rsidR="003D1F53" w:rsidRPr="00933FBA" w:rsidTr="003D1F53">
        <w:trPr>
          <w:trHeight w:val="480"/>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BTP - matériaux de construction</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10,8</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8,8</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61,5</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18,9</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78 609   </w:t>
            </w:r>
          </w:p>
        </w:tc>
      </w:tr>
      <w:tr w:rsidR="003D1F53" w:rsidRPr="00933FBA" w:rsidTr="003D1F53">
        <w:trPr>
          <w:trHeight w:val="276"/>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Culture et tourisme</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7,0</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2,2</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77,0</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13,8</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215 529   </w:t>
            </w:r>
          </w:p>
        </w:tc>
      </w:tr>
      <w:tr w:rsidR="003D1F53" w:rsidRPr="00933FBA" w:rsidTr="003D1F53">
        <w:trPr>
          <w:trHeight w:val="504"/>
        </w:trPr>
        <w:tc>
          <w:tcPr>
            <w:tcW w:w="2500" w:type="dxa"/>
            <w:tcBorders>
              <w:top w:val="nil"/>
              <w:left w:val="nil"/>
              <w:bottom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Autres activités industrielles et artisanales</w:t>
            </w:r>
          </w:p>
        </w:tc>
        <w:tc>
          <w:tcPr>
            <w:tcW w:w="920"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6,7</w:t>
            </w:r>
          </w:p>
        </w:tc>
        <w:tc>
          <w:tcPr>
            <w:tcW w:w="1194"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5,2</w:t>
            </w:r>
          </w:p>
        </w:tc>
        <w:tc>
          <w:tcPr>
            <w:tcW w:w="1355"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76,0</w:t>
            </w:r>
          </w:p>
        </w:tc>
        <w:tc>
          <w:tcPr>
            <w:tcW w:w="1417" w:type="dxa"/>
            <w:tcBorders>
              <w:top w:val="nil"/>
              <w:left w:val="nil"/>
              <w:bottom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12,1</w:t>
            </w:r>
          </w:p>
        </w:tc>
        <w:tc>
          <w:tcPr>
            <w:tcW w:w="1475" w:type="dxa"/>
            <w:tcBorders>
              <w:top w:val="nil"/>
              <w:left w:val="nil"/>
              <w:bottom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74 305   </w:t>
            </w:r>
          </w:p>
        </w:tc>
      </w:tr>
      <w:tr w:rsidR="003D1F53" w:rsidRPr="00933FBA" w:rsidTr="003D1F53">
        <w:trPr>
          <w:trHeight w:val="324"/>
        </w:trPr>
        <w:tc>
          <w:tcPr>
            <w:tcW w:w="2500" w:type="dxa"/>
            <w:tcBorders>
              <w:top w:val="nil"/>
              <w:left w:val="nil"/>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sidRPr="00933FBA">
              <w:rPr>
                <w:rFonts w:ascii="Times New Roman" w:eastAsia="Times New Roman" w:hAnsi="Times New Roman"/>
                <w:color w:val="000000"/>
              </w:rPr>
              <w:t>Autres services</w:t>
            </w:r>
          </w:p>
        </w:tc>
        <w:tc>
          <w:tcPr>
            <w:tcW w:w="920"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63,4</w:t>
            </w:r>
          </w:p>
        </w:tc>
        <w:tc>
          <w:tcPr>
            <w:tcW w:w="1194"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0,9</w:t>
            </w:r>
          </w:p>
        </w:tc>
        <w:tc>
          <w:tcPr>
            <w:tcW w:w="1355"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27,1</w:t>
            </w:r>
          </w:p>
        </w:tc>
        <w:tc>
          <w:tcPr>
            <w:tcW w:w="1417" w:type="dxa"/>
            <w:tcBorders>
              <w:top w:val="nil"/>
              <w:left w:val="nil"/>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8,6</w:t>
            </w:r>
          </w:p>
        </w:tc>
        <w:tc>
          <w:tcPr>
            <w:tcW w:w="1475" w:type="dxa"/>
            <w:tcBorders>
              <w:top w:val="nil"/>
              <w:left w:val="nil"/>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209 536   </w:t>
            </w:r>
          </w:p>
        </w:tc>
      </w:tr>
      <w:tr w:rsidR="003D1F53" w:rsidRPr="00933FBA" w:rsidTr="003D1F53">
        <w:trPr>
          <w:trHeight w:val="264"/>
        </w:trPr>
        <w:tc>
          <w:tcPr>
            <w:tcW w:w="2500" w:type="dxa"/>
            <w:tcBorders>
              <w:top w:val="nil"/>
              <w:left w:val="nil"/>
              <w:bottom w:val="double" w:sz="4" w:space="0" w:color="auto"/>
              <w:right w:val="nil"/>
            </w:tcBorders>
            <w:shd w:val="clear" w:color="auto" w:fill="DAEEF3" w:themeFill="accent5" w:themeFillTint="33"/>
            <w:vAlign w:val="center"/>
            <w:hideMark/>
          </w:tcPr>
          <w:p w:rsidR="003D1F53" w:rsidRPr="00933FBA" w:rsidRDefault="003D1F53" w:rsidP="003D1F53">
            <w:pPr>
              <w:spacing w:line="240" w:lineRule="auto"/>
              <w:jc w:val="left"/>
              <w:rPr>
                <w:rFonts w:ascii="Times New Roman" w:eastAsia="Times New Roman" w:hAnsi="Times New Roman"/>
                <w:color w:val="000000"/>
              </w:rPr>
            </w:pPr>
            <w:r>
              <w:rPr>
                <w:rFonts w:ascii="Times New Roman" w:eastAsia="Times New Roman" w:hAnsi="Times New Roman"/>
                <w:color w:val="000000"/>
              </w:rPr>
              <w:t>Ensemble</w:t>
            </w:r>
          </w:p>
        </w:tc>
        <w:tc>
          <w:tcPr>
            <w:tcW w:w="920"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8,6</w:t>
            </w:r>
          </w:p>
        </w:tc>
        <w:tc>
          <w:tcPr>
            <w:tcW w:w="1194"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1,2</w:t>
            </w:r>
          </w:p>
        </w:tc>
        <w:tc>
          <w:tcPr>
            <w:tcW w:w="1355"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71,9</w:t>
            </w:r>
          </w:p>
        </w:tc>
        <w:tc>
          <w:tcPr>
            <w:tcW w:w="1417" w:type="dxa"/>
            <w:tcBorders>
              <w:top w:val="nil"/>
              <w:left w:val="nil"/>
              <w:bottom w:val="double" w:sz="4" w:space="0" w:color="auto"/>
              <w:right w:val="nil"/>
            </w:tcBorders>
            <w:shd w:val="clear" w:color="auto" w:fill="DAEEF3" w:themeFill="accent5" w:themeFillTint="33"/>
            <w:noWrap/>
            <w:hideMark/>
          </w:tcPr>
          <w:p w:rsidR="003D1F53" w:rsidRPr="00933FBA" w:rsidRDefault="003D1F53" w:rsidP="00A7608B">
            <w:pPr>
              <w:spacing w:line="240" w:lineRule="auto"/>
              <w:rPr>
                <w:rFonts w:ascii="Times New Roman" w:eastAsia="Times New Roman" w:hAnsi="Times New Roman"/>
                <w:color w:val="000000"/>
              </w:rPr>
            </w:pPr>
            <w:r w:rsidRPr="00933FBA">
              <w:rPr>
                <w:rFonts w:ascii="Times New Roman" w:eastAsia="Times New Roman" w:hAnsi="Times New Roman"/>
                <w:color w:val="000000"/>
              </w:rPr>
              <w:t>18,3</w:t>
            </w:r>
          </w:p>
        </w:tc>
        <w:tc>
          <w:tcPr>
            <w:tcW w:w="1475" w:type="dxa"/>
            <w:tcBorders>
              <w:top w:val="nil"/>
              <w:left w:val="nil"/>
              <w:bottom w:val="double" w:sz="4" w:space="0" w:color="auto"/>
              <w:right w:val="nil"/>
            </w:tcBorders>
            <w:shd w:val="clear" w:color="auto" w:fill="DAEEF3" w:themeFill="accent5" w:themeFillTint="33"/>
            <w:noWrap/>
            <w:vAlign w:val="center"/>
            <w:hideMark/>
          </w:tcPr>
          <w:p w:rsidR="003D1F53" w:rsidRPr="00933FBA" w:rsidRDefault="003D1F53" w:rsidP="00A7608B">
            <w:pPr>
              <w:spacing w:line="240" w:lineRule="auto"/>
              <w:jc w:val="right"/>
              <w:rPr>
                <w:rFonts w:ascii="Times New Roman" w:eastAsia="Times New Roman" w:hAnsi="Times New Roman"/>
                <w:color w:val="000000"/>
              </w:rPr>
            </w:pPr>
            <w:r w:rsidRPr="00933FBA">
              <w:rPr>
                <w:rFonts w:ascii="Times New Roman" w:eastAsia="Times New Roman" w:hAnsi="Times New Roman"/>
                <w:color w:val="000000"/>
              </w:rPr>
              <w:t xml:space="preserve">      2 754 652   </w:t>
            </w:r>
          </w:p>
        </w:tc>
      </w:tr>
      <w:tr w:rsidR="003D1F53" w:rsidRPr="00933FBA" w:rsidTr="003D1F53">
        <w:trPr>
          <w:trHeight w:val="264"/>
        </w:trPr>
        <w:tc>
          <w:tcPr>
            <w:tcW w:w="8861" w:type="dxa"/>
            <w:gridSpan w:val="6"/>
            <w:tcBorders>
              <w:top w:val="nil"/>
              <w:left w:val="nil"/>
              <w:bottom w:val="nil"/>
              <w:right w:val="nil"/>
            </w:tcBorders>
            <w:shd w:val="clear" w:color="auto" w:fill="DAEEF3" w:themeFill="accent5" w:themeFillTint="33"/>
            <w:hideMark/>
          </w:tcPr>
          <w:p w:rsidR="003D1F53" w:rsidRPr="004A3FA5" w:rsidRDefault="003D1F53" w:rsidP="00A7608B">
            <w:pPr>
              <w:spacing w:line="240" w:lineRule="auto"/>
              <w:rPr>
                <w:rFonts w:ascii="Times New Roman" w:hAnsi="Times New Roman"/>
                <w:sz w:val="24"/>
                <w:szCs w:val="24"/>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3D1F53" w:rsidRPr="00933FBA" w:rsidRDefault="003D1F53" w:rsidP="003D1F53">
      <w:pPr>
        <w:spacing w:line="240" w:lineRule="auto"/>
        <w:rPr>
          <w:rFonts w:ascii="Times New Roman" w:eastAsia="Times New Roman" w:hAnsi="Times New Roman"/>
          <w:color w:val="000000"/>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Le actifs occupés du milieu rural sont composés essentiellement de travailleurs à leur propre compte (75,2%) et des apprentis/aides familiaux (21,3%). Le milieu rural se distingue par son faible taux de salarisation (3,1%).</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L’analyse selon les pôles de croissance montre que comparativement au milieu urbain, le milieu rural enregistre les plus fortes proportions de travailleurs à leur compte propre dans le commerce/logistique et dans l’agroalimentaire avec respectivement 91,5% et 94,2%. Ce sont pour la plupart des individus pratiquant le petit commerce, la vente de divers, la restauration et la transformation artisanale de produits alimentaires à des fins de subsistance.</w:t>
      </w:r>
    </w:p>
    <w:p w:rsidR="00401A60" w:rsidRDefault="00401A60" w:rsidP="00401A60">
      <w:pPr>
        <w:spacing w:line="240" w:lineRule="auto"/>
        <w:rPr>
          <w:rFonts w:ascii="Times New Roman" w:hAnsi="Times New Roman"/>
          <w:b/>
          <w:sz w:val="24"/>
          <w:szCs w:val="24"/>
        </w:rPr>
      </w:pPr>
    </w:p>
    <w:p w:rsidR="00401A60" w:rsidRPr="009240AE" w:rsidRDefault="009E3D3A" w:rsidP="009240AE">
      <w:pPr>
        <w:pStyle w:val="Titre2"/>
        <w:spacing w:before="120" w:after="0" w:line="240" w:lineRule="auto"/>
        <w:rPr>
          <w:rFonts w:ascii="Times New Roman" w:hAnsi="Times New Roman" w:cs="Times New Roman"/>
          <w:i w:val="0"/>
          <w:color w:val="31849B" w:themeColor="accent5" w:themeShade="BF"/>
        </w:rPr>
      </w:pPr>
      <w:bookmarkStart w:id="167" w:name="_Toc382322947"/>
      <w:r w:rsidRPr="009240AE">
        <w:rPr>
          <w:rFonts w:ascii="Times New Roman" w:hAnsi="Times New Roman" w:cs="Times New Roman"/>
          <w:i w:val="0"/>
          <w:color w:val="31849B" w:themeColor="accent5" w:themeShade="BF"/>
        </w:rPr>
        <w:t>5</w:t>
      </w:r>
      <w:r w:rsidR="00401A60" w:rsidRPr="009240AE">
        <w:rPr>
          <w:rFonts w:ascii="Times New Roman" w:hAnsi="Times New Roman" w:cs="Times New Roman"/>
          <w:i w:val="0"/>
          <w:color w:val="31849B" w:themeColor="accent5" w:themeShade="BF"/>
        </w:rPr>
        <w:t>.3</w:t>
      </w:r>
      <w:r w:rsidR="00172E34">
        <w:rPr>
          <w:rFonts w:ascii="Times New Roman" w:hAnsi="Times New Roman" w:cs="Times New Roman"/>
          <w:i w:val="0"/>
          <w:color w:val="31849B" w:themeColor="accent5" w:themeShade="BF"/>
        </w:rPr>
        <w:t xml:space="preserve"> </w:t>
      </w:r>
      <w:r w:rsidR="00F305E5">
        <w:rPr>
          <w:rFonts w:ascii="Times New Roman" w:hAnsi="Times New Roman" w:cs="Times New Roman"/>
          <w:i w:val="0"/>
          <w:color w:val="31849B" w:themeColor="accent5" w:themeShade="BF"/>
        </w:rPr>
        <w:t>P</w:t>
      </w:r>
      <w:r w:rsidR="00401A60" w:rsidRPr="009240AE">
        <w:rPr>
          <w:rFonts w:ascii="Times New Roman" w:hAnsi="Times New Roman" w:cs="Times New Roman"/>
          <w:i w:val="0"/>
          <w:color w:val="31849B" w:themeColor="accent5" w:themeShade="BF"/>
        </w:rPr>
        <w:t>rimauté du secteur informel dans l’économie béninoise</w:t>
      </w:r>
      <w:bookmarkEnd w:id="167"/>
    </w:p>
    <w:p w:rsidR="009240AE" w:rsidRDefault="009240AE" w:rsidP="00401A60">
      <w:pPr>
        <w:spacing w:line="240" w:lineRule="auto"/>
        <w:rPr>
          <w:rFonts w:ascii="Times New Roman" w:hAnsi="Times New Roman"/>
          <w:sz w:val="24"/>
          <w:szCs w:val="24"/>
        </w:rPr>
      </w:pPr>
    </w:p>
    <w:p w:rsidR="00401A60" w:rsidRDefault="00401A60" w:rsidP="00401A60">
      <w:pPr>
        <w:spacing w:line="240" w:lineRule="auto"/>
        <w:rPr>
          <w:rFonts w:ascii="Times New Roman" w:hAnsi="Times New Roman"/>
          <w:sz w:val="24"/>
          <w:szCs w:val="24"/>
        </w:rPr>
      </w:pPr>
      <w:r>
        <w:rPr>
          <w:rFonts w:ascii="Times New Roman" w:hAnsi="Times New Roman"/>
          <w:sz w:val="24"/>
          <w:szCs w:val="24"/>
        </w:rPr>
        <w:t xml:space="preserve">Le tableau </w:t>
      </w:r>
      <w:r w:rsidR="0037584F">
        <w:rPr>
          <w:rFonts w:ascii="Times New Roman" w:hAnsi="Times New Roman"/>
          <w:sz w:val="24"/>
          <w:szCs w:val="24"/>
        </w:rPr>
        <w:t>5</w:t>
      </w:r>
      <w:r>
        <w:rPr>
          <w:rFonts w:ascii="Times New Roman" w:hAnsi="Times New Roman"/>
          <w:sz w:val="24"/>
          <w:szCs w:val="24"/>
        </w:rPr>
        <w:t>.</w:t>
      </w:r>
      <w:r w:rsidR="0037584F">
        <w:rPr>
          <w:rFonts w:ascii="Times New Roman" w:hAnsi="Times New Roman"/>
          <w:sz w:val="24"/>
          <w:szCs w:val="24"/>
        </w:rPr>
        <w:t>7</w:t>
      </w:r>
      <w:r>
        <w:rPr>
          <w:rFonts w:ascii="Times New Roman" w:hAnsi="Times New Roman"/>
          <w:sz w:val="24"/>
          <w:szCs w:val="24"/>
        </w:rPr>
        <w:t xml:space="preserve"> montre qu’au niveau national,</w:t>
      </w:r>
      <w:r w:rsidR="00172E34">
        <w:rPr>
          <w:rFonts w:ascii="Times New Roman" w:hAnsi="Times New Roman"/>
          <w:sz w:val="24"/>
          <w:szCs w:val="24"/>
        </w:rPr>
        <w:t xml:space="preserve"> </w:t>
      </w:r>
      <w:r>
        <w:rPr>
          <w:rFonts w:ascii="Times New Roman" w:hAnsi="Times New Roman"/>
          <w:sz w:val="24"/>
          <w:szCs w:val="24"/>
        </w:rPr>
        <w:t xml:space="preserve">le secteur informel emploie environ 93% des actifs occupés. Le secteur public et le secteur privé formel se partagent la portion congrue avec respectivement 3,9% et 3,2%. </w:t>
      </w:r>
    </w:p>
    <w:p w:rsidR="00401A60" w:rsidRPr="00472470" w:rsidRDefault="00401A60" w:rsidP="00401A60">
      <w:pPr>
        <w:spacing w:line="240" w:lineRule="auto"/>
        <w:rPr>
          <w:rFonts w:ascii="Times New Roman" w:hAnsi="Times New Roman"/>
          <w:sz w:val="12"/>
          <w:szCs w:val="12"/>
        </w:rPr>
      </w:pPr>
    </w:p>
    <w:p w:rsidR="00401A60" w:rsidRDefault="00401A60" w:rsidP="00401A60">
      <w:pPr>
        <w:spacing w:line="240" w:lineRule="auto"/>
        <w:rPr>
          <w:rFonts w:ascii="Times New Roman" w:hAnsi="Times New Roman"/>
          <w:sz w:val="24"/>
          <w:szCs w:val="24"/>
        </w:rPr>
      </w:pPr>
      <w:r>
        <w:rPr>
          <w:rFonts w:ascii="Times New Roman" w:hAnsi="Times New Roman"/>
          <w:sz w:val="24"/>
          <w:szCs w:val="24"/>
        </w:rPr>
        <w:t>Les chiffres du tableau indiquent aussi que le secteur privé formel est plus concentré à Cotonou avec un pourcentage de 16,3% des actifs occupés contre 2,9% pour les autres milieux urbains et 0,5% seulement pour le milieu rural.</w:t>
      </w:r>
    </w:p>
    <w:p w:rsidR="00401A60" w:rsidRPr="00472470" w:rsidRDefault="00401A60" w:rsidP="00401A60">
      <w:pPr>
        <w:spacing w:line="240" w:lineRule="auto"/>
        <w:rPr>
          <w:rFonts w:ascii="Times New Roman" w:hAnsi="Times New Roman"/>
          <w:sz w:val="12"/>
          <w:szCs w:val="12"/>
        </w:rPr>
      </w:pPr>
    </w:p>
    <w:p w:rsidR="00401A60" w:rsidRDefault="00401A60" w:rsidP="00401A60">
      <w:pPr>
        <w:spacing w:line="240" w:lineRule="auto"/>
        <w:rPr>
          <w:rFonts w:ascii="Times New Roman" w:hAnsi="Times New Roman"/>
          <w:sz w:val="24"/>
          <w:szCs w:val="24"/>
        </w:rPr>
      </w:pPr>
      <w:r>
        <w:rPr>
          <w:rFonts w:ascii="Times New Roman" w:hAnsi="Times New Roman"/>
          <w:sz w:val="24"/>
          <w:szCs w:val="24"/>
        </w:rPr>
        <w:t>L’analyse du tableau suivant les pôles de croissance révèle qu’à Cotonou, ce sont le commerce/logistique, l’agroalimentaire et les BTP qui concentrent les taux d’emplois formels les plus élevés avec respectivement 18,6%, 28,2% et 21,2% des actifs occupés. La même tendance s’observe dans les autres milieux dans des proportions moins importantes.</w:t>
      </w:r>
    </w:p>
    <w:p w:rsidR="009920CB" w:rsidRDefault="009920CB" w:rsidP="00401A60">
      <w:pPr>
        <w:spacing w:line="240" w:lineRule="auto"/>
        <w:rPr>
          <w:rFonts w:ascii="Times New Roman" w:hAnsi="Times New Roman"/>
          <w:sz w:val="24"/>
          <w:szCs w:val="24"/>
        </w:rPr>
      </w:pPr>
    </w:p>
    <w:p w:rsidR="00472470" w:rsidRPr="009240AE" w:rsidRDefault="00472470" w:rsidP="00472470">
      <w:pPr>
        <w:pStyle w:val="Titre2"/>
        <w:spacing w:before="120" w:after="0" w:line="240" w:lineRule="auto"/>
        <w:rPr>
          <w:rFonts w:ascii="Times New Roman" w:hAnsi="Times New Roman" w:cs="Times New Roman"/>
          <w:i w:val="0"/>
          <w:color w:val="31849B" w:themeColor="accent5" w:themeShade="BF"/>
        </w:rPr>
      </w:pPr>
      <w:bookmarkStart w:id="168" w:name="_Toc382322948"/>
      <w:r w:rsidRPr="009240AE">
        <w:rPr>
          <w:rFonts w:ascii="Times New Roman" w:hAnsi="Times New Roman" w:cs="Times New Roman"/>
          <w:i w:val="0"/>
          <w:color w:val="31849B" w:themeColor="accent5" w:themeShade="BF"/>
        </w:rPr>
        <w:t xml:space="preserve">5.4  </w:t>
      </w:r>
      <w:r>
        <w:rPr>
          <w:rFonts w:ascii="Times New Roman" w:hAnsi="Times New Roman" w:cs="Times New Roman"/>
          <w:i w:val="0"/>
          <w:color w:val="31849B" w:themeColor="accent5" w:themeShade="BF"/>
        </w:rPr>
        <w:t>P</w:t>
      </w:r>
      <w:r w:rsidRPr="009240AE">
        <w:rPr>
          <w:rFonts w:ascii="Times New Roman" w:hAnsi="Times New Roman" w:cs="Times New Roman"/>
          <w:i w:val="0"/>
          <w:color w:val="31849B" w:themeColor="accent5" w:themeShade="BF"/>
        </w:rPr>
        <w:t>aradoxe du taux de chômage</w:t>
      </w:r>
      <w:bookmarkEnd w:id="168"/>
    </w:p>
    <w:p w:rsidR="009920CB" w:rsidRDefault="009920CB" w:rsidP="00472470">
      <w:pPr>
        <w:spacing w:line="276" w:lineRule="auto"/>
        <w:rPr>
          <w:rFonts w:ascii="Times New Roman" w:hAnsi="Times New Roman"/>
          <w:sz w:val="24"/>
          <w:szCs w:val="24"/>
        </w:rPr>
      </w:pPr>
    </w:p>
    <w:p w:rsidR="00472470" w:rsidRDefault="00472470" w:rsidP="00472470">
      <w:pPr>
        <w:spacing w:line="276" w:lineRule="auto"/>
        <w:rPr>
          <w:rFonts w:ascii="Times New Roman" w:hAnsi="Times New Roman"/>
          <w:sz w:val="24"/>
          <w:szCs w:val="24"/>
        </w:rPr>
      </w:pPr>
      <w:r w:rsidRPr="00F06596">
        <w:rPr>
          <w:rFonts w:ascii="Times New Roman" w:hAnsi="Times New Roman"/>
          <w:sz w:val="24"/>
          <w:szCs w:val="24"/>
        </w:rPr>
        <w:t>L’utilisation du chômage comme indicateur du niveau de l’activité économique au Bénin a toujours donné lieu à beaucoup de critiques de la part des différents acteurs. Ces critiques émanent du fait que le Bénin présente structurellement des taux de chômage BIT bas et parfois quasi-nuls  pendant que dans la vie active beaucoup de jeunes et d’individus se plaignent de ne pas trouver un emploi. C’est le paradoxe du taux de chômage.</w:t>
      </w:r>
    </w:p>
    <w:p w:rsidR="00472470" w:rsidRPr="00F06596" w:rsidRDefault="00472470" w:rsidP="00472470">
      <w:pPr>
        <w:spacing w:line="240" w:lineRule="auto"/>
        <w:rPr>
          <w:rFonts w:ascii="Times New Roman" w:hAnsi="Times New Roman"/>
          <w:sz w:val="24"/>
          <w:szCs w:val="24"/>
        </w:rPr>
      </w:pPr>
    </w:p>
    <w:p w:rsidR="00472470" w:rsidRDefault="00472470" w:rsidP="00472470">
      <w:pPr>
        <w:spacing w:line="276" w:lineRule="auto"/>
        <w:rPr>
          <w:rFonts w:ascii="Times New Roman" w:hAnsi="Times New Roman"/>
          <w:sz w:val="24"/>
          <w:szCs w:val="24"/>
        </w:rPr>
      </w:pPr>
      <w:r w:rsidRPr="00F06596">
        <w:rPr>
          <w:rFonts w:ascii="Times New Roman" w:hAnsi="Times New Roman"/>
          <w:sz w:val="24"/>
          <w:szCs w:val="24"/>
        </w:rPr>
        <w:t xml:space="preserve">En réalité, le taux de chômage BIT comme son nom l’indique est calculé suivant une méthodologie recommandée par le BIT en vue d’assurer la comparabilité des indicateurs au niveau international. Cependant, à l’épreuve des faits, le résultat obtenu ne permet pas de rendre fidèlement compte de la vitalité économique des Etats africains comme comparativement aux pays développés où le marché du travail fonctionne bien et où le système d’information sur le marché du travail est opérationnel. </w:t>
      </w:r>
    </w:p>
    <w:p w:rsidR="00472470" w:rsidRPr="00F06596" w:rsidRDefault="00472470" w:rsidP="00472470">
      <w:pPr>
        <w:spacing w:line="240" w:lineRule="auto"/>
        <w:rPr>
          <w:rFonts w:ascii="Times New Roman" w:hAnsi="Times New Roman"/>
          <w:sz w:val="24"/>
          <w:szCs w:val="24"/>
        </w:rPr>
      </w:pPr>
    </w:p>
    <w:p w:rsidR="00472470" w:rsidRDefault="00472470" w:rsidP="00472470">
      <w:pPr>
        <w:spacing w:line="276" w:lineRule="auto"/>
        <w:rPr>
          <w:rFonts w:ascii="Times New Roman" w:hAnsi="Times New Roman"/>
          <w:sz w:val="24"/>
          <w:szCs w:val="24"/>
        </w:rPr>
      </w:pPr>
      <w:r w:rsidRPr="00F06596">
        <w:rPr>
          <w:rFonts w:ascii="Times New Roman" w:hAnsi="Times New Roman"/>
          <w:sz w:val="24"/>
          <w:szCs w:val="24"/>
        </w:rPr>
        <w:t>Pour être chômeur selon le BIT, un individu ayant dépassé un certain âge (généralement 14 ans au Bénin), sera déclaré chômeur s’il satisfait à la fois les trois conditions suivantes: i) être sans travail au cours de la période de référence (générale</w:t>
      </w:r>
      <w:r>
        <w:rPr>
          <w:rFonts w:ascii="Times New Roman" w:hAnsi="Times New Roman"/>
          <w:sz w:val="24"/>
          <w:szCs w:val="24"/>
        </w:rPr>
        <w:t>ment la semaine dernière), ii) c</w:t>
      </w:r>
      <w:r w:rsidRPr="00F06596">
        <w:rPr>
          <w:rFonts w:ascii="Times New Roman" w:hAnsi="Times New Roman"/>
          <w:sz w:val="24"/>
          <w:szCs w:val="24"/>
        </w:rPr>
        <w:t>hercher activement un emploi et iii) être disponible pour travailler (soit immédiatement ou dans deux semaines).</w:t>
      </w:r>
    </w:p>
    <w:p w:rsidR="00472470" w:rsidRPr="00F06596" w:rsidRDefault="00472470" w:rsidP="00472470">
      <w:pPr>
        <w:spacing w:line="276" w:lineRule="auto"/>
        <w:rPr>
          <w:rFonts w:ascii="Times New Roman" w:hAnsi="Times New Roman"/>
          <w:sz w:val="24"/>
          <w:szCs w:val="24"/>
        </w:rPr>
      </w:pPr>
    </w:p>
    <w:p w:rsidR="00472470" w:rsidRPr="00472470" w:rsidRDefault="00472470" w:rsidP="00472470">
      <w:pPr>
        <w:sectPr w:rsidR="00472470" w:rsidRPr="00472470" w:rsidSect="005F3C7E">
          <w:pgSz w:w="11906" w:h="16838"/>
          <w:pgMar w:top="1219" w:right="1418" w:bottom="1418" w:left="1418" w:header="284" w:footer="709" w:gutter="0"/>
          <w:cols w:space="708"/>
          <w:docGrid w:linePitch="360"/>
        </w:sectPr>
      </w:pPr>
    </w:p>
    <w:tbl>
      <w:tblPr>
        <w:tblW w:w="15735" w:type="dxa"/>
        <w:jc w:val="center"/>
        <w:tblLayout w:type="fixed"/>
        <w:tblLook w:val="04A0" w:firstRow="1" w:lastRow="0" w:firstColumn="1" w:lastColumn="0" w:noHBand="0" w:noVBand="1"/>
      </w:tblPr>
      <w:tblGrid>
        <w:gridCol w:w="2161"/>
        <w:gridCol w:w="675"/>
        <w:gridCol w:w="567"/>
        <w:gridCol w:w="709"/>
        <w:gridCol w:w="850"/>
        <w:gridCol w:w="567"/>
        <w:gridCol w:w="567"/>
        <w:gridCol w:w="709"/>
        <w:gridCol w:w="850"/>
        <w:gridCol w:w="567"/>
        <w:gridCol w:w="567"/>
        <w:gridCol w:w="709"/>
        <w:gridCol w:w="851"/>
        <w:gridCol w:w="567"/>
        <w:gridCol w:w="567"/>
        <w:gridCol w:w="708"/>
        <w:gridCol w:w="851"/>
        <w:gridCol w:w="709"/>
        <w:gridCol w:w="567"/>
        <w:gridCol w:w="567"/>
        <w:gridCol w:w="850"/>
      </w:tblGrid>
      <w:tr w:rsidR="009920CB" w:rsidRPr="009920CB" w:rsidTr="009B5A09">
        <w:trPr>
          <w:trHeight w:val="340"/>
          <w:jc w:val="center"/>
        </w:trPr>
        <w:tc>
          <w:tcPr>
            <w:tcW w:w="15735" w:type="dxa"/>
            <w:gridSpan w:val="21"/>
            <w:tcBorders>
              <w:left w:val="nil"/>
              <w:bottom w:val="double" w:sz="4" w:space="0" w:color="auto"/>
            </w:tcBorders>
            <w:shd w:val="clear" w:color="auto" w:fill="92CDDC" w:themeFill="accent5" w:themeFillTint="99"/>
            <w:noWrap/>
            <w:vAlign w:val="center"/>
            <w:hideMark/>
          </w:tcPr>
          <w:p w:rsidR="009920CB" w:rsidRPr="009920CB" w:rsidRDefault="009920CB" w:rsidP="009920CB">
            <w:pPr>
              <w:spacing w:line="240" w:lineRule="auto"/>
              <w:jc w:val="left"/>
              <w:rPr>
                <w:rFonts w:ascii="Times New Roman" w:eastAsia="Times New Roman" w:hAnsi="Times New Roman"/>
                <w:b/>
                <w:bCs/>
                <w:sz w:val="24"/>
                <w:szCs w:val="24"/>
              </w:rPr>
            </w:pPr>
            <w:bookmarkStart w:id="169" w:name="_Toc373430446"/>
            <w:r w:rsidRPr="009920CB">
              <w:rPr>
                <w:rFonts w:ascii="Times New Roman" w:hAnsi="Times New Roman"/>
                <w:sz w:val="24"/>
                <w:szCs w:val="24"/>
              </w:rPr>
              <w:t xml:space="preserve">Tableau 5. </w:t>
            </w:r>
            <w:r w:rsidR="00182C97" w:rsidRPr="009920CB">
              <w:rPr>
                <w:rFonts w:ascii="Times New Roman" w:hAnsi="Times New Roman"/>
                <w:sz w:val="24"/>
                <w:szCs w:val="24"/>
              </w:rPr>
              <w:fldChar w:fldCharType="begin"/>
            </w:r>
            <w:r w:rsidRPr="009920CB">
              <w:rPr>
                <w:rFonts w:ascii="Times New Roman" w:hAnsi="Times New Roman"/>
                <w:sz w:val="24"/>
                <w:szCs w:val="24"/>
              </w:rPr>
              <w:instrText xml:space="preserve"> SEQ Tableau_5. \* ARABIC </w:instrText>
            </w:r>
            <w:r w:rsidR="00182C97" w:rsidRPr="009920CB">
              <w:rPr>
                <w:rFonts w:ascii="Times New Roman" w:hAnsi="Times New Roman"/>
                <w:sz w:val="24"/>
                <w:szCs w:val="24"/>
              </w:rPr>
              <w:fldChar w:fldCharType="separate"/>
            </w:r>
            <w:r w:rsidR="00AB1967">
              <w:rPr>
                <w:rFonts w:ascii="Times New Roman" w:hAnsi="Times New Roman"/>
                <w:noProof/>
                <w:sz w:val="24"/>
                <w:szCs w:val="24"/>
              </w:rPr>
              <w:t>7</w:t>
            </w:r>
            <w:r w:rsidR="00182C97" w:rsidRPr="009920CB">
              <w:rPr>
                <w:rFonts w:ascii="Times New Roman" w:hAnsi="Times New Roman"/>
                <w:sz w:val="24"/>
                <w:szCs w:val="24"/>
              </w:rPr>
              <w:fldChar w:fldCharType="end"/>
            </w:r>
            <w:r w:rsidRPr="009920CB">
              <w:rPr>
                <w:rFonts w:ascii="Times New Roman" w:hAnsi="Times New Roman"/>
                <w:sz w:val="24"/>
                <w:szCs w:val="24"/>
              </w:rPr>
              <w:t>: Répartition des actifs occupés selon le pôle de croissance, le milieu de résidence et secteur d’activité en 2010</w:t>
            </w:r>
            <w:bookmarkEnd w:id="169"/>
          </w:p>
        </w:tc>
      </w:tr>
      <w:tr w:rsidR="00A7608B" w:rsidRPr="00C668F1" w:rsidTr="009920CB">
        <w:trPr>
          <w:trHeight w:val="340"/>
          <w:jc w:val="center"/>
        </w:trPr>
        <w:tc>
          <w:tcPr>
            <w:tcW w:w="2161" w:type="dxa"/>
            <w:tcBorders>
              <w:top w:val="double" w:sz="4" w:space="0" w:color="auto"/>
              <w:left w:val="nil"/>
            </w:tcBorders>
            <w:shd w:val="clear" w:color="auto" w:fill="DAEEF3" w:themeFill="accent5" w:themeFillTint="33"/>
            <w:noWrap/>
            <w:vAlign w:val="center"/>
            <w:hideMark/>
          </w:tcPr>
          <w:p w:rsidR="00A7608B" w:rsidRPr="00C668F1" w:rsidRDefault="00A7608B" w:rsidP="00A7608B">
            <w:pPr>
              <w:jc w:val="center"/>
              <w:rPr>
                <w:rFonts w:ascii="Times New Roman" w:eastAsia="Times New Roman" w:hAnsi="Times New Roman"/>
                <w:b/>
                <w:bCs/>
              </w:rPr>
            </w:pPr>
          </w:p>
        </w:tc>
        <w:tc>
          <w:tcPr>
            <w:tcW w:w="2801" w:type="dxa"/>
            <w:gridSpan w:val="4"/>
            <w:tcBorders>
              <w:top w:val="double" w:sz="4" w:space="0" w:color="auto"/>
              <w:bottom w:val="single" w:sz="4" w:space="0" w:color="auto"/>
            </w:tcBorders>
            <w:shd w:val="clear" w:color="auto" w:fill="DAEEF3" w:themeFill="accent5" w:themeFillTint="33"/>
            <w:vAlign w:val="center"/>
          </w:tcPr>
          <w:p w:rsidR="00A7608B" w:rsidRPr="00C668F1" w:rsidRDefault="00A7608B" w:rsidP="00A7608B">
            <w:pPr>
              <w:spacing w:line="240" w:lineRule="auto"/>
              <w:jc w:val="center"/>
              <w:rPr>
                <w:rFonts w:ascii="Times New Roman" w:eastAsia="Times New Roman" w:hAnsi="Times New Roman"/>
                <w:b/>
                <w:bCs/>
              </w:rPr>
            </w:pPr>
            <w:r w:rsidRPr="00C668F1">
              <w:rPr>
                <w:rFonts w:ascii="Times New Roman" w:eastAsia="Times New Roman" w:hAnsi="Times New Roman"/>
                <w:b/>
                <w:bCs/>
              </w:rPr>
              <w:t>E</w:t>
            </w:r>
            <w:r w:rsidR="00686925" w:rsidRPr="00C668F1">
              <w:rPr>
                <w:rFonts w:ascii="Times New Roman" w:eastAsia="Times New Roman" w:hAnsi="Times New Roman"/>
                <w:b/>
                <w:bCs/>
              </w:rPr>
              <w:t>nsemble</w:t>
            </w:r>
          </w:p>
        </w:tc>
        <w:tc>
          <w:tcPr>
            <w:tcW w:w="2693" w:type="dxa"/>
            <w:gridSpan w:val="4"/>
            <w:tcBorders>
              <w:top w:val="double" w:sz="4" w:space="0" w:color="auto"/>
              <w:bottom w:val="single" w:sz="4" w:space="0" w:color="auto"/>
            </w:tcBorders>
            <w:shd w:val="clear" w:color="auto" w:fill="DAEEF3" w:themeFill="accent5" w:themeFillTint="33"/>
            <w:vAlign w:val="center"/>
          </w:tcPr>
          <w:p w:rsidR="00A7608B" w:rsidRPr="00C668F1" w:rsidRDefault="00A7608B" w:rsidP="00A7608B">
            <w:pPr>
              <w:spacing w:line="240" w:lineRule="auto"/>
              <w:jc w:val="center"/>
              <w:rPr>
                <w:rFonts w:ascii="Times New Roman" w:eastAsia="Times New Roman" w:hAnsi="Times New Roman"/>
                <w:b/>
                <w:bCs/>
              </w:rPr>
            </w:pPr>
            <w:r w:rsidRPr="00C668F1">
              <w:rPr>
                <w:rFonts w:ascii="Times New Roman" w:eastAsia="Times New Roman" w:hAnsi="Times New Roman"/>
                <w:b/>
                <w:bCs/>
              </w:rPr>
              <w:t>C</w:t>
            </w:r>
            <w:r w:rsidR="00686925" w:rsidRPr="00C668F1">
              <w:rPr>
                <w:rFonts w:ascii="Times New Roman" w:eastAsia="Times New Roman" w:hAnsi="Times New Roman"/>
                <w:b/>
                <w:bCs/>
              </w:rPr>
              <w:t>otonou</w:t>
            </w:r>
          </w:p>
        </w:tc>
        <w:tc>
          <w:tcPr>
            <w:tcW w:w="2694" w:type="dxa"/>
            <w:gridSpan w:val="4"/>
            <w:tcBorders>
              <w:top w:val="double" w:sz="4" w:space="0" w:color="auto"/>
              <w:bottom w:val="single" w:sz="4" w:space="0" w:color="auto"/>
            </w:tcBorders>
            <w:shd w:val="clear" w:color="auto" w:fill="DAEEF3" w:themeFill="accent5" w:themeFillTint="33"/>
            <w:vAlign w:val="center"/>
          </w:tcPr>
          <w:p w:rsidR="00A7608B" w:rsidRPr="00C668F1" w:rsidRDefault="00A7608B" w:rsidP="00A7608B">
            <w:pPr>
              <w:spacing w:line="240" w:lineRule="auto"/>
              <w:jc w:val="center"/>
              <w:rPr>
                <w:rFonts w:ascii="Times New Roman" w:eastAsia="Times New Roman" w:hAnsi="Times New Roman"/>
                <w:b/>
                <w:bCs/>
              </w:rPr>
            </w:pPr>
            <w:r w:rsidRPr="00C668F1">
              <w:rPr>
                <w:rFonts w:ascii="Times New Roman" w:eastAsia="Times New Roman" w:hAnsi="Times New Roman"/>
                <w:b/>
                <w:bCs/>
              </w:rPr>
              <w:t>A</w:t>
            </w:r>
            <w:r w:rsidR="00686925" w:rsidRPr="00C668F1">
              <w:rPr>
                <w:rFonts w:ascii="Times New Roman" w:eastAsia="Times New Roman" w:hAnsi="Times New Roman"/>
                <w:b/>
                <w:bCs/>
              </w:rPr>
              <w:t>utre urbain</w:t>
            </w:r>
          </w:p>
        </w:tc>
        <w:tc>
          <w:tcPr>
            <w:tcW w:w="2693" w:type="dxa"/>
            <w:gridSpan w:val="4"/>
            <w:tcBorders>
              <w:top w:val="double" w:sz="4" w:space="0" w:color="auto"/>
              <w:bottom w:val="single" w:sz="4" w:space="0" w:color="auto"/>
            </w:tcBorders>
            <w:shd w:val="clear" w:color="auto" w:fill="DAEEF3" w:themeFill="accent5" w:themeFillTint="33"/>
            <w:vAlign w:val="center"/>
          </w:tcPr>
          <w:p w:rsidR="00A7608B" w:rsidRPr="0081405C" w:rsidRDefault="00A7608B" w:rsidP="00A7608B">
            <w:pPr>
              <w:spacing w:line="240" w:lineRule="auto"/>
              <w:jc w:val="center"/>
              <w:rPr>
                <w:rFonts w:ascii="Times New Roman" w:eastAsia="Times New Roman" w:hAnsi="Times New Roman"/>
                <w:b/>
              </w:rPr>
            </w:pPr>
            <w:r w:rsidRPr="00C668F1">
              <w:rPr>
                <w:rFonts w:ascii="Times New Roman" w:eastAsia="Times New Roman" w:hAnsi="Times New Roman"/>
                <w:b/>
              </w:rPr>
              <w:t>E</w:t>
            </w:r>
            <w:r w:rsidR="00686925" w:rsidRPr="00C668F1">
              <w:rPr>
                <w:rFonts w:ascii="Times New Roman" w:eastAsia="Times New Roman" w:hAnsi="Times New Roman"/>
                <w:b/>
              </w:rPr>
              <w:t>nsemble urbain</w:t>
            </w:r>
          </w:p>
        </w:tc>
        <w:tc>
          <w:tcPr>
            <w:tcW w:w="2693" w:type="dxa"/>
            <w:gridSpan w:val="4"/>
            <w:tcBorders>
              <w:top w:val="double" w:sz="4" w:space="0" w:color="auto"/>
              <w:bottom w:val="single" w:sz="4" w:space="0" w:color="auto"/>
              <w:right w:val="nil"/>
            </w:tcBorders>
            <w:shd w:val="clear" w:color="auto" w:fill="DAEEF3" w:themeFill="accent5" w:themeFillTint="33"/>
            <w:vAlign w:val="center"/>
          </w:tcPr>
          <w:p w:rsidR="00A7608B" w:rsidRPr="00C668F1" w:rsidRDefault="00A7608B" w:rsidP="00A7608B">
            <w:pPr>
              <w:spacing w:line="240" w:lineRule="auto"/>
              <w:jc w:val="center"/>
              <w:rPr>
                <w:rFonts w:ascii="Times New Roman" w:eastAsia="Times New Roman" w:hAnsi="Times New Roman"/>
                <w:b/>
                <w:bCs/>
              </w:rPr>
            </w:pPr>
            <w:r w:rsidRPr="00C668F1">
              <w:rPr>
                <w:rFonts w:ascii="Times New Roman" w:eastAsia="Times New Roman" w:hAnsi="Times New Roman"/>
                <w:b/>
                <w:bCs/>
              </w:rPr>
              <w:t>R</w:t>
            </w:r>
            <w:r w:rsidR="00686925" w:rsidRPr="00C668F1">
              <w:rPr>
                <w:rFonts w:ascii="Times New Roman" w:eastAsia="Times New Roman" w:hAnsi="Times New Roman"/>
                <w:b/>
                <w:bCs/>
              </w:rPr>
              <w:t>ural</w:t>
            </w:r>
          </w:p>
        </w:tc>
      </w:tr>
      <w:tr w:rsidR="00A7608B" w:rsidRPr="00A30D1A" w:rsidTr="00686925">
        <w:trPr>
          <w:trHeight w:val="340"/>
          <w:jc w:val="center"/>
        </w:trPr>
        <w:tc>
          <w:tcPr>
            <w:tcW w:w="2161" w:type="dxa"/>
            <w:tcBorders>
              <w:left w:val="nil"/>
              <w:bottom w:val="single" w:sz="4" w:space="0" w:color="auto"/>
            </w:tcBorders>
            <w:shd w:val="clear" w:color="auto" w:fill="DAEEF3" w:themeFill="accent5" w:themeFillTint="33"/>
            <w:vAlign w:val="bottom"/>
            <w:hideMark/>
          </w:tcPr>
          <w:p w:rsidR="00A7608B" w:rsidRPr="00C668F1" w:rsidRDefault="00A7608B" w:rsidP="00A7608B">
            <w:pPr>
              <w:spacing w:line="240" w:lineRule="auto"/>
              <w:rPr>
                <w:rFonts w:ascii="Times New Roman" w:eastAsia="Times New Roman" w:hAnsi="Times New Roman"/>
              </w:rPr>
            </w:pPr>
            <w:r w:rsidRPr="00C668F1">
              <w:rPr>
                <w:rFonts w:ascii="Times New Roman" w:eastAsia="Times New Roman" w:hAnsi="Times New Roman"/>
              </w:rPr>
              <w:t> </w:t>
            </w:r>
          </w:p>
        </w:tc>
        <w:tc>
          <w:tcPr>
            <w:tcW w:w="675" w:type="dxa"/>
            <w:tcBorders>
              <w:bottom w:val="single" w:sz="4" w:space="0" w:color="auto"/>
            </w:tcBorders>
            <w:shd w:val="clear" w:color="auto" w:fill="DAEEF3" w:themeFill="accent5" w:themeFillTint="33"/>
            <w:vAlign w:val="bottom"/>
            <w:hideMark/>
          </w:tcPr>
          <w:p w:rsidR="00A7608B" w:rsidRPr="0081405C" w:rsidRDefault="00A7608B" w:rsidP="00A7608B">
            <w:pPr>
              <w:spacing w:line="240" w:lineRule="auto"/>
              <w:rPr>
                <w:rFonts w:ascii="Times New Roman" w:eastAsia="Times New Roman" w:hAnsi="Times New Roman"/>
                <w:bCs/>
                <w:sz w:val="18"/>
                <w:szCs w:val="18"/>
              </w:rPr>
            </w:pPr>
            <w:r w:rsidRPr="0081405C">
              <w:rPr>
                <w:rFonts w:ascii="Times New Roman" w:eastAsia="Times New Roman" w:hAnsi="Times New Roman"/>
                <w:bCs/>
                <w:sz w:val="18"/>
                <w:szCs w:val="18"/>
              </w:rPr>
              <w:t>Publ</w:t>
            </w:r>
          </w:p>
        </w:tc>
        <w:tc>
          <w:tcPr>
            <w:tcW w:w="567" w:type="dxa"/>
            <w:tcBorders>
              <w:bottom w:val="single" w:sz="4" w:space="0" w:color="auto"/>
            </w:tcBorders>
            <w:shd w:val="clear" w:color="auto" w:fill="DAEEF3" w:themeFill="accent5" w:themeFillTint="33"/>
            <w:vAlign w:val="bottom"/>
            <w:hideMark/>
          </w:tcPr>
          <w:p w:rsidR="00A7608B" w:rsidRDefault="00A7608B" w:rsidP="00A7608B">
            <w:pPr>
              <w:spacing w:line="240" w:lineRule="auto"/>
              <w:rPr>
                <w:rFonts w:ascii="Times New Roman" w:eastAsia="Times New Roman" w:hAnsi="Times New Roman"/>
                <w:bCs/>
                <w:sz w:val="18"/>
                <w:szCs w:val="18"/>
              </w:rPr>
            </w:pPr>
            <w:r>
              <w:rPr>
                <w:rFonts w:ascii="Times New Roman" w:eastAsia="Times New Roman" w:hAnsi="Times New Roman"/>
                <w:bCs/>
                <w:sz w:val="18"/>
                <w:szCs w:val="18"/>
              </w:rPr>
              <w:t>Priv.</w:t>
            </w:r>
          </w:p>
          <w:p w:rsidR="00A7608B" w:rsidRPr="0081405C" w:rsidRDefault="00A7608B" w:rsidP="00A7608B">
            <w:pPr>
              <w:spacing w:line="240" w:lineRule="auto"/>
              <w:rPr>
                <w:rFonts w:ascii="Times New Roman" w:eastAsia="Times New Roman" w:hAnsi="Times New Roman"/>
                <w:bCs/>
                <w:sz w:val="18"/>
                <w:szCs w:val="18"/>
              </w:rPr>
            </w:pPr>
            <w:r>
              <w:rPr>
                <w:rFonts w:ascii="Times New Roman" w:eastAsia="Times New Roman" w:hAnsi="Times New Roman"/>
                <w:bCs/>
                <w:sz w:val="18"/>
                <w:szCs w:val="18"/>
              </w:rPr>
              <w:t>form</w:t>
            </w:r>
          </w:p>
        </w:tc>
        <w:tc>
          <w:tcPr>
            <w:tcW w:w="709" w:type="dxa"/>
            <w:tcBorders>
              <w:bottom w:val="single" w:sz="4" w:space="0" w:color="auto"/>
            </w:tcBorders>
            <w:shd w:val="clear" w:color="auto" w:fill="DAEEF3" w:themeFill="accent5" w:themeFillTint="33"/>
            <w:vAlign w:val="bottom"/>
            <w:hideMark/>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 inform</w:t>
            </w:r>
          </w:p>
        </w:tc>
        <w:tc>
          <w:tcPr>
            <w:tcW w:w="850" w:type="dxa"/>
            <w:tcBorders>
              <w:bottom w:val="single" w:sz="4" w:space="0" w:color="auto"/>
            </w:tcBorders>
            <w:shd w:val="clear" w:color="auto" w:fill="DAEEF3" w:themeFill="accent5" w:themeFillTint="33"/>
            <w:vAlign w:val="bottom"/>
            <w:hideMark/>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Eff. total</w:t>
            </w:r>
          </w:p>
        </w:tc>
        <w:tc>
          <w:tcPr>
            <w:tcW w:w="567"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Publ</w:t>
            </w:r>
          </w:p>
        </w:tc>
        <w:tc>
          <w:tcPr>
            <w:tcW w:w="567" w:type="dxa"/>
            <w:tcBorders>
              <w:bottom w:val="single" w:sz="4" w:space="0" w:color="auto"/>
            </w:tcBorders>
            <w:shd w:val="clear" w:color="auto" w:fill="DAEEF3" w:themeFill="accent5" w:themeFillTint="33"/>
            <w:vAlign w:val="bottom"/>
          </w:tcPr>
          <w:p w:rsidR="00A7608B"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w:t>
            </w:r>
          </w:p>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form</w:t>
            </w:r>
          </w:p>
        </w:tc>
        <w:tc>
          <w:tcPr>
            <w:tcW w:w="709"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 inform</w:t>
            </w:r>
          </w:p>
        </w:tc>
        <w:tc>
          <w:tcPr>
            <w:tcW w:w="850"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Eff. total</w:t>
            </w:r>
          </w:p>
        </w:tc>
        <w:tc>
          <w:tcPr>
            <w:tcW w:w="567"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Publ</w:t>
            </w:r>
          </w:p>
        </w:tc>
        <w:tc>
          <w:tcPr>
            <w:tcW w:w="567"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w:t>
            </w:r>
          </w:p>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form</w:t>
            </w:r>
          </w:p>
        </w:tc>
        <w:tc>
          <w:tcPr>
            <w:tcW w:w="709"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 inform</w:t>
            </w:r>
          </w:p>
        </w:tc>
        <w:tc>
          <w:tcPr>
            <w:tcW w:w="851"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Eff. total</w:t>
            </w:r>
          </w:p>
        </w:tc>
        <w:tc>
          <w:tcPr>
            <w:tcW w:w="567"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Publ</w:t>
            </w:r>
          </w:p>
        </w:tc>
        <w:tc>
          <w:tcPr>
            <w:tcW w:w="567" w:type="dxa"/>
            <w:tcBorders>
              <w:bottom w:val="single" w:sz="4" w:space="0" w:color="auto"/>
            </w:tcBorders>
            <w:shd w:val="clear" w:color="auto" w:fill="DAEEF3" w:themeFill="accent5" w:themeFillTint="33"/>
            <w:vAlign w:val="bottom"/>
          </w:tcPr>
          <w:p w:rsidR="00A7608B"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w:t>
            </w:r>
          </w:p>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form</w:t>
            </w:r>
          </w:p>
        </w:tc>
        <w:tc>
          <w:tcPr>
            <w:tcW w:w="708"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 inform</w:t>
            </w:r>
          </w:p>
        </w:tc>
        <w:tc>
          <w:tcPr>
            <w:tcW w:w="851"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Eff. total</w:t>
            </w:r>
          </w:p>
        </w:tc>
        <w:tc>
          <w:tcPr>
            <w:tcW w:w="709"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Publ</w:t>
            </w:r>
          </w:p>
        </w:tc>
        <w:tc>
          <w:tcPr>
            <w:tcW w:w="567"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Priv.form</w:t>
            </w:r>
          </w:p>
        </w:tc>
        <w:tc>
          <w:tcPr>
            <w:tcW w:w="567" w:type="dxa"/>
            <w:tcBorders>
              <w:bottom w:val="single" w:sz="4" w:space="0" w:color="auto"/>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Priv. inform</w:t>
            </w:r>
          </w:p>
        </w:tc>
        <w:tc>
          <w:tcPr>
            <w:tcW w:w="850" w:type="dxa"/>
            <w:tcBorders>
              <w:left w:val="nil"/>
              <w:bottom w:val="single" w:sz="4" w:space="0" w:color="auto"/>
              <w:right w:val="nil"/>
            </w:tcBorders>
            <w:shd w:val="clear" w:color="auto" w:fill="DAEEF3" w:themeFill="accent5" w:themeFillTint="33"/>
            <w:vAlign w:val="bottom"/>
          </w:tcPr>
          <w:p w:rsidR="00A7608B" w:rsidRPr="00A30D1A" w:rsidRDefault="00A7608B" w:rsidP="00A7608B">
            <w:pPr>
              <w:spacing w:line="240" w:lineRule="auto"/>
              <w:rPr>
                <w:rFonts w:ascii="Times New Roman" w:eastAsia="Times New Roman" w:hAnsi="Times New Roman"/>
                <w:bCs/>
                <w:sz w:val="18"/>
                <w:szCs w:val="18"/>
                <w:lang w:val="en-US"/>
              </w:rPr>
            </w:pPr>
            <w:r w:rsidRPr="00A30D1A">
              <w:rPr>
                <w:rFonts w:ascii="Times New Roman" w:eastAsia="Times New Roman" w:hAnsi="Times New Roman"/>
                <w:bCs/>
                <w:sz w:val="18"/>
                <w:szCs w:val="18"/>
                <w:lang w:val="en-US"/>
              </w:rPr>
              <w:t>Eff. total</w:t>
            </w:r>
          </w:p>
        </w:tc>
      </w:tr>
      <w:tr w:rsidR="00A7608B" w:rsidRPr="00C668F1" w:rsidTr="00686925">
        <w:trPr>
          <w:trHeight w:val="397"/>
          <w:jc w:val="center"/>
        </w:trPr>
        <w:tc>
          <w:tcPr>
            <w:tcW w:w="2161" w:type="dxa"/>
            <w:tcBorders>
              <w:top w:val="single" w:sz="4" w:space="0" w:color="auto"/>
              <w:left w:val="nil"/>
              <w:bottom w:val="nil"/>
            </w:tcBorders>
            <w:shd w:val="clear" w:color="auto" w:fill="DAEEF3" w:themeFill="accent5" w:themeFillTint="33"/>
            <w:vAlign w:val="center"/>
            <w:hideMark/>
          </w:tcPr>
          <w:p w:rsidR="00A7608B" w:rsidRPr="00A30D1A" w:rsidRDefault="00A7608B" w:rsidP="00A7608B">
            <w:pPr>
              <w:spacing w:line="240" w:lineRule="auto"/>
              <w:jc w:val="left"/>
              <w:rPr>
                <w:rFonts w:ascii="Times New Roman" w:eastAsia="Times New Roman" w:hAnsi="Times New Roman"/>
                <w:color w:val="000000"/>
                <w:lang w:val="en-US"/>
              </w:rPr>
            </w:pPr>
            <w:r w:rsidRPr="00A30D1A">
              <w:rPr>
                <w:rFonts w:ascii="Times New Roman" w:eastAsia="Times New Roman" w:hAnsi="Times New Roman"/>
                <w:color w:val="000000"/>
                <w:lang w:val="en-US"/>
              </w:rPr>
              <w:t>Agriculture</w:t>
            </w:r>
          </w:p>
        </w:tc>
        <w:tc>
          <w:tcPr>
            <w:tcW w:w="675" w:type="dxa"/>
            <w:tcBorders>
              <w:top w:val="single" w:sz="4" w:space="0" w:color="auto"/>
              <w:bottom w:val="nil"/>
            </w:tcBorders>
            <w:shd w:val="clear" w:color="auto" w:fill="DAEEF3" w:themeFill="accent5" w:themeFillTint="33"/>
            <w:noWrap/>
            <w:vAlign w:val="center"/>
            <w:hideMark/>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0,5</w:t>
            </w:r>
          </w:p>
        </w:tc>
        <w:tc>
          <w:tcPr>
            <w:tcW w:w="567" w:type="dxa"/>
            <w:tcBorders>
              <w:top w:val="single" w:sz="4" w:space="0" w:color="auto"/>
              <w:bottom w:val="nil"/>
            </w:tcBorders>
            <w:shd w:val="clear" w:color="auto" w:fill="DAEEF3" w:themeFill="accent5" w:themeFillTint="33"/>
            <w:noWrap/>
            <w:vAlign w:val="center"/>
            <w:hideMark/>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0,3</w:t>
            </w:r>
          </w:p>
        </w:tc>
        <w:tc>
          <w:tcPr>
            <w:tcW w:w="709" w:type="dxa"/>
            <w:tcBorders>
              <w:top w:val="single" w:sz="4" w:space="0" w:color="auto"/>
              <w:bottom w:val="nil"/>
            </w:tcBorders>
            <w:shd w:val="clear" w:color="auto" w:fill="DAEEF3" w:themeFill="accent5" w:themeFillTint="33"/>
            <w:noWrap/>
            <w:vAlign w:val="center"/>
            <w:hideMark/>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99,2</w:t>
            </w:r>
          </w:p>
        </w:tc>
        <w:tc>
          <w:tcPr>
            <w:tcW w:w="850" w:type="dxa"/>
            <w:tcBorders>
              <w:top w:val="single" w:sz="4" w:space="0" w:color="auto"/>
              <w:bottom w:val="nil"/>
            </w:tcBorders>
            <w:shd w:val="clear" w:color="auto" w:fill="DAEEF3" w:themeFill="accent5" w:themeFillTint="33"/>
            <w:noWrap/>
            <w:vAlign w:val="center"/>
            <w:hideMark/>
          </w:tcPr>
          <w:p w:rsidR="00A7608B" w:rsidRPr="00A30D1A" w:rsidRDefault="00A7608B" w:rsidP="00A7608B">
            <w:pPr>
              <w:spacing w:line="240" w:lineRule="auto"/>
              <w:jc w:val="right"/>
              <w:rPr>
                <w:rFonts w:ascii="Times New Roman" w:eastAsia="Times New Roman" w:hAnsi="Times New Roman"/>
                <w:color w:val="000000"/>
                <w:sz w:val="18"/>
                <w:szCs w:val="18"/>
                <w:lang w:val="en-US"/>
              </w:rPr>
            </w:pPr>
            <w:r w:rsidRPr="00A30D1A">
              <w:rPr>
                <w:rFonts w:ascii="Times New Roman" w:eastAsia="Times New Roman" w:hAnsi="Times New Roman"/>
                <w:color w:val="000000"/>
                <w:sz w:val="18"/>
                <w:szCs w:val="18"/>
                <w:lang w:val="en-US"/>
              </w:rPr>
              <w:t xml:space="preserve">1171422   </w:t>
            </w:r>
          </w:p>
        </w:tc>
        <w:tc>
          <w:tcPr>
            <w:tcW w:w="567"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0,0</w:t>
            </w:r>
          </w:p>
        </w:tc>
        <w:tc>
          <w:tcPr>
            <w:tcW w:w="567"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0,0</w:t>
            </w:r>
          </w:p>
        </w:tc>
        <w:tc>
          <w:tcPr>
            <w:tcW w:w="709"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100,0</w:t>
            </w:r>
          </w:p>
        </w:tc>
        <w:tc>
          <w:tcPr>
            <w:tcW w:w="850"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lang w:val="en-US"/>
              </w:rPr>
            </w:pPr>
            <w:r w:rsidRPr="00A30D1A">
              <w:rPr>
                <w:rFonts w:ascii="Times New Roman" w:eastAsia="Times New Roman" w:hAnsi="Times New Roman"/>
                <w:color w:val="000000"/>
                <w:sz w:val="18"/>
                <w:szCs w:val="18"/>
                <w:lang w:val="en-US"/>
              </w:rPr>
              <w:t xml:space="preserve">1 515   </w:t>
            </w:r>
          </w:p>
        </w:tc>
        <w:tc>
          <w:tcPr>
            <w:tcW w:w="567"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0,7</w:t>
            </w:r>
          </w:p>
        </w:tc>
        <w:tc>
          <w:tcPr>
            <w:tcW w:w="567"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0,5</w:t>
            </w:r>
          </w:p>
        </w:tc>
        <w:tc>
          <w:tcPr>
            <w:tcW w:w="709"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20"/>
                <w:szCs w:val="20"/>
                <w:lang w:val="en-US"/>
              </w:rPr>
            </w:pPr>
            <w:r w:rsidRPr="00A30D1A">
              <w:rPr>
                <w:rFonts w:ascii="Times New Roman" w:eastAsia="Times New Roman" w:hAnsi="Times New Roman"/>
                <w:color w:val="000000"/>
                <w:sz w:val="20"/>
                <w:szCs w:val="20"/>
                <w:lang w:val="en-US"/>
              </w:rPr>
              <w:t>98,8</w:t>
            </w:r>
          </w:p>
        </w:tc>
        <w:tc>
          <w:tcPr>
            <w:tcW w:w="851"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236</w:t>
            </w:r>
            <w:r w:rsidRPr="00A30D1A">
              <w:rPr>
                <w:rFonts w:ascii="Times New Roman" w:eastAsia="Times New Roman" w:hAnsi="Times New Roman"/>
                <w:color w:val="000000"/>
                <w:sz w:val="18"/>
                <w:szCs w:val="18"/>
              </w:rPr>
              <w:t xml:space="preserve">171   </w:t>
            </w:r>
          </w:p>
        </w:tc>
        <w:tc>
          <w:tcPr>
            <w:tcW w:w="567" w:type="dxa"/>
            <w:tcBorders>
              <w:top w:val="single" w:sz="4" w:space="0" w:color="auto"/>
              <w:bottom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0,7</w:t>
            </w:r>
          </w:p>
        </w:tc>
        <w:tc>
          <w:tcPr>
            <w:tcW w:w="567" w:type="dxa"/>
            <w:tcBorders>
              <w:top w:val="single" w:sz="4" w:space="0" w:color="auto"/>
              <w:bottom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0,5</w:t>
            </w:r>
          </w:p>
        </w:tc>
        <w:tc>
          <w:tcPr>
            <w:tcW w:w="708" w:type="dxa"/>
            <w:tcBorders>
              <w:top w:val="single" w:sz="4" w:space="0" w:color="auto"/>
              <w:bottom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98,8</w:t>
            </w:r>
          </w:p>
        </w:tc>
        <w:tc>
          <w:tcPr>
            <w:tcW w:w="851" w:type="dxa"/>
            <w:tcBorders>
              <w:top w:val="single" w:sz="4" w:space="0" w:color="auto"/>
              <w:bottom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237 686   </w:t>
            </w:r>
          </w:p>
        </w:tc>
        <w:tc>
          <w:tcPr>
            <w:tcW w:w="709" w:type="dxa"/>
            <w:tcBorders>
              <w:top w:val="single" w:sz="4" w:space="0" w:color="auto"/>
              <w:bottom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0,5</w:t>
            </w:r>
          </w:p>
        </w:tc>
        <w:tc>
          <w:tcPr>
            <w:tcW w:w="567" w:type="dxa"/>
            <w:tcBorders>
              <w:top w:val="single" w:sz="4" w:space="0" w:color="auto"/>
              <w:bottom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0,2</w:t>
            </w:r>
          </w:p>
        </w:tc>
        <w:tc>
          <w:tcPr>
            <w:tcW w:w="567" w:type="dxa"/>
            <w:tcBorders>
              <w:top w:val="single" w:sz="4" w:space="0" w:color="auto"/>
              <w:bottom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99,3</w:t>
            </w:r>
          </w:p>
        </w:tc>
        <w:tc>
          <w:tcPr>
            <w:tcW w:w="850" w:type="dxa"/>
            <w:tcBorders>
              <w:top w:val="single" w:sz="4" w:space="0" w:color="auto"/>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933 736   </w:t>
            </w:r>
          </w:p>
        </w:tc>
      </w:tr>
      <w:tr w:rsidR="00A7608B" w:rsidRPr="00C668F1" w:rsidTr="00A7608B">
        <w:trPr>
          <w:trHeight w:val="397"/>
          <w:jc w:val="center"/>
        </w:trPr>
        <w:tc>
          <w:tcPr>
            <w:tcW w:w="2161" w:type="dxa"/>
            <w:tcBorders>
              <w:top w:val="nil"/>
              <w:left w:val="nil"/>
              <w:bottom w:val="nil"/>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Coton-Textile</w:t>
            </w:r>
          </w:p>
        </w:tc>
        <w:tc>
          <w:tcPr>
            <w:tcW w:w="675"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0,7</w:t>
            </w:r>
          </w:p>
        </w:tc>
        <w:tc>
          <w:tcPr>
            <w:tcW w:w="567"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0,9</w:t>
            </w:r>
          </w:p>
        </w:tc>
        <w:tc>
          <w:tcPr>
            <w:tcW w:w="709"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98,4</w:t>
            </w:r>
          </w:p>
        </w:tc>
        <w:tc>
          <w:tcPr>
            <w:tcW w:w="850"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120462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4,3</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95,7</w:t>
            </w:r>
          </w:p>
        </w:tc>
        <w:tc>
          <w:tcPr>
            <w:tcW w:w="850"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23217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1,6</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0,0</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98,4</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40384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1,6</w:t>
            </w:r>
          </w:p>
        </w:tc>
        <w:tc>
          <w:tcPr>
            <w:tcW w:w="708"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97,4</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63 601   </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0,3</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0,2</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99,5</w:t>
            </w:r>
          </w:p>
        </w:tc>
        <w:tc>
          <w:tcPr>
            <w:tcW w:w="850"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56 861   </w:t>
            </w:r>
          </w:p>
        </w:tc>
      </w:tr>
      <w:tr w:rsidR="00A7608B" w:rsidRPr="00C668F1" w:rsidTr="00A7608B">
        <w:trPr>
          <w:trHeight w:val="397"/>
          <w:jc w:val="center"/>
        </w:trPr>
        <w:tc>
          <w:tcPr>
            <w:tcW w:w="2161" w:type="dxa"/>
            <w:tcBorders>
              <w:top w:val="nil"/>
              <w:left w:val="nil"/>
              <w:bottom w:val="nil"/>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Commerce-logistique</w:t>
            </w:r>
          </w:p>
        </w:tc>
        <w:tc>
          <w:tcPr>
            <w:tcW w:w="675"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1,5</w:t>
            </w:r>
          </w:p>
        </w:tc>
        <w:tc>
          <w:tcPr>
            <w:tcW w:w="567"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4,8</w:t>
            </w:r>
          </w:p>
        </w:tc>
        <w:tc>
          <w:tcPr>
            <w:tcW w:w="709"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93,7</w:t>
            </w:r>
          </w:p>
        </w:tc>
        <w:tc>
          <w:tcPr>
            <w:tcW w:w="850"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739983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2,8</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15,9</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81,4</w:t>
            </w:r>
          </w:p>
        </w:tc>
        <w:tc>
          <w:tcPr>
            <w:tcW w:w="850"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159</w:t>
            </w:r>
            <w:r w:rsidRPr="0081405C">
              <w:rPr>
                <w:rFonts w:ascii="Times New Roman" w:eastAsia="Times New Roman" w:hAnsi="Times New Roman"/>
                <w:color w:val="000000"/>
                <w:sz w:val="18"/>
                <w:szCs w:val="18"/>
              </w:rPr>
              <w:t xml:space="preserve">996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1,5</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2,8</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95,7</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270</w:t>
            </w:r>
            <w:r w:rsidRPr="00A30D1A">
              <w:rPr>
                <w:rFonts w:ascii="Times New Roman" w:eastAsia="Times New Roman" w:hAnsi="Times New Roman"/>
                <w:color w:val="000000"/>
                <w:sz w:val="18"/>
                <w:szCs w:val="18"/>
              </w:rPr>
              <w:t xml:space="preserve">277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1,9</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7,7</w:t>
            </w:r>
          </w:p>
        </w:tc>
        <w:tc>
          <w:tcPr>
            <w:tcW w:w="708"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90,4</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430 273   </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0,9</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0,8</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98,3</w:t>
            </w:r>
          </w:p>
        </w:tc>
        <w:tc>
          <w:tcPr>
            <w:tcW w:w="850"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309 710   </w:t>
            </w:r>
          </w:p>
        </w:tc>
      </w:tr>
      <w:tr w:rsidR="00A7608B" w:rsidRPr="00C668F1" w:rsidTr="00A7608B">
        <w:trPr>
          <w:trHeight w:val="397"/>
          <w:jc w:val="center"/>
        </w:trPr>
        <w:tc>
          <w:tcPr>
            <w:tcW w:w="2161" w:type="dxa"/>
            <w:tcBorders>
              <w:top w:val="nil"/>
              <w:left w:val="nil"/>
              <w:bottom w:val="nil"/>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Agroalimentaire</w:t>
            </w:r>
          </w:p>
        </w:tc>
        <w:tc>
          <w:tcPr>
            <w:tcW w:w="675"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0,8</w:t>
            </w:r>
          </w:p>
        </w:tc>
        <w:tc>
          <w:tcPr>
            <w:tcW w:w="567"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3,5</w:t>
            </w:r>
          </w:p>
        </w:tc>
        <w:tc>
          <w:tcPr>
            <w:tcW w:w="709"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95,7</w:t>
            </w:r>
          </w:p>
        </w:tc>
        <w:tc>
          <w:tcPr>
            <w:tcW w:w="850"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48124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2,6</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25,6</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71,8</w:t>
            </w:r>
          </w:p>
        </w:tc>
        <w:tc>
          <w:tcPr>
            <w:tcW w:w="850"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4729</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6,0</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91,0</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8 100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2,8</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13,3</w:t>
            </w:r>
          </w:p>
        </w:tc>
        <w:tc>
          <w:tcPr>
            <w:tcW w:w="708"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83,9</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12 829   </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100,0</w:t>
            </w:r>
          </w:p>
        </w:tc>
        <w:tc>
          <w:tcPr>
            <w:tcW w:w="850"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35 296   </w:t>
            </w:r>
          </w:p>
        </w:tc>
      </w:tr>
      <w:tr w:rsidR="00A7608B" w:rsidRPr="00C668F1" w:rsidTr="00A7608B">
        <w:trPr>
          <w:trHeight w:val="397"/>
          <w:jc w:val="center"/>
        </w:trPr>
        <w:tc>
          <w:tcPr>
            <w:tcW w:w="2161" w:type="dxa"/>
            <w:tcBorders>
              <w:top w:val="nil"/>
              <w:left w:val="nil"/>
              <w:bottom w:val="nil"/>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BTP - matériaux de construction</w:t>
            </w:r>
          </w:p>
        </w:tc>
        <w:tc>
          <w:tcPr>
            <w:tcW w:w="675"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2,3</w:t>
            </w:r>
          </w:p>
        </w:tc>
        <w:tc>
          <w:tcPr>
            <w:tcW w:w="567"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6,7</w:t>
            </w:r>
          </w:p>
        </w:tc>
        <w:tc>
          <w:tcPr>
            <w:tcW w:w="709"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91,0</w:t>
            </w:r>
          </w:p>
        </w:tc>
        <w:tc>
          <w:tcPr>
            <w:tcW w:w="850"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75969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17,2</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78,8</w:t>
            </w:r>
          </w:p>
        </w:tc>
        <w:tc>
          <w:tcPr>
            <w:tcW w:w="850"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18</w:t>
            </w:r>
            <w:r w:rsidRPr="0081405C">
              <w:rPr>
                <w:rFonts w:ascii="Times New Roman" w:eastAsia="Times New Roman" w:hAnsi="Times New Roman"/>
                <w:color w:val="000000"/>
                <w:sz w:val="18"/>
                <w:szCs w:val="18"/>
              </w:rPr>
              <w:t xml:space="preserve">651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1,9</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5,5</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92,5</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30</w:t>
            </w:r>
            <w:r w:rsidRPr="00A30D1A">
              <w:rPr>
                <w:rFonts w:ascii="Times New Roman" w:eastAsia="Times New Roman" w:hAnsi="Times New Roman"/>
                <w:color w:val="000000"/>
                <w:sz w:val="18"/>
                <w:szCs w:val="18"/>
              </w:rPr>
              <w:t xml:space="preserve">769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2,7</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9,9</w:t>
            </w:r>
          </w:p>
        </w:tc>
        <w:tc>
          <w:tcPr>
            <w:tcW w:w="708"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87,4</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49 419   </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1,6</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0,6</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97,8</w:t>
            </w:r>
          </w:p>
        </w:tc>
        <w:tc>
          <w:tcPr>
            <w:tcW w:w="850"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26 549   </w:t>
            </w:r>
          </w:p>
        </w:tc>
      </w:tr>
      <w:tr w:rsidR="00A7608B" w:rsidRPr="00C668F1" w:rsidTr="00A7608B">
        <w:trPr>
          <w:trHeight w:val="397"/>
          <w:jc w:val="center"/>
        </w:trPr>
        <w:tc>
          <w:tcPr>
            <w:tcW w:w="2161" w:type="dxa"/>
            <w:tcBorders>
              <w:top w:val="nil"/>
              <w:left w:val="nil"/>
              <w:bottom w:val="nil"/>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Culture et tourisme</w:t>
            </w:r>
          </w:p>
        </w:tc>
        <w:tc>
          <w:tcPr>
            <w:tcW w:w="675"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2,4</w:t>
            </w:r>
          </w:p>
        </w:tc>
        <w:tc>
          <w:tcPr>
            <w:tcW w:w="567"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2,8</w:t>
            </w:r>
          </w:p>
        </w:tc>
        <w:tc>
          <w:tcPr>
            <w:tcW w:w="709"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94,8</w:t>
            </w:r>
          </w:p>
        </w:tc>
        <w:tc>
          <w:tcPr>
            <w:tcW w:w="850"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207549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1,8</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7,7</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90,5</w:t>
            </w:r>
          </w:p>
        </w:tc>
        <w:tc>
          <w:tcPr>
            <w:tcW w:w="850"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50</w:t>
            </w:r>
            <w:r w:rsidRPr="0081405C">
              <w:rPr>
                <w:rFonts w:ascii="Times New Roman" w:eastAsia="Times New Roman" w:hAnsi="Times New Roman"/>
                <w:color w:val="000000"/>
                <w:sz w:val="18"/>
                <w:szCs w:val="18"/>
              </w:rPr>
              <w:t xml:space="preserve">861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3,7</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2,2</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94,1</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70</w:t>
            </w:r>
            <w:r w:rsidRPr="00A30D1A">
              <w:rPr>
                <w:rFonts w:ascii="Times New Roman" w:eastAsia="Times New Roman" w:hAnsi="Times New Roman"/>
                <w:color w:val="000000"/>
                <w:sz w:val="18"/>
                <w:szCs w:val="18"/>
              </w:rPr>
              <w:t xml:space="preserve">943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2,9</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4,5</w:t>
            </w:r>
          </w:p>
        </w:tc>
        <w:tc>
          <w:tcPr>
            <w:tcW w:w="708"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92,6</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121 804   </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1,7</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0,4</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97,9</w:t>
            </w:r>
          </w:p>
        </w:tc>
        <w:tc>
          <w:tcPr>
            <w:tcW w:w="850"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85 745   </w:t>
            </w:r>
          </w:p>
        </w:tc>
      </w:tr>
      <w:tr w:rsidR="00A7608B" w:rsidRPr="00C668F1" w:rsidTr="00A7608B">
        <w:trPr>
          <w:trHeight w:val="397"/>
          <w:jc w:val="center"/>
        </w:trPr>
        <w:tc>
          <w:tcPr>
            <w:tcW w:w="2161" w:type="dxa"/>
            <w:tcBorders>
              <w:top w:val="nil"/>
              <w:left w:val="nil"/>
              <w:bottom w:val="nil"/>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Autres activités industrielles et artisanales</w:t>
            </w:r>
          </w:p>
        </w:tc>
        <w:tc>
          <w:tcPr>
            <w:tcW w:w="675"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2,0</w:t>
            </w:r>
          </w:p>
        </w:tc>
        <w:tc>
          <w:tcPr>
            <w:tcW w:w="567"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5,1</w:t>
            </w:r>
          </w:p>
        </w:tc>
        <w:tc>
          <w:tcPr>
            <w:tcW w:w="709"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92,9</w:t>
            </w:r>
          </w:p>
        </w:tc>
        <w:tc>
          <w:tcPr>
            <w:tcW w:w="850" w:type="dxa"/>
            <w:tcBorders>
              <w:top w:val="nil"/>
              <w:left w:val="nil"/>
              <w:bottom w:val="nil"/>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72885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2,2</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11,5</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86,3</w:t>
            </w:r>
          </w:p>
        </w:tc>
        <w:tc>
          <w:tcPr>
            <w:tcW w:w="850"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20</w:t>
            </w:r>
            <w:r w:rsidRPr="0081405C">
              <w:rPr>
                <w:rFonts w:ascii="Times New Roman" w:eastAsia="Times New Roman" w:hAnsi="Times New Roman"/>
                <w:color w:val="000000"/>
                <w:sz w:val="18"/>
                <w:szCs w:val="18"/>
              </w:rPr>
              <w:t xml:space="preserve">315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2,8</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4,1</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93,2</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27</w:t>
            </w:r>
            <w:r w:rsidRPr="00A30D1A">
              <w:rPr>
                <w:rFonts w:ascii="Times New Roman" w:eastAsia="Times New Roman" w:hAnsi="Times New Roman"/>
                <w:color w:val="000000"/>
                <w:sz w:val="18"/>
                <w:szCs w:val="18"/>
              </w:rPr>
              <w:t xml:space="preserve">580   </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2,5</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7,2</w:t>
            </w:r>
          </w:p>
        </w:tc>
        <w:tc>
          <w:tcPr>
            <w:tcW w:w="708"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90,3</w:t>
            </w:r>
          </w:p>
        </w:tc>
        <w:tc>
          <w:tcPr>
            <w:tcW w:w="851"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47 895   </w:t>
            </w:r>
          </w:p>
        </w:tc>
        <w:tc>
          <w:tcPr>
            <w:tcW w:w="709"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1,0</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1,2</w:t>
            </w:r>
          </w:p>
        </w:tc>
        <w:tc>
          <w:tcPr>
            <w:tcW w:w="567" w:type="dxa"/>
            <w:tcBorders>
              <w:top w:val="nil"/>
              <w:left w:val="nil"/>
              <w:bottom w:val="nil"/>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97,8</w:t>
            </w:r>
          </w:p>
        </w:tc>
        <w:tc>
          <w:tcPr>
            <w:tcW w:w="850" w:type="dxa"/>
            <w:tcBorders>
              <w:top w:val="nil"/>
              <w:left w:val="nil"/>
              <w:bottom w:val="nil"/>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24 989   </w:t>
            </w:r>
          </w:p>
        </w:tc>
      </w:tr>
      <w:tr w:rsidR="00A7608B" w:rsidRPr="00C668F1" w:rsidTr="00A7608B">
        <w:trPr>
          <w:trHeight w:val="397"/>
          <w:jc w:val="center"/>
        </w:trPr>
        <w:tc>
          <w:tcPr>
            <w:tcW w:w="2161" w:type="dxa"/>
            <w:tcBorders>
              <w:top w:val="nil"/>
              <w:left w:val="nil"/>
              <w:bottom w:val="single" w:sz="4" w:space="0" w:color="auto"/>
              <w:right w:val="nil"/>
            </w:tcBorders>
            <w:shd w:val="clear" w:color="auto" w:fill="DAEEF3" w:themeFill="accent5" w:themeFillTint="33"/>
            <w:vAlign w:val="center"/>
            <w:hideMark/>
          </w:tcPr>
          <w:p w:rsidR="00A7608B" w:rsidRPr="00C668F1" w:rsidRDefault="00A7608B" w:rsidP="00A7608B">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Autres services</w:t>
            </w:r>
          </w:p>
        </w:tc>
        <w:tc>
          <w:tcPr>
            <w:tcW w:w="675" w:type="dxa"/>
            <w:tcBorders>
              <w:top w:val="nil"/>
              <w:left w:val="nil"/>
              <w:bottom w:val="single" w:sz="4" w:space="0" w:color="auto"/>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40,0</w:t>
            </w:r>
          </w:p>
        </w:tc>
        <w:tc>
          <w:tcPr>
            <w:tcW w:w="567" w:type="dxa"/>
            <w:tcBorders>
              <w:top w:val="nil"/>
              <w:left w:val="nil"/>
              <w:bottom w:val="single" w:sz="4" w:space="0" w:color="auto"/>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15,3</w:t>
            </w:r>
          </w:p>
        </w:tc>
        <w:tc>
          <w:tcPr>
            <w:tcW w:w="709" w:type="dxa"/>
            <w:tcBorders>
              <w:top w:val="nil"/>
              <w:left w:val="nil"/>
              <w:bottom w:val="single" w:sz="4" w:space="0" w:color="auto"/>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44,6</w:t>
            </w:r>
          </w:p>
        </w:tc>
        <w:tc>
          <w:tcPr>
            <w:tcW w:w="850" w:type="dxa"/>
            <w:tcBorders>
              <w:top w:val="nil"/>
              <w:left w:val="nil"/>
              <w:bottom w:val="single" w:sz="4" w:space="0" w:color="auto"/>
              <w:right w:val="nil"/>
            </w:tcBorders>
            <w:shd w:val="clear" w:color="auto" w:fill="DAEEF3" w:themeFill="accent5" w:themeFillTint="33"/>
            <w:noWrap/>
            <w:vAlign w:val="center"/>
            <w:hideMark/>
          </w:tcPr>
          <w:p w:rsidR="00A7608B" w:rsidRPr="0081405C" w:rsidRDefault="00A7608B" w:rsidP="00A7608B">
            <w:pPr>
              <w:spacing w:line="240" w:lineRule="auto"/>
              <w:jc w:val="right"/>
              <w:rPr>
                <w:rFonts w:ascii="Times New Roman" w:eastAsia="Times New Roman" w:hAnsi="Times New Roman"/>
                <w:color w:val="000000"/>
                <w:sz w:val="18"/>
                <w:szCs w:val="18"/>
              </w:rPr>
            </w:pPr>
            <w:r w:rsidRPr="0081405C">
              <w:rPr>
                <w:rFonts w:ascii="Times New Roman" w:eastAsia="Times New Roman" w:hAnsi="Times New Roman"/>
                <w:color w:val="000000"/>
                <w:sz w:val="18"/>
                <w:szCs w:val="18"/>
              </w:rPr>
              <w:t xml:space="preserve">187003   </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38,0</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29,5</w:t>
            </w:r>
          </w:p>
        </w:tc>
        <w:tc>
          <w:tcPr>
            <w:tcW w:w="709"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32,5</w:t>
            </w:r>
          </w:p>
        </w:tc>
        <w:tc>
          <w:tcPr>
            <w:tcW w:w="850"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64</w:t>
            </w:r>
            <w:r w:rsidRPr="0081405C">
              <w:rPr>
                <w:rFonts w:ascii="Times New Roman" w:eastAsia="Times New Roman" w:hAnsi="Times New Roman"/>
                <w:color w:val="000000"/>
                <w:sz w:val="18"/>
                <w:szCs w:val="18"/>
              </w:rPr>
              <w:t xml:space="preserve">101  </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45,4</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10,7</w:t>
            </w:r>
          </w:p>
        </w:tc>
        <w:tc>
          <w:tcPr>
            <w:tcW w:w="709"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43,9</w:t>
            </w:r>
          </w:p>
        </w:tc>
        <w:tc>
          <w:tcPr>
            <w:tcW w:w="851" w:type="dxa"/>
            <w:tcBorders>
              <w:top w:val="nil"/>
              <w:left w:val="nil"/>
              <w:bottom w:val="single" w:sz="4" w:space="0" w:color="auto"/>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 74</w:t>
            </w:r>
            <w:r w:rsidRPr="00A30D1A">
              <w:rPr>
                <w:rFonts w:ascii="Times New Roman" w:eastAsia="Times New Roman" w:hAnsi="Times New Roman"/>
                <w:color w:val="000000"/>
                <w:sz w:val="18"/>
                <w:szCs w:val="18"/>
              </w:rPr>
              <w:t xml:space="preserve">713   </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42,0</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19,4</w:t>
            </w:r>
          </w:p>
        </w:tc>
        <w:tc>
          <w:tcPr>
            <w:tcW w:w="708"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38,7</w:t>
            </w:r>
          </w:p>
        </w:tc>
        <w:tc>
          <w:tcPr>
            <w:tcW w:w="851" w:type="dxa"/>
            <w:tcBorders>
              <w:top w:val="nil"/>
              <w:left w:val="nil"/>
              <w:bottom w:val="single" w:sz="4" w:space="0" w:color="auto"/>
              <w:right w:val="nil"/>
            </w:tcBorders>
            <w:shd w:val="clear" w:color="auto" w:fill="DAEEF3" w:themeFill="accent5" w:themeFillTint="33"/>
            <w:vAlign w:val="center"/>
          </w:tcPr>
          <w:p w:rsidR="00A7608B" w:rsidRPr="00A30D1A" w:rsidRDefault="00A7608B" w:rsidP="00A7608B">
            <w:pPr>
              <w:spacing w:line="240" w:lineRule="auto"/>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138 815   </w:t>
            </w:r>
          </w:p>
        </w:tc>
        <w:tc>
          <w:tcPr>
            <w:tcW w:w="709"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34,5</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3,6</w:t>
            </w:r>
          </w:p>
        </w:tc>
        <w:tc>
          <w:tcPr>
            <w:tcW w:w="567" w:type="dxa"/>
            <w:tcBorders>
              <w:top w:val="nil"/>
              <w:left w:val="nil"/>
              <w:bottom w:val="single" w:sz="4" w:space="0" w:color="auto"/>
              <w:right w:val="nil"/>
            </w:tcBorders>
            <w:shd w:val="clear" w:color="auto" w:fill="DAEEF3" w:themeFill="accent5" w:themeFillTint="33"/>
            <w:vAlign w:val="center"/>
          </w:tcPr>
          <w:p w:rsidR="00A7608B" w:rsidRPr="0081405C" w:rsidRDefault="00A7608B" w:rsidP="00A7608B">
            <w:pPr>
              <w:spacing w:line="240" w:lineRule="auto"/>
              <w:jc w:val="right"/>
              <w:rPr>
                <w:rFonts w:ascii="Times New Roman" w:eastAsia="Times New Roman" w:hAnsi="Times New Roman"/>
                <w:color w:val="000000"/>
                <w:sz w:val="20"/>
                <w:szCs w:val="20"/>
              </w:rPr>
            </w:pPr>
            <w:r w:rsidRPr="0081405C">
              <w:rPr>
                <w:rFonts w:ascii="Times New Roman" w:eastAsia="Times New Roman" w:hAnsi="Times New Roman"/>
                <w:color w:val="000000"/>
                <w:sz w:val="20"/>
                <w:szCs w:val="20"/>
              </w:rPr>
              <w:t>61,9</w:t>
            </w:r>
          </w:p>
        </w:tc>
        <w:tc>
          <w:tcPr>
            <w:tcW w:w="850" w:type="dxa"/>
            <w:tcBorders>
              <w:top w:val="nil"/>
              <w:left w:val="nil"/>
              <w:bottom w:val="single" w:sz="4" w:space="0" w:color="auto"/>
              <w:right w:val="nil"/>
            </w:tcBorders>
            <w:shd w:val="clear" w:color="auto" w:fill="DAEEF3" w:themeFill="accent5" w:themeFillTint="33"/>
            <w:vAlign w:val="center"/>
          </w:tcPr>
          <w:p w:rsidR="00A7608B" w:rsidRPr="00A30D1A" w:rsidRDefault="00A7608B" w:rsidP="00A7608B">
            <w:pPr>
              <w:spacing w:line="240" w:lineRule="auto"/>
              <w:jc w:val="right"/>
              <w:rPr>
                <w:rFonts w:ascii="Times New Roman" w:eastAsia="Times New Roman" w:hAnsi="Times New Roman"/>
                <w:color w:val="000000"/>
                <w:sz w:val="18"/>
                <w:szCs w:val="18"/>
              </w:rPr>
            </w:pPr>
            <w:r w:rsidRPr="00A30D1A">
              <w:rPr>
                <w:rFonts w:ascii="Times New Roman" w:eastAsia="Times New Roman" w:hAnsi="Times New Roman"/>
                <w:color w:val="000000"/>
                <w:sz w:val="18"/>
                <w:szCs w:val="18"/>
              </w:rPr>
              <w:t xml:space="preserve">  48 189   </w:t>
            </w:r>
          </w:p>
        </w:tc>
      </w:tr>
      <w:tr w:rsidR="00A7608B" w:rsidRPr="00C668F1" w:rsidTr="00A7608B">
        <w:trPr>
          <w:trHeight w:val="397"/>
          <w:jc w:val="center"/>
        </w:trPr>
        <w:tc>
          <w:tcPr>
            <w:tcW w:w="2161" w:type="dxa"/>
            <w:tcBorders>
              <w:top w:val="single" w:sz="4" w:space="0" w:color="auto"/>
              <w:left w:val="nil"/>
              <w:bottom w:val="double" w:sz="4" w:space="0" w:color="auto"/>
              <w:right w:val="nil"/>
            </w:tcBorders>
            <w:shd w:val="clear" w:color="auto" w:fill="DAEEF3" w:themeFill="accent5" w:themeFillTint="33"/>
            <w:vAlign w:val="center"/>
            <w:hideMark/>
          </w:tcPr>
          <w:p w:rsidR="00A7608B" w:rsidRPr="00A7608B" w:rsidRDefault="00A7608B" w:rsidP="00A7608B">
            <w:pPr>
              <w:spacing w:line="240" w:lineRule="auto"/>
              <w:jc w:val="left"/>
              <w:rPr>
                <w:rFonts w:ascii="Times New Roman" w:eastAsia="Times New Roman" w:hAnsi="Times New Roman"/>
                <w:b/>
                <w:bCs/>
                <w:color w:val="000000"/>
              </w:rPr>
            </w:pPr>
            <w:r w:rsidRPr="00A7608B">
              <w:rPr>
                <w:rFonts w:ascii="Times New Roman" w:eastAsia="Times New Roman" w:hAnsi="Times New Roman"/>
                <w:b/>
                <w:bCs/>
                <w:color w:val="000000"/>
              </w:rPr>
              <w:t>Total</w:t>
            </w:r>
          </w:p>
        </w:tc>
        <w:tc>
          <w:tcPr>
            <w:tcW w:w="675" w:type="dxa"/>
            <w:tcBorders>
              <w:top w:val="single" w:sz="4" w:space="0" w:color="auto"/>
              <w:left w:val="nil"/>
              <w:bottom w:val="double" w:sz="4" w:space="0" w:color="auto"/>
              <w:right w:val="nil"/>
            </w:tcBorders>
            <w:shd w:val="clear" w:color="auto" w:fill="DAEEF3" w:themeFill="accent5" w:themeFillTint="33"/>
            <w:noWrap/>
            <w:vAlign w:val="center"/>
            <w:hideMark/>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3,9</w:t>
            </w:r>
          </w:p>
        </w:tc>
        <w:tc>
          <w:tcPr>
            <w:tcW w:w="567" w:type="dxa"/>
            <w:tcBorders>
              <w:top w:val="single" w:sz="4" w:space="0" w:color="auto"/>
              <w:left w:val="nil"/>
              <w:bottom w:val="double" w:sz="4" w:space="0" w:color="auto"/>
              <w:right w:val="nil"/>
            </w:tcBorders>
            <w:shd w:val="clear" w:color="auto" w:fill="DAEEF3" w:themeFill="accent5" w:themeFillTint="33"/>
            <w:noWrap/>
            <w:vAlign w:val="center"/>
            <w:hideMark/>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3,2</w:t>
            </w:r>
          </w:p>
        </w:tc>
        <w:tc>
          <w:tcPr>
            <w:tcW w:w="709" w:type="dxa"/>
            <w:tcBorders>
              <w:top w:val="single" w:sz="4" w:space="0" w:color="auto"/>
              <w:left w:val="nil"/>
              <w:bottom w:val="double" w:sz="4" w:space="0" w:color="auto"/>
              <w:right w:val="nil"/>
            </w:tcBorders>
            <w:shd w:val="clear" w:color="auto" w:fill="DAEEF3" w:themeFill="accent5" w:themeFillTint="33"/>
            <w:noWrap/>
            <w:vAlign w:val="center"/>
            <w:hideMark/>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92,9</w:t>
            </w:r>
          </w:p>
        </w:tc>
        <w:tc>
          <w:tcPr>
            <w:tcW w:w="850" w:type="dxa"/>
            <w:tcBorders>
              <w:top w:val="single" w:sz="4" w:space="0" w:color="auto"/>
              <w:left w:val="nil"/>
              <w:bottom w:val="double" w:sz="4" w:space="0" w:color="auto"/>
              <w:right w:val="nil"/>
            </w:tcBorders>
            <w:shd w:val="clear" w:color="auto" w:fill="DAEEF3" w:themeFill="accent5" w:themeFillTint="33"/>
            <w:noWrap/>
            <w:vAlign w:val="center"/>
            <w:hideMark/>
          </w:tcPr>
          <w:p w:rsidR="00A7608B" w:rsidRPr="00A7608B" w:rsidRDefault="00A7608B" w:rsidP="00A7608B">
            <w:pPr>
              <w:spacing w:line="240" w:lineRule="auto"/>
              <w:jc w:val="right"/>
              <w:rPr>
                <w:rFonts w:ascii="Times New Roman" w:hAnsi="Times New Roman"/>
                <w:b/>
                <w:bCs/>
                <w:color w:val="000000"/>
                <w:sz w:val="18"/>
                <w:szCs w:val="18"/>
              </w:rPr>
            </w:pPr>
            <w:r w:rsidRPr="00A7608B">
              <w:rPr>
                <w:rFonts w:ascii="Times New Roman" w:hAnsi="Times New Roman"/>
                <w:b/>
                <w:bCs/>
                <w:color w:val="000000"/>
                <w:sz w:val="18"/>
                <w:szCs w:val="18"/>
              </w:rPr>
              <w:t xml:space="preserve">2623398   </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9,0</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16,3</w:t>
            </w:r>
          </w:p>
        </w:tc>
        <w:tc>
          <w:tcPr>
            <w:tcW w:w="709"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74,7</w:t>
            </w:r>
          </w:p>
        </w:tc>
        <w:tc>
          <w:tcPr>
            <w:tcW w:w="850"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hAnsi="Times New Roman"/>
                <w:b/>
                <w:bCs/>
                <w:color w:val="000000"/>
                <w:sz w:val="18"/>
                <w:szCs w:val="18"/>
              </w:rPr>
            </w:pPr>
            <w:r w:rsidRPr="00A7608B">
              <w:rPr>
                <w:rFonts w:ascii="Times New Roman" w:hAnsi="Times New Roman"/>
                <w:b/>
                <w:bCs/>
                <w:color w:val="000000"/>
                <w:sz w:val="18"/>
                <w:szCs w:val="18"/>
              </w:rPr>
              <w:t xml:space="preserve"> 343386   </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5,8</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2,9</w:t>
            </w:r>
          </w:p>
        </w:tc>
        <w:tc>
          <w:tcPr>
            <w:tcW w:w="709"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91,3</w:t>
            </w:r>
          </w:p>
        </w:tc>
        <w:tc>
          <w:tcPr>
            <w:tcW w:w="851"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hAnsi="Times New Roman"/>
                <w:b/>
                <w:bCs/>
                <w:color w:val="000000"/>
                <w:sz w:val="18"/>
                <w:szCs w:val="18"/>
              </w:rPr>
            </w:pPr>
            <w:r w:rsidRPr="00A7608B">
              <w:rPr>
                <w:rFonts w:ascii="Times New Roman" w:hAnsi="Times New Roman"/>
                <w:b/>
                <w:bCs/>
                <w:color w:val="000000"/>
                <w:sz w:val="18"/>
                <w:szCs w:val="18"/>
              </w:rPr>
              <w:t xml:space="preserve"> 758937   </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6,8</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7,0</w:t>
            </w:r>
          </w:p>
        </w:tc>
        <w:tc>
          <w:tcPr>
            <w:tcW w:w="708"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86,1</w:t>
            </w:r>
          </w:p>
        </w:tc>
        <w:tc>
          <w:tcPr>
            <w:tcW w:w="851"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hAnsi="Times New Roman"/>
                <w:b/>
                <w:bCs/>
                <w:color w:val="000000"/>
                <w:sz w:val="18"/>
                <w:szCs w:val="18"/>
              </w:rPr>
            </w:pPr>
            <w:r w:rsidRPr="00A7608B">
              <w:rPr>
                <w:rFonts w:ascii="Times New Roman" w:hAnsi="Times New Roman"/>
                <w:b/>
                <w:bCs/>
                <w:color w:val="000000"/>
                <w:sz w:val="18"/>
                <w:szCs w:val="18"/>
              </w:rPr>
              <w:t xml:space="preserve">1102323   </w:t>
            </w:r>
          </w:p>
        </w:tc>
        <w:tc>
          <w:tcPr>
            <w:tcW w:w="709"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1,7</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0,5</w:t>
            </w:r>
          </w:p>
        </w:tc>
        <w:tc>
          <w:tcPr>
            <w:tcW w:w="567" w:type="dxa"/>
            <w:tcBorders>
              <w:top w:val="single" w:sz="4" w:space="0" w:color="auto"/>
              <w:left w:val="nil"/>
              <w:bottom w:val="double" w:sz="4" w:space="0" w:color="auto"/>
              <w:right w:val="nil"/>
            </w:tcBorders>
            <w:shd w:val="clear" w:color="auto" w:fill="DAEEF3" w:themeFill="accent5" w:themeFillTint="33"/>
            <w:vAlign w:val="center"/>
          </w:tcPr>
          <w:p w:rsidR="00A7608B" w:rsidRPr="00A7608B" w:rsidRDefault="00A7608B" w:rsidP="00A7608B">
            <w:pPr>
              <w:spacing w:line="240" w:lineRule="auto"/>
              <w:jc w:val="right"/>
              <w:rPr>
                <w:rFonts w:ascii="Times New Roman" w:eastAsia="Times New Roman" w:hAnsi="Times New Roman"/>
                <w:b/>
                <w:bCs/>
                <w:color w:val="000000"/>
                <w:sz w:val="20"/>
                <w:szCs w:val="20"/>
              </w:rPr>
            </w:pPr>
            <w:r w:rsidRPr="00A7608B">
              <w:rPr>
                <w:rFonts w:ascii="Times New Roman" w:eastAsia="Times New Roman" w:hAnsi="Times New Roman"/>
                <w:b/>
                <w:bCs/>
                <w:color w:val="000000"/>
                <w:sz w:val="20"/>
                <w:szCs w:val="20"/>
              </w:rPr>
              <w:t>97,8</w:t>
            </w:r>
          </w:p>
        </w:tc>
        <w:tc>
          <w:tcPr>
            <w:tcW w:w="850" w:type="dxa"/>
            <w:tcBorders>
              <w:top w:val="single" w:sz="4" w:space="0" w:color="auto"/>
              <w:left w:val="nil"/>
              <w:bottom w:val="double" w:sz="4" w:space="0" w:color="auto"/>
              <w:right w:val="nil"/>
            </w:tcBorders>
            <w:shd w:val="clear" w:color="auto" w:fill="DAEEF3" w:themeFill="accent5" w:themeFillTint="33"/>
            <w:vAlign w:val="center"/>
          </w:tcPr>
          <w:p w:rsidR="00A7608B" w:rsidRPr="00A30D1A" w:rsidRDefault="00A7608B" w:rsidP="00A7608B">
            <w:pPr>
              <w:spacing w:line="240" w:lineRule="auto"/>
              <w:rPr>
                <w:rFonts w:ascii="Times New Roman" w:hAnsi="Times New Roman"/>
                <w:b/>
                <w:bCs/>
                <w:color w:val="000000"/>
                <w:sz w:val="18"/>
                <w:szCs w:val="18"/>
              </w:rPr>
            </w:pPr>
            <w:r w:rsidRPr="00A7608B">
              <w:rPr>
                <w:rFonts w:ascii="Times New Roman" w:hAnsi="Times New Roman"/>
                <w:b/>
                <w:bCs/>
                <w:color w:val="000000"/>
                <w:sz w:val="18"/>
                <w:szCs w:val="18"/>
              </w:rPr>
              <w:t>1521075</w:t>
            </w:r>
          </w:p>
        </w:tc>
      </w:tr>
      <w:tr w:rsidR="00A7608B" w:rsidRPr="00C668F1" w:rsidTr="00A7608B">
        <w:trPr>
          <w:trHeight w:val="397"/>
          <w:jc w:val="center"/>
        </w:trPr>
        <w:tc>
          <w:tcPr>
            <w:tcW w:w="15735" w:type="dxa"/>
            <w:gridSpan w:val="21"/>
            <w:tcBorders>
              <w:top w:val="double" w:sz="4" w:space="0" w:color="auto"/>
              <w:left w:val="nil"/>
              <w:right w:val="nil"/>
            </w:tcBorders>
            <w:shd w:val="clear" w:color="auto" w:fill="DAEEF3" w:themeFill="accent5" w:themeFillTint="33"/>
            <w:vAlign w:val="center"/>
            <w:hideMark/>
          </w:tcPr>
          <w:p w:rsidR="00A7608B" w:rsidRPr="00C668F1" w:rsidRDefault="00A7608B" w:rsidP="00A7608B">
            <w:pPr>
              <w:rPr>
                <w:rFonts w:ascii="Times New Roman" w:hAnsi="Times New Roman"/>
              </w:rPr>
            </w:pPr>
            <w:r w:rsidRPr="002B220C">
              <w:rPr>
                <w:rFonts w:ascii="Times New Roman" w:hAnsi="Times New Roman"/>
                <w:sz w:val="20"/>
                <w:szCs w:val="20"/>
              </w:rPr>
              <w:t xml:space="preserve">Source : </w:t>
            </w:r>
            <w:r>
              <w:rPr>
                <w:rFonts w:ascii="Times New Roman" w:hAnsi="Times New Roman"/>
                <w:sz w:val="20"/>
                <w:szCs w:val="20"/>
              </w:rPr>
              <w:t>INSAE, EMICoV 2010</w:t>
            </w:r>
          </w:p>
          <w:p w:rsidR="00A7608B" w:rsidRPr="007D49E2" w:rsidRDefault="00A7608B" w:rsidP="00A7608B">
            <w:pPr>
              <w:rPr>
                <w:rFonts w:ascii="Times New Roman" w:eastAsia="Times New Roman" w:hAnsi="Times New Roman"/>
                <w:bCs/>
                <w:sz w:val="20"/>
                <w:szCs w:val="20"/>
                <w:lang w:val="en-US"/>
              </w:rPr>
            </w:pPr>
            <w:r w:rsidRPr="007D49E2">
              <w:rPr>
                <w:rFonts w:ascii="Times New Roman" w:hAnsi="Times New Roman"/>
                <w:sz w:val="20"/>
                <w:szCs w:val="20"/>
                <w:lang w:val="en-US"/>
              </w:rPr>
              <w:t xml:space="preserve">NB:  </w:t>
            </w:r>
            <w:r w:rsidRPr="007D49E2">
              <w:rPr>
                <w:rFonts w:ascii="Times New Roman" w:eastAsia="Times New Roman" w:hAnsi="Times New Roman"/>
                <w:bCs/>
                <w:sz w:val="20"/>
                <w:szCs w:val="20"/>
                <w:lang w:val="en-US"/>
              </w:rPr>
              <w:t>Publ=Public;   Priv. form= Privé</w:t>
            </w:r>
            <w:r w:rsidR="009920CB">
              <w:rPr>
                <w:rFonts w:ascii="Times New Roman" w:eastAsia="Times New Roman" w:hAnsi="Times New Roman"/>
                <w:bCs/>
                <w:sz w:val="20"/>
                <w:szCs w:val="20"/>
                <w:lang w:val="en-US"/>
              </w:rPr>
              <w:t xml:space="preserve"> </w:t>
            </w:r>
            <w:r w:rsidRPr="007D49E2">
              <w:rPr>
                <w:rFonts w:ascii="Times New Roman" w:eastAsia="Times New Roman" w:hAnsi="Times New Roman"/>
                <w:bCs/>
                <w:sz w:val="20"/>
                <w:szCs w:val="20"/>
                <w:lang w:val="en-US"/>
              </w:rPr>
              <w:t>formel ;  Priv. inform=Privé</w:t>
            </w:r>
            <w:r w:rsidR="009920CB">
              <w:rPr>
                <w:rFonts w:ascii="Times New Roman" w:eastAsia="Times New Roman" w:hAnsi="Times New Roman"/>
                <w:bCs/>
                <w:sz w:val="20"/>
                <w:szCs w:val="20"/>
                <w:lang w:val="en-US"/>
              </w:rPr>
              <w:t xml:space="preserve"> </w:t>
            </w:r>
            <w:r w:rsidRPr="007D49E2">
              <w:rPr>
                <w:rFonts w:ascii="Times New Roman" w:eastAsia="Times New Roman" w:hAnsi="Times New Roman"/>
                <w:bCs/>
                <w:sz w:val="20"/>
                <w:szCs w:val="20"/>
                <w:lang w:val="en-US"/>
              </w:rPr>
              <w:t>informel.</w:t>
            </w:r>
          </w:p>
        </w:tc>
      </w:tr>
    </w:tbl>
    <w:p w:rsidR="00A7608B" w:rsidRDefault="00A7608B" w:rsidP="00A7608B">
      <w:pPr>
        <w:rPr>
          <w:rFonts w:ascii="Times New Roman" w:hAnsi="Times New Roman"/>
          <w:sz w:val="20"/>
          <w:szCs w:val="20"/>
        </w:rPr>
      </w:pPr>
    </w:p>
    <w:p w:rsidR="00A7608B" w:rsidRDefault="00A7608B" w:rsidP="00401A60">
      <w:pPr>
        <w:pStyle w:val="Titre2"/>
        <w:rPr>
          <w:rFonts w:ascii="Times New Roman" w:hAnsi="Times New Roman" w:cs="Times New Roman"/>
          <w:i w:val="0"/>
        </w:rPr>
        <w:sectPr w:rsidR="00A7608B" w:rsidSect="00A7608B">
          <w:pgSz w:w="16838" w:h="11906" w:orient="landscape"/>
          <w:pgMar w:top="1418" w:right="1219" w:bottom="1418" w:left="1418" w:header="284" w:footer="709" w:gutter="0"/>
          <w:cols w:space="708"/>
          <w:docGrid w:linePitch="360"/>
        </w:sectPr>
      </w:pPr>
    </w:p>
    <w:p w:rsidR="00401A60" w:rsidRDefault="00401A60" w:rsidP="00401A60">
      <w:pPr>
        <w:spacing w:line="276" w:lineRule="auto"/>
        <w:rPr>
          <w:rFonts w:ascii="Times New Roman" w:hAnsi="Times New Roman"/>
          <w:sz w:val="24"/>
          <w:szCs w:val="24"/>
        </w:rPr>
      </w:pPr>
      <w:r w:rsidRPr="00F06596">
        <w:rPr>
          <w:rFonts w:ascii="Times New Roman" w:hAnsi="Times New Roman"/>
          <w:sz w:val="24"/>
          <w:szCs w:val="24"/>
        </w:rPr>
        <w:t xml:space="preserve">Pour déterminer les individus sans travail, il est posé à chaque personne en âge de travailler la question suivante : Avez-vous travaillé pendant au moins une heure au cours de la semaine dernière ? </w:t>
      </w:r>
    </w:p>
    <w:p w:rsidR="00401A60" w:rsidRPr="00472470" w:rsidRDefault="00401A60" w:rsidP="00F305E5">
      <w:pPr>
        <w:spacing w:line="240"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sidRPr="00F06596">
        <w:rPr>
          <w:rFonts w:ascii="Times New Roman" w:hAnsi="Times New Roman"/>
          <w:sz w:val="24"/>
          <w:szCs w:val="24"/>
        </w:rPr>
        <w:t>En appliquant cette définition dans un pays où 60% de la population est dans le secteur agricole et où le secteur informel représente plus de 95% de l’économie</w:t>
      </w:r>
      <w:r>
        <w:rPr>
          <w:rFonts w:ascii="Times New Roman" w:hAnsi="Times New Roman"/>
          <w:sz w:val="24"/>
          <w:szCs w:val="24"/>
        </w:rPr>
        <w:t xml:space="preserve">, </w:t>
      </w:r>
      <w:r w:rsidRPr="00F06596">
        <w:rPr>
          <w:rFonts w:ascii="Times New Roman" w:hAnsi="Times New Roman"/>
          <w:sz w:val="24"/>
          <w:szCs w:val="24"/>
        </w:rPr>
        <w:t>on se retrouve avec un ta</w:t>
      </w:r>
      <w:r w:rsidR="008A7EA9">
        <w:rPr>
          <w:rFonts w:ascii="Times New Roman" w:hAnsi="Times New Roman"/>
          <w:sz w:val="24"/>
          <w:szCs w:val="24"/>
        </w:rPr>
        <w:t>ux de chômage  quasi-nul car,</w:t>
      </w:r>
      <w:r w:rsidR="009920CB">
        <w:rPr>
          <w:rFonts w:ascii="Times New Roman" w:hAnsi="Times New Roman"/>
          <w:sz w:val="24"/>
          <w:szCs w:val="24"/>
        </w:rPr>
        <w:t xml:space="preserve"> </w:t>
      </w:r>
      <w:r w:rsidR="008A7EA9">
        <w:rPr>
          <w:rFonts w:ascii="Times New Roman" w:hAnsi="Times New Roman"/>
          <w:sz w:val="24"/>
          <w:szCs w:val="24"/>
        </w:rPr>
        <w:t>e</w:t>
      </w:r>
      <w:r w:rsidRPr="00F06596">
        <w:rPr>
          <w:rFonts w:ascii="Times New Roman" w:hAnsi="Times New Roman"/>
          <w:sz w:val="24"/>
          <w:szCs w:val="24"/>
        </w:rPr>
        <w:t>n raison de la prédominance du secteur primaire, presque la totalité de tous les paysans sont allés au champ au moins une fois au cours de la semaine et/ou ont travaillé au moins une heure. Les autres individus qui sont dans le secteur non agricole, ont quant à eux une activité informelle qui les a  occupés pendant au moins une heure au cours de la semaine de référence. Finalement, presque toutes les personnes en âge de travailler ont fait « quelque chose » pendant au moins une heure au cours de la semaine de référence.</w:t>
      </w:r>
    </w:p>
    <w:p w:rsidR="009240AE" w:rsidRPr="00F06596" w:rsidRDefault="009240AE" w:rsidP="00F305E5">
      <w:pPr>
        <w:spacing w:line="240" w:lineRule="auto"/>
        <w:rPr>
          <w:rFonts w:ascii="Times New Roman" w:hAnsi="Times New Roman"/>
          <w:sz w:val="24"/>
          <w:szCs w:val="24"/>
        </w:rPr>
      </w:pPr>
    </w:p>
    <w:p w:rsidR="00401A60" w:rsidRPr="009240AE" w:rsidRDefault="009E3D3A" w:rsidP="009240AE">
      <w:pPr>
        <w:pStyle w:val="Titre2"/>
        <w:spacing w:before="120" w:after="0" w:line="240" w:lineRule="auto"/>
        <w:rPr>
          <w:rFonts w:ascii="Times New Roman" w:hAnsi="Times New Roman" w:cs="Times New Roman"/>
          <w:i w:val="0"/>
          <w:color w:val="31849B" w:themeColor="accent5" w:themeShade="BF"/>
        </w:rPr>
      </w:pPr>
      <w:bookmarkStart w:id="170" w:name="_Toc382322949"/>
      <w:r w:rsidRPr="009240AE">
        <w:rPr>
          <w:rFonts w:ascii="Times New Roman" w:hAnsi="Times New Roman" w:cs="Times New Roman"/>
          <w:i w:val="0"/>
          <w:color w:val="31849B" w:themeColor="accent5" w:themeShade="BF"/>
        </w:rPr>
        <w:t>5</w:t>
      </w:r>
      <w:r w:rsidR="00401A60" w:rsidRPr="009240AE">
        <w:rPr>
          <w:rFonts w:ascii="Times New Roman" w:hAnsi="Times New Roman" w:cs="Times New Roman"/>
          <w:i w:val="0"/>
          <w:color w:val="31849B" w:themeColor="accent5" w:themeShade="BF"/>
        </w:rPr>
        <w:t>.5</w:t>
      </w:r>
      <w:r w:rsidR="009920CB">
        <w:rPr>
          <w:rFonts w:ascii="Times New Roman" w:hAnsi="Times New Roman" w:cs="Times New Roman"/>
          <w:i w:val="0"/>
          <w:color w:val="31849B" w:themeColor="accent5" w:themeShade="BF"/>
        </w:rPr>
        <w:t xml:space="preserve"> </w:t>
      </w:r>
      <w:r w:rsidR="00F305E5">
        <w:rPr>
          <w:rFonts w:ascii="Times New Roman" w:hAnsi="Times New Roman" w:cs="Times New Roman"/>
          <w:i w:val="0"/>
          <w:color w:val="31849B" w:themeColor="accent5" w:themeShade="BF"/>
        </w:rPr>
        <w:t>Niveau du chômage  et du s</w:t>
      </w:r>
      <w:r w:rsidR="00401A60" w:rsidRPr="009240AE">
        <w:rPr>
          <w:rFonts w:ascii="Times New Roman" w:hAnsi="Times New Roman" w:cs="Times New Roman"/>
          <w:i w:val="0"/>
          <w:color w:val="31849B" w:themeColor="accent5" w:themeShade="BF"/>
        </w:rPr>
        <w:t>ous-emploi</w:t>
      </w:r>
      <w:r w:rsidR="00401A60" w:rsidRPr="009240AE">
        <w:rPr>
          <w:rStyle w:val="Appelnotedebasdep"/>
          <w:rFonts w:ascii="Times New Roman" w:hAnsi="Times New Roman" w:cs="Times New Roman"/>
          <w:i w:val="0"/>
          <w:color w:val="31849B" w:themeColor="accent5" w:themeShade="BF"/>
        </w:rPr>
        <w:footnoteReference w:id="84"/>
      </w:r>
      <w:bookmarkEnd w:id="170"/>
    </w:p>
    <w:p w:rsidR="009240AE" w:rsidRDefault="009240AE" w:rsidP="00F305E5">
      <w:pPr>
        <w:spacing w:line="240" w:lineRule="auto"/>
        <w:rPr>
          <w:rFonts w:ascii="Times New Roman" w:hAnsi="Times New Roman"/>
          <w:sz w:val="24"/>
          <w:szCs w:val="24"/>
        </w:rPr>
      </w:pPr>
    </w:p>
    <w:p w:rsidR="00DD3BD8" w:rsidRDefault="00401A60" w:rsidP="00401A60">
      <w:pPr>
        <w:spacing w:line="276" w:lineRule="auto"/>
        <w:rPr>
          <w:rFonts w:ascii="Times New Roman" w:hAnsi="Times New Roman"/>
          <w:sz w:val="24"/>
          <w:szCs w:val="24"/>
        </w:rPr>
      </w:pPr>
      <w:r w:rsidRPr="00F06596">
        <w:rPr>
          <w:rFonts w:ascii="Times New Roman" w:hAnsi="Times New Roman"/>
          <w:sz w:val="24"/>
          <w:szCs w:val="24"/>
        </w:rPr>
        <w:t xml:space="preserve">En réalité, compte tenu de la prépondérance du secteur agricole et de l’économie informelle, le véritable problème du marché du travail au Bénin, c’est moins le chômage mais plutôt le sous-emploi. </w:t>
      </w:r>
    </w:p>
    <w:p w:rsidR="00472470" w:rsidRDefault="00472470" w:rsidP="00401A60">
      <w:pPr>
        <w:spacing w:line="276" w:lineRule="auto"/>
        <w:rPr>
          <w:rFonts w:ascii="Times New Roman" w:hAnsi="Times New Roman"/>
          <w:sz w:val="24"/>
          <w:szCs w:val="24"/>
        </w:rPr>
      </w:pPr>
    </w:p>
    <w:tbl>
      <w:tblPr>
        <w:tblW w:w="8578" w:type="dxa"/>
        <w:tblInd w:w="93" w:type="dxa"/>
        <w:tblLook w:val="04A0" w:firstRow="1" w:lastRow="0" w:firstColumn="1" w:lastColumn="0" w:noHBand="0" w:noVBand="1"/>
      </w:tblPr>
      <w:tblGrid>
        <w:gridCol w:w="2161"/>
        <w:gridCol w:w="2000"/>
        <w:gridCol w:w="838"/>
        <w:gridCol w:w="2000"/>
        <w:gridCol w:w="1579"/>
      </w:tblGrid>
      <w:tr w:rsidR="009B5A09" w:rsidRPr="009B5A09" w:rsidTr="009B5A09">
        <w:trPr>
          <w:trHeight w:val="562"/>
          <w:tblHeader/>
        </w:trPr>
        <w:tc>
          <w:tcPr>
            <w:tcW w:w="8578" w:type="dxa"/>
            <w:gridSpan w:val="5"/>
            <w:tcBorders>
              <w:left w:val="nil"/>
              <w:bottom w:val="double" w:sz="4" w:space="0" w:color="auto"/>
              <w:right w:val="nil"/>
            </w:tcBorders>
            <w:shd w:val="clear" w:color="auto" w:fill="92CDDC" w:themeFill="accent5" w:themeFillTint="99"/>
            <w:hideMark/>
          </w:tcPr>
          <w:p w:rsidR="009B5A09" w:rsidRPr="009B5A09" w:rsidRDefault="009B5A09" w:rsidP="009B5A09">
            <w:pPr>
              <w:spacing w:line="240" w:lineRule="auto"/>
              <w:jc w:val="left"/>
              <w:rPr>
                <w:rFonts w:ascii="Times New Roman" w:eastAsia="Times New Roman" w:hAnsi="Times New Roman"/>
                <w:sz w:val="24"/>
                <w:szCs w:val="24"/>
              </w:rPr>
            </w:pPr>
            <w:bookmarkStart w:id="171" w:name="_Toc369714522"/>
            <w:bookmarkStart w:id="172" w:name="_Toc373430447"/>
            <w:r w:rsidRPr="009B5A09">
              <w:rPr>
                <w:rFonts w:ascii="Times New Roman" w:hAnsi="Times New Roman"/>
                <w:sz w:val="24"/>
                <w:szCs w:val="24"/>
              </w:rPr>
              <w:t xml:space="preserve">Tableau 5. </w:t>
            </w:r>
            <w:r w:rsidR="00182C97" w:rsidRPr="009B5A09">
              <w:rPr>
                <w:rFonts w:ascii="Times New Roman" w:hAnsi="Times New Roman"/>
                <w:sz w:val="24"/>
                <w:szCs w:val="24"/>
              </w:rPr>
              <w:fldChar w:fldCharType="begin"/>
            </w:r>
            <w:r w:rsidRPr="009B5A09">
              <w:rPr>
                <w:rFonts w:ascii="Times New Roman" w:hAnsi="Times New Roman"/>
                <w:sz w:val="24"/>
                <w:szCs w:val="24"/>
              </w:rPr>
              <w:instrText xml:space="preserve"> SEQ Tableau_5. \* ARABIC </w:instrText>
            </w:r>
            <w:r w:rsidR="00182C97" w:rsidRPr="009B5A09">
              <w:rPr>
                <w:rFonts w:ascii="Times New Roman" w:hAnsi="Times New Roman"/>
                <w:sz w:val="24"/>
                <w:szCs w:val="24"/>
              </w:rPr>
              <w:fldChar w:fldCharType="separate"/>
            </w:r>
            <w:r w:rsidR="00AB1967">
              <w:rPr>
                <w:rFonts w:ascii="Times New Roman" w:hAnsi="Times New Roman"/>
                <w:noProof/>
                <w:sz w:val="24"/>
                <w:szCs w:val="24"/>
              </w:rPr>
              <w:t>8</w:t>
            </w:r>
            <w:r w:rsidR="00182C97" w:rsidRPr="009B5A09">
              <w:rPr>
                <w:rFonts w:ascii="Times New Roman" w:hAnsi="Times New Roman"/>
                <w:sz w:val="24"/>
                <w:szCs w:val="24"/>
              </w:rPr>
              <w:fldChar w:fldCharType="end"/>
            </w:r>
            <w:r w:rsidRPr="009B5A09">
              <w:rPr>
                <w:rFonts w:ascii="Times New Roman" w:hAnsi="Times New Roman"/>
                <w:sz w:val="24"/>
                <w:szCs w:val="24"/>
              </w:rPr>
              <w:t>: Taux de chômage selon le sexe, l’âge et le niveau d’instruction au Bénin en 2010</w:t>
            </w:r>
            <w:bookmarkEnd w:id="171"/>
            <w:bookmarkEnd w:id="172"/>
          </w:p>
        </w:tc>
      </w:tr>
      <w:tr w:rsidR="00A7608B" w:rsidRPr="00C668F1" w:rsidTr="009B5A09">
        <w:trPr>
          <w:trHeight w:val="788"/>
          <w:tblHeader/>
        </w:trPr>
        <w:tc>
          <w:tcPr>
            <w:tcW w:w="2161" w:type="dxa"/>
            <w:tcBorders>
              <w:top w:val="double" w:sz="4" w:space="0" w:color="auto"/>
              <w:left w:val="nil"/>
              <w:bottom w:val="nil"/>
              <w:right w:val="nil"/>
            </w:tcBorders>
            <w:shd w:val="clear" w:color="auto" w:fill="DAEEF3" w:themeFill="accent5" w:themeFillTint="33"/>
            <w:hideMark/>
          </w:tcPr>
          <w:p w:rsidR="00A7608B" w:rsidRPr="00C668F1" w:rsidRDefault="00A7608B" w:rsidP="00A7608B">
            <w:pPr>
              <w:spacing w:line="240" w:lineRule="auto"/>
              <w:jc w:val="center"/>
              <w:rPr>
                <w:rFonts w:ascii="Times New Roman" w:eastAsia="Times New Roman" w:hAnsi="Times New Roman"/>
              </w:rPr>
            </w:pPr>
          </w:p>
        </w:tc>
        <w:tc>
          <w:tcPr>
            <w:tcW w:w="2838" w:type="dxa"/>
            <w:gridSpan w:val="2"/>
            <w:tcBorders>
              <w:top w:val="double" w:sz="4" w:space="0" w:color="auto"/>
              <w:left w:val="nil"/>
              <w:bottom w:val="single" w:sz="4" w:space="0" w:color="auto"/>
              <w:right w:val="nil"/>
            </w:tcBorders>
            <w:shd w:val="clear" w:color="auto" w:fill="DAEEF3" w:themeFill="accent5" w:themeFillTint="33"/>
            <w:hideMark/>
          </w:tcPr>
          <w:p w:rsidR="00A7608B" w:rsidRPr="00C668F1" w:rsidRDefault="00A7608B" w:rsidP="00A7608B">
            <w:pPr>
              <w:spacing w:line="240" w:lineRule="auto"/>
              <w:jc w:val="center"/>
              <w:rPr>
                <w:rFonts w:ascii="Times New Roman" w:eastAsia="Times New Roman" w:hAnsi="Times New Roman"/>
              </w:rPr>
            </w:pPr>
            <w:r w:rsidRPr="00C668F1">
              <w:rPr>
                <w:rFonts w:ascii="Times New Roman" w:eastAsia="Times New Roman" w:hAnsi="Times New Roman"/>
              </w:rPr>
              <w:t>Taux de chômage au sens strict (chômage BIT)</w:t>
            </w:r>
          </w:p>
        </w:tc>
        <w:tc>
          <w:tcPr>
            <w:tcW w:w="3579" w:type="dxa"/>
            <w:gridSpan w:val="2"/>
            <w:tcBorders>
              <w:top w:val="double" w:sz="4" w:space="0" w:color="auto"/>
              <w:left w:val="nil"/>
              <w:bottom w:val="single" w:sz="4" w:space="0" w:color="auto"/>
              <w:right w:val="nil"/>
            </w:tcBorders>
            <w:shd w:val="clear" w:color="auto" w:fill="DAEEF3" w:themeFill="accent5" w:themeFillTint="33"/>
            <w:hideMark/>
          </w:tcPr>
          <w:p w:rsidR="00A7608B" w:rsidRPr="00C668F1" w:rsidRDefault="00A7608B" w:rsidP="00A7608B">
            <w:pPr>
              <w:spacing w:line="240" w:lineRule="auto"/>
              <w:jc w:val="center"/>
              <w:rPr>
                <w:rFonts w:ascii="Times New Roman" w:eastAsia="Times New Roman" w:hAnsi="Times New Roman"/>
              </w:rPr>
            </w:pPr>
            <w:r w:rsidRPr="00C668F1">
              <w:rPr>
                <w:rFonts w:ascii="Times New Roman" w:eastAsia="Times New Roman" w:hAnsi="Times New Roman"/>
              </w:rPr>
              <w:t>Taux de chômage au sens large (chômeurs</w:t>
            </w:r>
            <w:r w:rsidR="009920CB">
              <w:rPr>
                <w:rFonts w:ascii="Times New Roman" w:eastAsia="Times New Roman" w:hAnsi="Times New Roman"/>
              </w:rPr>
              <w:t xml:space="preserve"> </w:t>
            </w:r>
            <w:r w:rsidRPr="00C668F1">
              <w:rPr>
                <w:rFonts w:ascii="Times New Roman" w:eastAsia="Times New Roman" w:hAnsi="Times New Roman"/>
              </w:rPr>
              <w:t>BIT+chômeurs découragés)</w:t>
            </w:r>
          </w:p>
        </w:tc>
      </w:tr>
      <w:tr w:rsidR="00A7608B" w:rsidRPr="00C668F1" w:rsidTr="00A7608B">
        <w:trPr>
          <w:trHeight w:val="255"/>
        </w:trPr>
        <w:tc>
          <w:tcPr>
            <w:tcW w:w="2161" w:type="dxa"/>
            <w:tcBorders>
              <w:top w:val="single" w:sz="4" w:space="0" w:color="auto"/>
              <w:left w:val="nil"/>
              <w:bottom w:val="single" w:sz="4" w:space="0" w:color="auto"/>
              <w:right w:val="nil"/>
            </w:tcBorders>
            <w:shd w:val="clear" w:color="auto" w:fill="DAEEF3" w:themeFill="accent5" w:themeFillTint="33"/>
            <w:noWrap/>
            <w:vAlign w:val="bottom"/>
            <w:hideMark/>
          </w:tcPr>
          <w:p w:rsidR="00A7608B" w:rsidRPr="00C668F1" w:rsidRDefault="00A7608B" w:rsidP="00A7608B">
            <w:pPr>
              <w:spacing w:line="240" w:lineRule="auto"/>
              <w:rPr>
                <w:rFonts w:ascii="Times New Roman" w:eastAsia="Times New Roman" w:hAnsi="Times New Roman"/>
                <w:b/>
                <w:bCs/>
              </w:rPr>
            </w:pPr>
            <w:r w:rsidRPr="00C668F1">
              <w:rPr>
                <w:rFonts w:ascii="Times New Roman" w:eastAsia="Times New Roman" w:hAnsi="Times New Roman"/>
                <w:b/>
                <w:bCs/>
              </w:rPr>
              <w:t> </w:t>
            </w:r>
          </w:p>
        </w:tc>
        <w:tc>
          <w:tcPr>
            <w:tcW w:w="2000" w:type="dxa"/>
            <w:tcBorders>
              <w:top w:val="nil"/>
              <w:left w:val="nil"/>
              <w:bottom w:val="single" w:sz="4" w:space="0" w:color="auto"/>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r w:rsidRPr="00C668F1">
              <w:rPr>
                <w:rFonts w:ascii="Times New Roman" w:eastAsia="Times New Roman" w:hAnsi="Times New Roman"/>
              </w:rPr>
              <w:t>Nombre</w:t>
            </w:r>
          </w:p>
        </w:tc>
        <w:tc>
          <w:tcPr>
            <w:tcW w:w="838" w:type="dxa"/>
            <w:tcBorders>
              <w:top w:val="nil"/>
              <w:left w:val="nil"/>
              <w:bottom w:val="single" w:sz="4" w:space="0" w:color="auto"/>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r w:rsidRPr="00C668F1">
              <w:rPr>
                <w:rFonts w:ascii="Times New Roman" w:eastAsia="Times New Roman" w:hAnsi="Times New Roman"/>
              </w:rPr>
              <w:t>%</w:t>
            </w:r>
          </w:p>
        </w:tc>
        <w:tc>
          <w:tcPr>
            <w:tcW w:w="2000" w:type="dxa"/>
            <w:tcBorders>
              <w:top w:val="nil"/>
              <w:left w:val="nil"/>
              <w:bottom w:val="single" w:sz="4" w:space="0" w:color="auto"/>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r w:rsidRPr="00C668F1">
              <w:rPr>
                <w:rFonts w:ascii="Times New Roman" w:eastAsia="Times New Roman" w:hAnsi="Times New Roman"/>
              </w:rPr>
              <w:t>Nombre</w:t>
            </w:r>
          </w:p>
        </w:tc>
        <w:tc>
          <w:tcPr>
            <w:tcW w:w="1579" w:type="dxa"/>
            <w:tcBorders>
              <w:top w:val="nil"/>
              <w:left w:val="nil"/>
              <w:bottom w:val="single" w:sz="4" w:space="0" w:color="auto"/>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r w:rsidRPr="00C668F1">
              <w:rPr>
                <w:rFonts w:ascii="Times New Roman" w:eastAsia="Times New Roman" w:hAnsi="Times New Roman"/>
              </w:rPr>
              <w:t>%</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noWrap/>
            <w:vAlign w:val="bottom"/>
            <w:hideMark/>
          </w:tcPr>
          <w:p w:rsidR="00A7608B" w:rsidRPr="00C668F1" w:rsidRDefault="00A7608B" w:rsidP="00A7608B">
            <w:pPr>
              <w:spacing w:line="240" w:lineRule="auto"/>
              <w:rPr>
                <w:rFonts w:ascii="Times New Roman" w:eastAsia="Times New Roman" w:hAnsi="Times New Roman"/>
                <w:b/>
                <w:bCs/>
              </w:rPr>
            </w:pPr>
            <w:r w:rsidRPr="00C668F1">
              <w:rPr>
                <w:rFonts w:ascii="Times New Roman" w:eastAsia="Times New Roman" w:hAnsi="Times New Roman"/>
                <w:b/>
                <w:bCs/>
              </w:rPr>
              <w:t>Sexe</w:t>
            </w:r>
          </w:p>
        </w:tc>
        <w:tc>
          <w:tcPr>
            <w:tcW w:w="2000" w:type="dxa"/>
            <w:tcBorders>
              <w:top w:val="nil"/>
              <w:left w:val="nil"/>
              <w:bottom w:val="nil"/>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p>
        </w:tc>
        <w:tc>
          <w:tcPr>
            <w:tcW w:w="838" w:type="dxa"/>
            <w:tcBorders>
              <w:top w:val="nil"/>
              <w:left w:val="nil"/>
              <w:bottom w:val="nil"/>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p>
        </w:tc>
        <w:tc>
          <w:tcPr>
            <w:tcW w:w="2000" w:type="dxa"/>
            <w:tcBorders>
              <w:top w:val="nil"/>
              <w:left w:val="nil"/>
              <w:bottom w:val="nil"/>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p>
        </w:tc>
        <w:tc>
          <w:tcPr>
            <w:tcW w:w="1579" w:type="dxa"/>
            <w:tcBorders>
              <w:top w:val="nil"/>
              <w:left w:val="nil"/>
              <w:bottom w:val="nil"/>
              <w:right w:val="nil"/>
            </w:tcBorders>
            <w:shd w:val="clear" w:color="auto" w:fill="DAEEF3" w:themeFill="accent5" w:themeFillTint="33"/>
            <w:noWrap/>
            <w:vAlign w:val="bottom"/>
            <w:hideMark/>
          </w:tcPr>
          <w:p w:rsidR="00A7608B" w:rsidRPr="00C668F1" w:rsidRDefault="00A7608B" w:rsidP="00A7608B">
            <w:pPr>
              <w:spacing w:line="240" w:lineRule="auto"/>
              <w:jc w:val="center"/>
              <w:rPr>
                <w:rFonts w:ascii="Times New Roman" w:eastAsia="Times New Roman" w:hAnsi="Times New Roman"/>
              </w:rPr>
            </w:pP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Masculin</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8 139</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0,6</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12 440</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0,9</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Féminin</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6 507</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0,4</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15 846</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1,0</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Total</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14 646</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0,5</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28 286</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1,0</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b/>
                <w:bCs/>
                <w:color w:val="000000"/>
              </w:rPr>
            </w:pPr>
            <w:r w:rsidRPr="00C668F1">
              <w:rPr>
                <w:rFonts w:ascii="Times New Roman" w:eastAsia="Times New Roman" w:hAnsi="Times New Roman"/>
                <w:b/>
                <w:bCs/>
                <w:color w:val="000000"/>
              </w:rPr>
              <w:t>Age</w:t>
            </w:r>
          </w:p>
        </w:tc>
        <w:tc>
          <w:tcPr>
            <w:tcW w:w="2000"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c>
          <w:tcPr>
            <w:tcW w:w="2000"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15-24</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3 717</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0,9</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9 777</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2,2</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25-34</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7 115</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0,8</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11 688</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1,3</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35-54</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3 378</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0,3</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6 031</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0,5</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55-64</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436</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0,2</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790</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0,3</w:t>
            </w:r>
          </w:p>
        </w:tc>
      </w:tr>
      <w:tr w:rsidR="00A7608B" w:rsidRPr="00C668F1" w:rsidTr="00A7608B">
        <w:trPr>
          <w:trHeight w:val="452"/>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b/>
                <w:bCs/>
                <w:color w:val="000000"/>
              </w:rPr>
            </w:pPr>
            <w:r w:rsidRPr="00C668F1">
              <w:rPr>
                <w:rFonts w:ascii="Times New Roman" w:eastAsia="Times New Roman" w:hAnsi="Times New Roman"/>
                <w:b/>
                <w:bCs/>
                <w:color w:val="000000"/>
              </w:rPr>
              <w:t>Niveau</w:t>
            </w:r>
            <w:r w:rsidR="009920CB">
              <w:rPr>
                <w:rFonts w:ascii="Times New Roman" w:eastAsia="Times New Roman" w:hAnsi="Times New Roman"/>
                <w:b/>
                <w:bCs/>
                <w:color w:val="000000"/>
              </w:rPr>
              <w:t xml:space="preserve"> </w:t>
            </w:r>
            <w:r w:rsidRPr="00C668F1">
              <w:rPr>
                <w:rFonts w:ascii="Times New Roman" w:eastAsia="Times New Roman" w:hAnsi="Times New Roman"/>
                <w:b/>
                <w:bCs/>
                <w:color w:val="000000"/>
              </w:rPr>
              <w:t>d'instruction</w:t>
            </w:r>
          </w:p>
        </w:tc>
        <w:tc>
          <w:tcPr>
            <w:tcW w:w="2000"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c>
          <w:tcPr>
            <w:tcW w:w="2000"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Aucun</w:t>
            </w:r>
            <w:r w:rsidR="009920CB">
              <w:rPr>
                <w:rFonts w:ascii="Times New Roman" w:eastAsia="Times New Roman" w:hAnsi="Times New Roman"/>
                <w:color w:val="000000"/>
              </w:rPr>
              <w:t xml:space="preserve"> </w:t>
            </w:r>
            <w:r w:rsidRPr="00C668F1">
              <w:rPr>
                <w:rFonts w:ascii="Times New Roman" w:eastAsia="Times New Roman" w:hAnsi="Times New Roman"/>
                <w:color w:val="000000"/>
              </w:rPr>
              <w:t>niveau</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3 766</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0,2</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10 088</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0,5</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Primaire</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2 067</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0,4</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4 307</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0,9</w:t>
            </w:r>
          </w:p>
        </w:tc>
      </w:tr>
      <w:tr w:rsidR="00A7608B" w:rsidRPr="00C668F1" w:rsidTr="00A7608B">
        <w:trPr>
          <w:trHeight w:val="255"/>
        </w:trPr>
        <w:tc>
          <w:tcPr>
            <w:tcW w:w="2161" w:type="dxa"/>
            <w:tcBorders>
              <w:top w:val="nil"/>
              <w:left w:val="nil"/>
              <w:bottom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Secondaire</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4 399</w:t>
            </w:r>
          </w:p>
        </w:tc>
        <w:tc>
          <w:tcPr>
            <w:tcW w:w="838"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1,3</w:t>
            </w:r>
          </w:p>
        </w:tc>
        <w:tc>
          <w:tcPr>
            <w:tcW w:w="2000" w:type="dxa"/>
            <w:tcBorders>
              <w:top w:val="nil"/>
              <w:left w:val="nil"/>
              <w:bottom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7 752</w:t>
            </w:r>
          </w:p>
        </w:tc>
        <w:tc>
          <w:tcPr>
            <w:tcW w:w="1579" w:type="dxa"/>
            <w:tcBorders>
              <w:top w:val="nil"/>
              <w:left w:val="nil"/>
              <w:bottom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2,3</w:t>
            </w:r>
          </w:p>
        </w:tc>
      </w:tr>
      <w:tr w:rsidR="00A7608B" w:rsidRPr="00C668F1" w:rsidTr="00A7608B">
        <w:trPr>
          <w:trHeight w:val="255"/>
        </w:trPr>
        <w:tc>
          <w:tcPr>
            <w:tcW w:w="2161" w:type="dxa"/>
            <w:tcBorders>
              <w:top w:val="nil"/>
              <w:left w:val="nil"/>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color w:val="000000"/>
              </w:rPr>
            </w:pPr>
            <w:r w:rsidRPr="00C668F1">
              <w:rPr>
                <w:rFonts w:ascii="Times New Roman" w:eastAsia="Times New Roman" w:hAnsi="Times New Roman"/>
                <w:color w:val="000000"/>
              </w:rPr>
              <w:t>Supérieur</w:t>
            </w:r>
          </w:p>
        </w:tc>
        <w:tc>
          <w:tcPr>
            <w:tcW w:w="2000" w:type="dxa"/>
            <w:tcBorders>
              <w:top w:val="nil"/>
              <w:left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4 414</w:t>
            </w:r>
          </w:p>
        </w:tc>
        <w:tc>
          <w:tcPr>
            <w:tcW w:w="838" w:type="dxa"/>
            <w:tcBorders>
              <w:top w:val="nil"/>
              <w:left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5,5</w:t>
            </w:r>
          </w:p>
        </w:tc>
        <w:tc>
          <w:tcPr>
            <w:tcW w:w="2000" w:type="dxa"/>
            <w:tcBorders>
              <w:top w:val="nil"/>
              <w:left w:val="nil"/>
              <w:right w:val="nil"/>
            </w:tcBorders>
            <w:shd w:val="clear" w:color="auto" w:fill="DAEEF3" w:themeFill="accent5" w:themeFillTint="33"/>
            <w:noWrap/>
            <w:vAlign w:val="center"/>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6 138</w:t>
            </w:r>
          </w:p>
        </w:tc>
        <w:tc>
          <w:tcPr>
            <w:tcW w:w="1579" w:type="dxa"/>
            <w:tcBorders>
              <w:top w:val="nil"/>
              <w:left w:val="nil"/>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7,5</w:t>
            </w:r>
          </w:p>
        </w:tc>
      </w:tr>
      <w:tr w:rsidR="00A7608B" w:rsidRPr="00C668F1" w:rsidTr="00A7608B">
        <w:trPr>
          <w:trHeight w:val="255"/>
        </w:trPr>
        <w:tc>
          <w:tcPr>
            <w:tcW w:w="2161" w:type="dxa"/>
            <w:tcBorders>
              <w:top w:val="nil"/>
              <w:left w:val="nil"/>
              <w:bottom w:val="double" w:sz="4" w:space="0" w:color="auto"/>
              <w:right w:val="nil"/>
            </w:tcBorders>
            <w:shd w:val="clear" w:color="auto" w:fill="DAEEF3" w:themeFill="accent5" w:themeFillTint="33"/>
            <w:hideMark/>
          </w:tcPr>
          <w:p w:rsidR="00A7608B" w:rsidRPr="00C668F1" w:rsidRDefault="00A7608B" w:rsidP="00A7608B">
            <w:pPr>
              <w:spacing w:line="240" w:lineRule="auto"/>
              <w:rPr>
                <w:rFonts w:ascii="Times New Roman" w:eastAsia="Times New Roman" w:hAnsi="Times New Roman"/>
                <w:b/>
                <w:bCs/>
                <w:color w:val="000000"/>
              </w:rPr>
            </w:pPr>
            <w:r w:rsidRPr="00C668F1">
              <w:rPr>
                <w:rFonts w:ascii="Times New Roman" w:eastAsia="Times New Roman" w:hAnsi="Times New Roman"/>
                <w:b/>
                <w:bCs/>
                <w:color w:val="000000"/>
              </w:rPr>
              <w:t>BENIN</w:t>
            </w:r>
          </w:p>
        </w:tc>
        <w:tc>
          <w:tcPr>
            <w:tcW w:w="2000" w:type="dxa"/>
            <w:tcBorders>
              <w:top w:val="nil"/>
              <w:left w:val="nil"/>
              <w:bottom w:val="double" w:sz="4" w:space="0" w:color="auto"/>
              <w:right w:val="nil"/>
            </w:tcBorders>
            <w:shd w:val="clear" w:color="auto" w:fill="DAEEF3" w:themeFill="accent5" w:themeFillTint="33"/>
            <w:noWrap/>
            <w:vAlign w:val="center"/>
            <w:hideMark/>
          </w:tcPr>
          <w:p w:rsidR="00A7608B" w:rsidRPr="00C668F1" w:rsidRDefault="00A7608B" w:rsidP="00A7608B">
            <w:pPr>
              <w:jc w:val="center"/>
              <w:rPr>
                <w:rFonts w:ascii="Times New Roman" w:hAnsi="Times New Roman"/>
                <w:b/>
                <w:bCs/>
                <w:color w:val="000000"/>
              </w:rPr>
            </w:pPr>
            <w:r w:rsidRPr="00C668F1">
              <w:rPr>
                <w:rFonts w:ascii="Times New Roman" w:hAnsi="Times New Roman"/>
                <w:b/>
                <w:bCs/>
                <w:color w:val="000000"/>
              </w:rPr>
              <w:t>14 646</w:t>
            </w:r>
          </w:p>
        </w:tc>
        <w:tc>
          <w:tcPr>
            <w:tcW w:w="838" w:type="dxa"/>
            <w:tcBorders>
              <w:top w:val="nil"/>
              <w:left w:val="nil"/>
              <w:bottom w:val="double" w:sz="4" w:space="0" w:color="auto"/>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b/>
                <w:bCs/>
                <w:color w:val="000000"/>
              </w:rPr>
            </w:pPr>
            <w:r w:rsidRPr="00C668F1">
              <w:rPr>
                <w:rFonts w:ascii="Times New Roman" w:eastAsia="Times New Roman" w:hAnsi="Times New Roman"/>
                <w:b/>
                <w:bCs/>
                <w:color w:val="000000"/>
              </w:rPr>
              <w:t>0,5</w:t>
            </w:r>
          </w:p>
        </w:tc>
        <w:tc>
          <w:tcPr>
            <w:tcW w:w="2000" w:type="dxa"/>
            <w:tcBorders>
              <w:top w:val="nil"/>
              <w:left w:val="nil"/>
              <w:bottom w:val="double" w:sz="4" w:space="0" w:color="auto"/>
              <w:right w:val="nil"/>
            </w:tcBorders>
            <w:shd w:val="clear" w:color="auto" w:fill="DAEEF3" w:themeFill="accent5" w:themeFillTint="33"/>
            <w:noWrap/>
            <w:vAlign w:val="center"/>
            <w:hideMark/>
          </w:tcPr>
          <w:p w:rsidR="00A7608B" w:rsidRPr="00C668F1" w:rsidRDefault="00A7608B" w:rsidP="00A7608B">
            <w:pPr>
              <w:jc w:val="center"/>
              <w:rPr>
                <w:rFonts w:ascii="Times New Roman" w:hAnsi="Times New Roman"/>
                <w:b/>
                <w:bCs/>
                <w:color w:val="000000"/>
              </w:rPr>
            </w:pPr>
            <w:r w:rsidRPr="00C668F1">
              <w:rPr>
                <w:rFonts w:ascii="Times New Roman" w:hAnsi="Times New Roman"/>
                <w:b/>
                <w:bCs/>
                <w:color w:val="000000"/>
              </w:rPr>
              <w:t>28 286</w:t>
            </w:r>
          </w:p>
        </w:tc>
        <w:tc>
          <w:tcPr>
            <w:tcW w:w="1579" w:type="dxa"/>
            <w:tcBorders>
              <w:top w:val="nil"/>
              <w:left w:val="nil"/>
              <w:bottom w:val="double" w:sz="4" w:space="0" w:color="auto"/>
              <w:right w:val="nil"/>
            </w:tcBorders>
            <w:shd w:val="clear" w:color="auto" w:fill="DAEEF3" w:themeFill="accent5" w:themeFillTint="33"/>
            <w:noWrap/>
            <w:hideMark/>
          </w:tcPr>
          <w:p w:rsidR="00A7608B" w:rsidRPr="00C668F1" w:rsidRDefault="00A7608B" w:rsidP="00A7608B">
            <w:pPr>
              <w:spacing w:line="240" w:lineRule="auto"/>
              <w:jc w:val="center"/>
              <w:rPr>
                <w:rFonts w:ascii="Times New Roman" w:eastAsia="Times New Roman" w:hAnsi="Times New Roman"/>
                <w:b/>
                <w:bCs/>
                <w:color w:val="000000"/>
              </w:rPr>
            </w:pPr>
            <w:r w:rsidRPr="00C668F1">
              <w:rPr>
                <w:rFonts w:ascii="Times New Roman" w:eastAsia="Times New Roman" w:hAnsi="Times New Roman"/>
                <w:b/>
                <w:bCs/>
                <w:color w:val="000000"/>
              </w:rPr>
              <w:t>1,0</w:t>
            </w:r>
          </w:p>
        </w:tc>
      </w:tr>
      <w:tr w:rsidR="00A7608B" w:rsidRPr="00C668F1" w:rsidTr="00A7608B">
        <w:trPr>
          <w:trHeight w:val="255"/>
        </w:trPr>
        <w:tc>
          <w:tcPr>
            <w:tcW w:w="8578" w:type="dxa"/>
            <w:gridSpan w:val="5"/>
            <w:tcBorders>
              <w:top w:val="nil"/>
              <w:left w:val="nil"/>
              <w:bottom w:val="nil"/>
              <w:right w:val="nil"/>
            </w:tcBorders>
            <w:shd w:val="clear" w:color="auto" w:fill="DAEEF3" w:themeFill="accent5" w:themeFillTint="33"/>
            <w:hideMark/>
          </w:tcPr>
          <w:p w:rsidR="00A7608B" w:rsidRPr="00F20651" w:rsidRDefault="00A7608B" w:rsidP="00A7608B">
            <w:pPr>
              <w:rPr>
                <w:rFonts w:ascii="Times New Roman" w:hAnsi="Times New Roman"/>
                <w:sz w:val="20"/>
                <w:szCs w:val="20"/>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472470" w:rsidRDefault="00472470" w:rsidP="00472470">
      <w:pPr>
        <w:spacing w:line="276" w:lineRule="auto"/>
        <w:rPr>
          <w:rFonts w:ascii="Times New Roman" w:hAnsi="Times New Roman"/>
          <w:sz w:val="24"/>
          <w:szCs w:val="24"/>
        </w:rPr>
      </w:pPr>
    </w:p>
    <w:p w:rsidR="00472470" w:rsidRDefault="00472470" w:rsidP="00472470">
      <w:pPr>
        <w:spacing w:line="276" w:lineRule="auto"/>
        <w:rPr>
          <w:rFonts w:ascii="Times New Roman" w:hAnsi="Times New Roman"/>
          <w:sz w:val="24"/>
          <w:szCs w:val="24"/>
        </w:rPr>
      </w:pPr>
      <w:r w:rsidRPr="00F06596">
        <w:rPr>
          <w:rFonts w:ascii="Times New Roman" w:hAnsi="Times New Roman"/>
          <w:sz w:val="24"/>
          <w:szCs w:val="24"/>
        </w:rPr>
        <w:t>Ainsi, bien que presque tout le monde ait effectué une activité économique pendant au moins une heure au cours de la semaine de référence, ce qu’il importe de regarder c’est d’abord la nature de l’activité que cette personne a mené et les conditions d’exercice de cette activité. Or l’économie informelle et le secteur agricole sont caractérisés par une précarité des conditions de travail et des salaires de subsistance.</w:t>
      </w:r>
      <w:r>
        <w:rPr>
          <w:rFonts w:ascii="Times New Roman" w:hAnsi="Times New Roman"/>
          <w:sz w:val="24"/>
          <w:szCs w:val="24"/>
        </w:rPr>
        <w:t xml:space="preserve"> En conséquence, l’on se retrouve avec de faibles niveaux de chômage mais de niveaux élevés de sous-emploi.</w:t>
      </w:r>
    </w:p>
    <w:p w:rsidR="00A7608B" w:rsidRPr="00472470" w:rsidRDefault="00A7608B" w:rsidP="00A7608B">
      <w:pPr>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Le tableau ci-dessus montre un niveau de chômage BIT de 0,5% et un taux de chômage élargi de 1% en 2010, parmi les actifs de 15-64 ans. Ce taux de chômage varie sensiblement selon les caractéristiques </w:t>
      </w:r>
      <w:r w:rsidR="009B1846">
        <w:rPr>
          <w:rFonts w:ascii="Times New Roman" w:hAnsi="Times New Roman"/>
          <w:sz w:val="24"/>
          <w:szCs w:val="24"/>
        </w:rPr>
        <w:t>sociodémographiques</w:t>
      </w:r>
      <w:r>
        <w:rPr>
          <w:rFonts w:ascii="Times New Roman" w:hAnsi="Times New Roman"/>
          <w:sz w:val="24"/>
          <w:szCs w:val="24"/>
        </w:rPr>
        <w:t xml:space="preserve"> des enquêtés. En effet, le chômage au sens du BIT touche plus les hommes que les femmes (0,6% contre 0,4%) tandis qu’il n’y a pas de différence significative par rapport au chômage élargi (0,9% pour les hommes et 1% pour les femmes).</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L’analyse du chômage selon l’âge révèle que les jeunes (15-24 ans) sont plus touchés par le chômage que les autres catégories de personnes. Par rapport au chômage BIT, il n’y a pas de différence significative entre les jeunes et les adultes (24-34 ans) (0,9% contre 0,8%). Par contre, le chômage élargi révèle de</w:t>
      </w:r>
      <w:r w:rsidR="009B1846">
        <w:rPr>
          <w:rFonts w:ascii="Times New Roman" w:hAnsi="Times New Roman"/>
          <w:sz w:val="24"/>
          <w:szCs w:val="24"/>
        </w:rPr>
        <w:t>s</w:t>
      </w:r>
      <w:r>
        <w:rPr>
          <w:rFonts w:ascii="Times New Roman" w:hAnsi="Times New Roman"/>
          <w:sz w:val="24"/>
          <w:szCs w:val="24"/>
        </w:rPr>
        <w:t xml:space="preserve"> différences significatives (2,2% contre 1,3%). On voit donc que le taux de chômage des jeunes passe de 0,9% à 2,2% lorsque l’on prend en compte les chômeurs découragés. Ce qui est le reflet du niveau élevé de découragement des jeunes dans leur quête de travail.</w:t>
      </w:r>
    </w:p>
    <w:p w:rsidR="00401A60" w:rsidRPr="00472470" w:rsidRDefault="00401A60" w:rsidP="00401A60">
      <w:pPr>
        <w:spacing w:line="276" w:lineRule="auto"/>
        <w:rPr>
          <w:rFonts w:ascii="Times New Roman" w:hAnsi="Times New Roman"/>
          <w:sz w:val="12"/>
          <w:szCs w:val="12"/>
        </w:rPr>
      </w:pPr>
    </w:p>
    <w:p w:rsidR="00401A60" w:rsidRPr="003A0361" w:rsidRDefault="00401A60" w:rsidP="00401A60">
      <w:pPr>
        <w:pStyle w:val="Commentaire"/>
        <w:spacing w:line="276" w:lineRule="auto"/>
        <w:rPr>
          <w:rFonts w:ascii="Times New Roman" w:hAnsi="Times New Roman"/>
          <w:sz w:val="24"/>
          <w:szCs w:val="24"/>
        </w:rPr>
      </w:pPr>
      <w:r>
        <w:rPr>
          <w:rFonts w:ascii="Times New Roman" w:hAnsi="Times New Roman"/>
          <w:sz w:val="24"/>
          <w:szCs w:val="24"/>
        </w:rPr>
        <w:t xml:space="preserve">Lorsqu’on regarde le chômage selon le niveau d’instruction, il ressort une différence  nette entre le chômage des individus de niveau supérieur et ceux ayant des niveaux d’instruction inférieurs. En effet, les individus de niveau supérieur ont un taux de chômage BIT de 5,5% et un taux de chômage élargi de 7,5% contre respectivement 1,3% et 2,3% pour les individus de niveau secondaire. En d'autres termes, au Bénin, plus le niveau d’instruction augmente, moindres sont les chances de trouver un emploi. Ceci pourrait s’expliquer par le fait </w:t>
      </w:r>
      <w:r w:rsidRPr="003A0361">
        <w:rPr>
          <w:rFonts w:ascii="Times New Roman" w:hAnsi="Times New Roman"/>
          <w:sz w:val="24"/>
          <w:szCs w:val="24"/>
        </w:rPr>
        <w:t>que les domaines de formations disponibles au niveau de l’enseignement supérieur et /ou ceux choisis par les étudiants sont en inadéquation avec les besoins ou la demande du marché</w:t>
      </w:r>
      <w:r>
        <w:rPr>
          <w:rFonts w:ascii="Times New Roman" w:hAnsi="Times New Roman"/>
          <w:sz w:val="24"/>
          <w:szCs w:val="24"/>
        </w:rPr>
        <w:t>.</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sidRPr="00304146">
        <w:rPr>
          <w:rFonts w:ascii="Times New Roman" w:hAnsi="Times New Roman"/>
          <w:sz w:val="24"/>
          <w:szCs w:val="24"/>
        </w:rPr>
        <w:t>Le</w:t>
      </w:r>
      <w:r w:rsidR="00484E49">
        <w:rPr>
          <w:rFonts w:ascii="Times New Roman" w:hAnsi="Times New Roman"/>
          <w:sz w:val="24"/>
          <w:szCs w:val="24"/>
        </w:rPr>
        <w:t>s</w:t>
      </w:r>
      <w:r w:rsidRPr="00304146">
        <w:rPr>
          <w:rFonts w:ascii="Times New Roman" w:hAnsi="Times New Roman"/>
          <w:sz w:val="24"/>
          <w:szCs w:val="24"/>
        </w:rPr>
        <w:t xml:space="preserve"> tableau</w:t>
      </w:r>
      <w:r w:rsidR="00484E49">
        <w:rPr>
          <w:rFonts w:ascii="Times New Roman" w:hAnsi="Times New Roman"/>
          <w:sz w:val="24"/>
          <w:szCs w:val="24"/>
        </w:rPr>
        <w:t>x</w:t>
      </w:r>
      <w:r w:rsidR="00062673">
        <w:rPr>
          <w:rFonts w:ascii="Times New Roman" w:hAnsi="Times New Roman"/>
          <w:sz w:val="24"/>
          <w:szCs w:val="24"/>
        </w:rPr>
        <w:t xml:space="preserve"> </w:t>
      </w:r>
      <w:r w:rsidR="00472470">
        <w:rPr>
          <w:rFonts w:ascii="Times New Roman" w:hAnsi="Times New Roman"/>
          <w:sz w:val="24"/>
          <w:szCs w:val="24"/>
        </w:rPr>
        <w:t xml:space="preserve">5.9 et 5.10 </w:t>
      </w:r>
      <w:r w:rsidRPr="00304146">
        <w:rPr>
          <w:rFonts w:ascii="Times New Roman" w:hAnsi="Times New Roman"/>
          <w:sz w:val="24"/>
          <w:szCs w:val="24"/>
        </w:rPr>
        <w:t>ci-</w:t>
      </w:r>
      <w:r w:rsidR="00484E49">
        <w:rPr>
          <w:rFonts w:ascii="Times New Roman" w:hAnsi="Times New Roman"/>
          <w:sz w:val="24"/>
          <w:szCs w:val="24"/>
        </w:rPr>
        <w:t>après</w:t>
      </w:r>
      <w:r w:rsidRPr="00304146">
        <w:rPr>
          <w:rFonts w:ascii="Times New Roman" w:hAnsi="Times New Roman"/>
          <w:sz w:val="24"/>
          <w:szCs w:val="24"/>
        </w:rPr>
        <w:t xml:space="preserve"> don</w:t>
      </w:r>
      <w:r>
        <w:rPr>
          <w:rFonts w:ascii="Times New Roman" w:hAnsi="Times New Roman"/>
          <w:sz w:val="24"/>
          <w:szCs w:val="24"/>
        </w:rPr>
        <w:t>ne</w:t>
      </w:r>
      <w:r w:rsidR="00484E49">
        <w:rPr>
          <w:rFonts w:ascii="Times New Roman" w:hAnsi="Times New Roman"/>
          <w:sz w:val="24"/>
          <w:szCs w:val="24"/>
        </w:rPr>
        <w:t>nt</w:t>
      </w:r>
      <w:r>
        <w:rPr>
          <w:rFonts w:ascii="Times New Roman" w:hAnsi="Times New Roman"/>
          <w:sz w:val="24"/>
          <w:szCs w:val="24"/>
        </w:rPr>
        <w:t xml:space="preserve"> le niveau</w:t>
      </w:r>
      <w:r w:rsidRPr="00304146">
        <w:rPr>
          <w:rFonts w:ascii="Times New Roman" w:hAnsi="Times New Roman"/>
          <w:sz w:val="24"/>
          <w:szCs w:val="24"/>
        </w:rPr>
        <w:t xml:space="preserve"> de sous-emploi visible selon </w:t>
      </w:r>
      <w:r>
        <w:rPr>
          <w:rFonts w:ascii="Times New Roman" w:hAnsi="Times New Roman"/>
          <w:sz w:val="24"/>
          <w:szCs w:val="24"/>
        </w:rPr>
        <w:t xml:space="preserve">quelques caractéristiques sociodémographiques des enquêtés. </w:t>
      </w:r>
    </w:p>
    <w:p w:rsidR="00401A60" w:rsidRDefault="00401A60" w:rsidP="00401A60">
      <w:pPr>
        <w:spacing w:line="276" w:lineRule="auto"/>
        <w:rPr>
          <w:rFonts w:ascii="Times New Roman" w:hAnsi="Times New Roman"/>
          <w:sz w:val="24"/>
          <w:szCs w:val="24"/>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Au niveau national, le niveau de sous-emploi lié à la durée du travail est de 29,1%. En d’autres termes, 29% des actifs occupés travaillent moins que la durée réglementaire de travail qui est de 8 heures par jour, soit 48 heures par semaine. Ces individus, bien qu’ayant un emploi, peuvent encore consacrer une partie de leur temps à un autre emploi. Le sous-emploi, se réfère aussi aux personnes effectuant un travail en attendant de trouver un emploi qui correspond à leur profil.</w:t>
      </w:r>
    </w:p>
    <w:p w:rsidR="00401A60" w:rsidRDefault="00401A60" w:rsidP="00401A60">
      <w:pPr>
        <w:spacing w:line="276" w:lineRule="auto"/>
        <w:rPr>
          <w:rFonts w:ascii="Times New Roman" w:hAnsi="Times New Roman"/>
          <w:sz w:val="24"/>
          <w:szCs w:val="24"/>
        </w:rPr>
      </w:pPr>
    </w:p>
    <w:p w:rsidR="004014EB" w:rsidRDefault="004014EB" w:rsidP="00401A60">
      <w:pPr>
        <w:spacing w:line="276" w:lineRule="auto"/>
        <w:rPr>
          <w:rFonts w:ascii="Times New Roman" w:hAnsi="Times New Roman"/>
          <w:sz w:val="24"/>
          <w:szCs w:val="24"/>
        </w:rPr>
      </w:pPr>
    </w:p>
    <w:p w:rsidR="004014EB" w:rsidRDefault="004014EB" w:rsidP="00401A60">
      <w:pPr>
        <w:spacing w:line="276" w:lineRule="auto"/>
        <w:rPr>
          <w:rFonts w:ascii="Times New Roman" w:hAnsi="Times New Roman"/>
          <w:sz w:val="24"/>
          <w:szCs w:val="24"/>
        </w:rPr>
      </w:pPr>
    </w:p>
    <w:p w:rsidR="004014EB" w:rsidRDefault="004014EB" w:rsidP="00401A60">
      <w:pPr>
        <w:spacing w:line="276" w:lineRule="auto"/>
        <w:rPr>
          <w:rFonts w:ascii="Times New Roman" w:hAnsi="Times New Roman"/>
          <w:sz w:val="24"/>
          <w:szCs w:val="24"/>
        </w:rPr>
      </w:pPr>
    </w:p>
    <w:p w:rsidR="004014EB" w:rsidRDefault="004014EB" w:rsidP="00401A60">
      <w:pPr>
        <w:spacing w:line="276" w:lineRule="auto"/>
        <w:rPr>
          <w:rFonts w:ascii="Times New Roman" w:hAnsi="Times New Roman"/>
          <w:sz w:val="24"/>
          <w:szCs w:val="24"/>
        </w:rPr>
        <w:sectPr w:rsidR="004014EB" w:rsidSect="00A7608B">
          <w:pgSz w:w="11906" w:h="16838"/>
          <w:pgMar w:top="1219" w:right="1418" w:bottom="1418" w:left="1418" w:header="284" w:footer="709" w:gutter="0"/>
          <w:cols w:space="708"/>
          <w:docGrid w:linePitch="360"/>
        </w:sectPr>
      </w:pPr>
    </w:p>
    <w:p w:rsidR="00484E49" w:rsidRPr="00484E49" w:rsidRDefault="00484E49" w:rsidP="00484E49"/>
    <w:tbl>
      <w:tblPr>
        <w:tblW w:w="13765" w:type="dxa"/>
        <w:tblInd w:w="93" w:type="dxa"/>
        <w:tblLayout w:type="fixed"/>
        <w:tblLook w:val="04A0" w:firstRow="1" w:lastRow="0" w:firstColumn="1" w:lastColumn="0" w:noHBand="0" w:noVBand="1"/>
      </w:tblPr>
      <w:tblGrid>
        <w:gridCol w:w="3417"/>
        <w:gridCol w:w="2835"/>
        <w:gridCol w:w="1134"/>
        <w:gridCol w:w="3402"/>
        <w:gridCol w:w="2977"/>
      </w:tblGrid>
      <w:tr w:rsidR="00726B31" w:rsidRPr="0070518A" w:rsidTr="00726B31">
        <w:trPr>
          <w:trHeight w:val="639"/>
          <w:tblHeader/>
        </w:trPr>
        <w:tc>
          <w:tcPr>
            <w:tcW w:w="6252" w:type="dxa"/>
            <w:gridSpan w:val="2"/>
            <w:tcBorders>
              <w:left w:val="nil"/>
              <w:bottom w:val="double" w:sz="4" w:space="0" w:color="auto"/>
            </w:tcBorders>
            <w:shd w:val="clear" w:color="auto" w:fill="92CDDC" w:themeFill="accent5" w:themeFillTint="99"/>
            <w:vAlign w:val="bottom"/>
            <w:hideMark/>
          </w:tcPr>
          <w:p w:rsidR="00726B31" w:rsidRPr="00726B31" w:rsidRDefault="00726B31" w:rsidP="00726B31">
            <w:pPr>
              <w:spacing w:line="240" w:lineRule="auto"/>
              <w:jc w:val="left"/>
              <w:rPr>
                <w:rFonts w:ascii="Times New Roman" w:eastAsia="Times New Roman" w:hAnsi="Times New Roman"/>
                <w:color w:val="000000"/>
                <w:sz w:val="24"/>
                <w:szCs w:val="24"/>
              </w:rPr>
            </w:pPr>
            <w:bookmarkStart w:id="173" w:name="_Toc369714523"/>
            <w:bookmarkStart w:id="174" w:name="_Toc373430448"/>
            <w:r w:rsidRPr="00726B31">
              <w:rPr>
                <w:rFonts w:ascii="Times New Roman" w:hAnsi="Times New Roman"/>
                <w:sz w:val="24"/>
                <w:szCs w:val="24"/>
              </w:rPr>
              <w:t>Tableau 5.</w:t>
            </w:r>
            <w:r w:rsidR="00182C97" w:rsidRPr="00726B31">
              <w:rPr>
                <w:rFonts w:ascii="Times New Roman" w:hAnsi="Times New Roman"/>
                <w:sz w:val="24"/>
                <w:szCs w:val="24"/>
              </w:rPr>
              <w:fldChar w:fldCharType="begin"/>
            </w:r>
            <w:r w:rsidRPr="00726B31">
              <w:rPr>
                <w:rFonts w:ascii="Times New Roman" w:hAnsi="Times New Roman"/>
                <w:sz w:val="24"/>
                <w:szCs w:val="24"/>
              </w:rPr>
              <w:instrText xml:space="preserve"> SEQ Tableau_5. \* ARABIC </w:instrText>
            </w:r>
            <w:r w:rsidR="00182C97" w:rsidRPr="00726B31">
              <w:rPr>
                <w:rFonts w:ascii="Times New Roman" w:hAnsi="Times New Roman"/>
                <w:sz w:val="24"/>
                <w:szCs w:val="24"/>
              </w:rPr>
              <w:fldChar w:fldCharType="separate"/>
            </w:r>
            <w:r w:rsidR="00AB1967">
              <w:rPr>
                <w:rFonts w:ascii="Times New Roman" w:hAnsi="Times New Roman"/>
                <w:noProof/>
                <w:sz w:val="24"/>
                <w:szCs w:val="24"/>
              </w:rPr>
              <w:t>9</w:t>
            </w:r>
            <w:r w:rsidR="00182C97" w:rsidRPr="00726B31">
              <w:rPr>
                <w:rFonts w:ascii="Times New Roman" w:hAnsi="Times New Roman"/>
                <w:sz w:val="24"/>
                <w:szCs w:val="24"/>
              </w:rPr>
              <w:fldChar w:fldCharType="end"/>
            </w:r>
            <w:r w:rsidRPr="00726B31">
              <w:rPr>
                <w:rFonts w:ascii="Times New Roman" w:hAnsi="Times New Roman"/>
                <w:sz w:val="24"/>
                <w:szCs w:val="24"/>
              </w:rPr>
              <w:t>: Taux de sous-emploi visible selon les caractéristiques géographiques en 2010</w:t>
            </w:r>
            <w:bookmarkEnd w:id="173"/>
            <w:bookmarkEnd w:id="174"/>
          </w:p>
        </w:tc>
        <w:tc>
          <w:tcPr>
            <w:tcW w:w="1134" w:type="dxa"/>
            <w:tcBorders>
              <w:right w:val="nil"/>
            </w:tcBorders>
            <w:shd w:val="clear" w:color="auto" w:fill="auto"/>
          </w:tcPr>
          <w:p w:rsidR="00726B31" w:rsidRPr="0070518A" w:rsidRDefault="00726B31" w:rsidP="00744E9A">
            <w:pPr>
              <w:spacing w:line="240" w:lineRule="auto"/>
              <w:jc w:val="center"/>
              <w:rPr>
                <w:rFonts w:ascii="Times New Roman" w:eastAsia="Times New Roman" w:hAnsi="Times New Roman"/>
                <w:b/>
                <w:color w:val="000000"/>
              </w:rPr>
            </w:pPr>
          </w:p>
        </w:tc>
        <w:tc>
          <w:tcPr>
            <w:tcW w:w="6379" w:type="dxa"/>
            <w:gridSpan w:val="2"/>
            <w:tcBorders>
              <w:bottom w:val="double" w:sz="4" w:space="0" w:color="auto"/>
              <w:right w:val="nil"/>
            </w:tcBorders>
            <w:shd w:val="clear" w:color="auto" w:fill="92CDDC" w:themeFill="accent5" w:themeFillTint="99"/>
            <w:vAlign w:val="center"/>
          </w:tcPr>
          <w:p w:rsidR="00726B31" w:rsidRPr="00726B31" w:rsidRDefault="00726B31" w:rsidP="00726B31">
            <w:pPr>
              <w:spacing w:line="240" w:lineRule="auto"/>
              <w:jc w:val="left"/>
              <w:rPr>
                <w:rFonts w:ascii="Times New Roman" w:eastAsia="Times New Roman" w:hAnsi="Times New Roman"/>
                <w:color w:val="000000"/>
                <w:sz w:val="24"/>
                <w:szCs w:val="24"/>
              </w:rPr>
            </w:pPr>
            <w:bookmarkStart w:id="175" w:name="_Toc369714524"/>
            <w:bookmarkStart w:id="176" w:name="_Toc373430449"/>
            <w:r w:rsidRPr="00726B31">
              <w:rPr>
                <w:rFonts w:ascii="Times New Roman" w:hAnsi="Times New Roman"/>
                <w:sz w:val="24"/>
                <w:szCs w:val="24"/>
              </w:rPr>
              <w:t>Tableau 5.</w:t>
            </w:r>
            <w:r w:rsidR="00182C97" w:rsidRPr="00726B31">
              <w:rPr>
                <w:rFonts w:ascii="Times New Roman" w:hAnsi="Times New Roman"/>
                <w:sz w:val="24"/>
                <w:szCs w:val="24"/>
              </w:rPr>
              <w:fldChar w:fldCharType="begin"/>
            </w:r>
            <w:r w:rsidRPr="00726B31">
              <w:rPr>
                <w:rFonts w:ascii="Times New Roman" w:hAnsi="Times New Roman"/>
                <w:sz w:val="24"/>
                <w:szCs w:val="24"/>
              </w:rPr>
              <w:instrText xml:space="preserve"> SEQ Tableau_5. \* ARABIC </w:instrText>
            </w:r>
            <w:r w:rsidR="00182C97" w:rsidRPr="00726B31">
              <w:rPr>
                <w:rFonts w:ascii="Times New Roman" w:hAnsi="Times New Roman"/>
                <w:sz w:val="24"/>
                <w:szCs w:val="24"/>
              </w:rPr>
              <w:fldChar w:fldCharType="separate"/>
            </w:r>
            <w:r w:rsidR="00AB1967">
              <w:rPr>
                <w:rFonts w:ascii="Times New Roman" w:hAnsi="Times New Roman"/>
                <w:noProof/>
                <w:sz w:val="24"/>
                <w:szCs w:val="24"/>
              </w:rPr>
              <w:t>10</w:t>
            </w:r>
            <w:r w:rsidR="00182C97" w:rsidRPr="00726B31">
              <w:rPr>
                <w:rFonts w:ascii="Times New Roman" w:hAnsi="Times New Roman"/>
                <w:sz w:val="24"/>
                <w:szCs w:val="24"/>
              </w:rPr>
              <w:fldChar w:fldCharType="end"/>
            </w:r>
            <w:r w:rsidRPr="00726B31">
              <w:rPr>
                <w:rFonts w:ascii="Times New Roman" w:hAnsi="Times New Roman"/>
                <w:sz w:val="24"/>
                <w:szCs w:val="24"/>
              </w:rPr>
              <w:t>: Taux de sous-emploi visible selon quelques caractéristiques sociodémographiques en 2010</w:t>
            </w:r>
            <w:bookmarkEnd w:id="175"/>
            <w:bookmarkEnd w:id="176"/>
          </w:p>
        </w:tc>
      </w:tr>
      <w:tr w:rsidR="004014EB" w:rsidRPr="0070518A" w:rsidTr="00726B31">
        <w:trPr>
          <w:trHeight w:val="639"/>
          <w:tblHeader/>
        </w:trPr>
        <w:tc>
          <w:tcPr>
            <w:tcW w:w="3417" w:type="dxa"/>
            <w:tcBorders>
              <w:top w:val="double" w:sz="4" w:space="0" w:color="auto"/>
              <w:left w:val="nil"/>
              <w:bottom w:val="single" w:sz="8" w:space="0" w:color="auto"/>
            </w:tcBorders>
            <w:shd w:val="clear" w:color="auto" w:fill="DAEEF3" w:themeFill="accent5" w:themeFillTint="33"/>
            <w:vAlign w:val="bottom"/>
            <w:hideMark/>
          </w:tcPr>
          <w:p w:rsidR="004014EB" w:rsidRPr="00977A02" w:rsidRDefault="004014EB" w:rsidP="00977A02">
            <w:pPr>
              <w:spacing w:line="240" w:lineRule="auto"/>
              <w:jc w:val="left"/>
              <w:rPr>
                <w:rFonts w:ascii="Times New Roman" w:eastAsia="Times New Roman" w:hAnsi="Times New Roman"/>
                <w:color w:val="000000"/>
              </w:rPr>
            </w:pPr>
            <w:r w:rsidRPr="00977A02">
              <w:rPr>
                <w:rFonts w:ascii="Times New Roman" w:eastAsia="Times New Roman" w:hAnsi="Times New Roman"/>
                <w:color w:val="000000"/>
              </w:rPr>
              <w:t xml:space="preserve"> Caractéristiques </w:t>
            </w:r>
            <w:r w:rsidR="00977A02" w:rsidRPr="00977A02">
              <w:rPr>
                <w:rFonts w:ascii="Times New Roman" w:eastAsia="Times New Roman" w:hAnsi="Times New Roman"/>
                <w:color w:val="000000"/>
              </w:rPr>
              <w:t>de résidence</w:t>
            </w:r>
          </w:p>
        </w:tc>
        <w:tc>
          <w:tcPr>
            <w:tcW w:w="2835" w:type="dxa"/>
            <w:tcBorders>
              <w:top w:val="double" w:sz="4" w:space="0" w:color="auto"/>
              <w:bottom w:val="single" w:sz="8" w:space="0" w:color="auto"/>
              <w:right w:val="nil"/>
            </w:tcBorders>
            <w:shd w:val="clear" w:color="auto" w:fill="DAEEF3" w:themeFill="accent5" w:themeFillTint="33"/>
            <w:vAlign w:val="bottom"/>
            <w:hideMark/>
          </w:tcPr>
          <w:p w:rsidR="004014EB" w:rsidRPr="00977A02" w:rsidRDefault="00977A02" w:rsidP="00744E9A">
            <w:pPr>
              <w:spacing w:line="240" w:lineRule="auto"/>
              <w:jc w:val="center"/>
              <w:rPr>
                <w:rFonts w:ascii="Times New Roman" w:eastAsia="Times New Roman" w:hAnsi="Times New Roman"/>
                <w:color w:val="000000"/>
              </w:rPr>
            </w:pPr>
            <w:r w:rsidRPr="00977A02">
              <w:rPr>
                <w:rFonts w:ascii="Times New Roman" w:eastAsia="Times New Roman" w:hAnsi="Times New Roman"/>
                <w:color w:val="000000"/>
              </w:rPr>
              <w:t>T</w:t>
            </w:r>
            <w:r w:rsidR="004014EB" w:rsidRPr="00977A02">
              <w:rPr>
                <w:rFonts w:ascii="Times New Roman" w:eastAsia="Times New Roman" w:hAnsi="Times New Roman"/>
                <w:color w:val="000000"/>
              </w:rPr>
              <w:t>aux de sous-emploi visible (lié à la durée du travail)</w:t>
            </w:r>
          </w:p>
        </w:tc>
        <w:tc>
          <w:tcPr>
            <w:tcW w:w="1134" w:type="dxa"/>
            <w:tcBorders>
              <w:right w:val="nil"/>
            </w:tcBorders>
            <w:shd w:val="clear" w:color="auto" w:fill="auto"/>
          </w:tcPr>
          <w:p w:rsidR="004014EB" w:rsidRPr="0070518A" w:rsidRDefault="004014EB" w:rsidP="00744E9A">
            <w:pPr>
              <w:spacing w:line="240" w:lineRule="auto"/>
              <w:jc w:val="center"/>
              <w:rPr>
                <w:rFonts w:ascii="Times New Roman" w:eastAsia="Times New Roman" w:hAnsi="Times New Roman"/>
                <w:b/>
                <w:color w:val="000000"/>
              </w:rPr>
            </w:pPr>
          </w:p>
        </w:tc>
        <w:tc>
          <w:tcPr>
            <w:tcW w:w="3402" w:type="dxa"/>
            <w:tcBorders>
              <w:top w:val="double" w:sz="4" w:space="0" w:color="auto"/>
              <w:bottom w:val="single" w:sz="8" w:space="0" w:color="auto"/>
              <w:right w:val="nil"/>
            </w:tcBorders>
            <w:shd w:val="clear" w:color="auto" w:fill="DAEEF3" w:themeFill="accent5" w:themeFillTint="33"/>
            <w:vAlign w:val="center"/>
          </w:tcPr>
          <w:p w:rsidR="004014EB" w:rsidRPr="00977A02" w:rsidRDefault="00977A02" w:rsidP="00977A02">
            <w:pPr>
              <w:spacing w:line="240" w:lineRule="auto"/>
              <w:jc w:val="left"/>
              <w:rPr>
                <w:rFonts w:ascii="Times New Roman" w:eastAsia="Times New Roman" w:hAnsi="Times New Roman"/>
                <w:color w:val="000000"/>
              </w:rPr>
            </w:pPr>
            <w:r w:rsidRPr="00977A02">
              <w:rPr>
                <w:rFonts w:ascii="Times New Roman" w:eastAsia="Times New Roman" w:hAnsi="Times New Roman"/>
                <w:color w:val="000000"/>
              </w:rPr>
              <w:t>Caractéristiques sociodémographiques</w:t>
            </w:r>
          </w:p>
        </w:tc>
        <w:tc>
          <w:tcPr>
            <w:tcW w:w="2977" w:type="dxa"/>
            <w:tcBorders>
              <w:top w:val="double" w:sz="4" w:space="0" w:color="auto"/>
              <w:bottom w:val="single" w:sz="8" w:space="0" w:color="auto"/>
              <w:right w:val="nil"/>
            </w:tcBorders>
            <w:shd w:val="clear" w:color="auto" w:fill="DAEEF3" w:themeFill="accent5" w:themeFillTint="33"/>
          </w:tcPr>
          <w:p w:rsidR="004014EB" w:rsidRPr="00977A02" w:rsidRDefault="00977A02" w:rsidP="00744E9A">
            <w:pPr>
              <w:spacing w:line="240" w:lineRule="auto"/>
              <w:jc w:val="center"/>
              <w:rPr>
                <w:rFonts w:ascii="Times New Roman" w:eastAsia="Times New Roman" w:hAnsi="Times New Roman"/>
                <w:color w:val="000000"/>
              </w:rPr>
            </w:pPr>
            <w:r w:rsidRPr="00977A02">
              <w:rPr>
                <w:rFonts w:ascii="Times New Roman" w:eastAsia="Times New Roman" w:hAnsi="Times New Roman"/>
                <w:color w:val="000000"/>
              </w:rPr>
              <w:t>T</w:t>
            </w:r>
            <w:r w:rsidR="004014EB" w:rsidRPr="00977A02">
              <w:rPr>
                <w:rFonts w:ascii="Times New Roman" w:eastAsia="Times New Roman" w:hAnsi="Times New Roman"/>
                <w:color w:val="000000"/>
              </w:rPr>
              <w:t>aux de sous-emploi visible (lié à la durée du travail)</w:t>
            </w:r>
          </w:p>
        </w:tc>
      </w:tr>
      <w:tr w:rsidR="004014EB" w:rsidRPr="00C668F1" w:rsidTr="00744E9A">
        <w:trPr>
          <w:trHeight w:val="322"/>
        </w:trPr>
        <w:tc>
          <w:tcPr>
            <w:tcW w:w="3417" w:type="dxa"/>
            <w:tcBorders>
              <w:top w:val="single" w:sz="8" w:space="0" w:color="auto"/>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b/>
                <w:bCs/>
                <w:color w:val="000000"/>
              </w:rPr>
            </w:pPr>
            <w:r w:rsidRPr="00C668F1">
              <w:rPr>
                <w:rFonts w:ascii="Times New Roman" w:eastAsia="Times New Roman" w:hAnsi="Times New Roman"/>
                <w:b/>
                <w:bCs/>
                <w:color w:val="000000"/>
              </w:rPr>
              <w:t>Milieu de résidence</w:t>
            </w:r>
          </w:p>
        </w:tc>
        <w:tc>
          <w:tcPr>
            <w:tcW w:w="2835" w:type="dxa"/>
            <w:tcBorders>
              <w:top w:val="single" w:sz="8" w:space="0" w:color="auto"/>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b/>
                <w:bCs/>
                <w:color w:val="000000"/>
              </w:rPr>
            </w:pPr>
          </w:p>
        </w:tc>
        <w:tc>
          <w:tcPr>
            <w:tcW w:w="1134" w:type="dxa"/>
            <w:tcBorders>
              <w:bottom w:val="nil"/>
              <w:right w:val="nil"/>
            </w:tcBorders>
            <w:shd w:val="clear" w:color="auto" w:fill="auto"/>
          </w:tcPr>
          <w:p w:rsidR="004014EB" w:rsidRPr="00C668F1" w:rsidRDefault="004014EB" w:rsidP="00744E9A">
            <w:pPr>
              <w:spacing w:line="240" w:lineRule="auto"/>
              <w:rPr>
                <w:rFonts w:ascii="Times New Roman" w:eastAsia="Times New Roman" w:hAnsi="Times New Roman"/>
                <w:b/>
                <w:bCs/>
                <w:color w:val="000000"/>
              </w:rPr>
            </w:pPr>
          </w:p>
        </w:tc>
        <w:tc>
          <w:tcPr>
            <w:tcW w:w="3402" w:type="dxa"/>
            <w:tcBorders>
              <w:top w:val="single" w:sz="8" w:space="0" w:color="auto"/>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b/>
                <w:bCs/>
                <w:color w:val="000000"/>
              </w:rPr>
            </w:pPr>
            <w:r w:rsidRPr="00C668F1">
              <w:rPr>
                <w:rFonts w:ascii="Times New Roman" w:eastAsia="Times New Roman" w:hAnsi="Times New Roman"/>
                <w:b/>
                <w:bCs/>
                <w:color w:val="000000"/>
              </w:rPr>
              <w:t>Sexe de l'individu</w:t>
            </w:r>
          </w:p>
        </w:tc>
        <w:tc>
          <w:tcPr>
            <w:tcW w:w="2977" w:type="dxa"/>
            <w:tcBorders>
              <w:top w:val="single" w:sz="8" w:space="0" w:color="auto"/>
              <w:bottom w:val="nil"/>
              <w:right w:val="nil"/>
            </w:tcBorders>
            <w:shd w:val="clear" w:color="auto" w:fill="DAEEF3" w:themeFill="accent5" w:themeFillTint="33"/>
          </w:tcPr>
          <w:p w:rsidR="004014EB" w:rsidRPr="00C668F1" w:rsidRDefault="004014EB" w:rsidP="00744E9A">
            <w:pPr>
              <w:spacing w:line="240" w:lineRule="auto"/>
              <w:rPr>
                <w:rFonts w:ascii="Times New Roman" w:eastAsia="Times New Roman" w:hAnsi="Times New Roman"/>
                <w:b/>
                <w:bCs/>
                <w:color w:val="000000"/>
              </w:rPr>
            </w:pP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Urbain</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33,2</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Masculin</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23,3</w:t>
            </w:r>
          </w:p>
        </w:tc>
      </w:tr>
      <w:tr w:rsidR="004014EB" w:rsidRPr="00C668F1" w:rsidTr="00CC2089">
        <w:trPr>
          <w:trHeight w:val="83"/>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Rural</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23,7</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Féminin</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34,4</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b/>
                <w:bCs/>
                <w:color w:val="000000"/>
              </w:rPr>
            </w:pPr>
            <w:r w:rsidRPr="00C668F1">
              <w:rPr>
                <w:rFonts w:ascii="Times New Roman" w:eastAsia="Times New Roman" w:hAnsi="Times New Roman"/>
                <w:b/>
                <w:bCs/>
                <w:color w:val="000000"/>
              </w:rPr>
              <w:t>Département</w:t>
            </w:r>
          </w:p>
        </w:tc>
        <w:tc>
          <w:tcPr>
            <w:tcW w:w="2835"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b/>
                <w:bCs/>
                <w:color w:val="000000"/>
              </w:rPr>
            </w:pP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b/>
                <w:bCs/>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b/>
                <w:bCs/>
                <w:color w:val="000000"/>
              </w:rPr>
            </w:pPr>
            <w:r w:rsidRPr="00C668F1">
              <w:rPr>
                <w:rFonts w:ascii="Times New Roman" w:eastAsia="Times New Roman" w:hAnsi="Times New Roman"/>
                <w:b/>
                <w:bCs/>
                <w:color w:val="000000"/>
              </w:rPr>
              <w:t>Quintiles de niveau de vie non monétaire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b/>
                <w:bCs/>
                <w:color w:val="000000"/>
              </w:rPr>
            </w:pP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Alibori</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43,1</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rPr>
            </w:pPr>
            <w:r w:rsidRPr="00C668F1">
              <w:rPr>
                <w:rFonts w:ascii="Times New Roman" w:eastAsia="Times New Roman" w:hAnsi="Times New Roman"/>
              </w:rPr>
              <w:t>Le plus pauvre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33,1</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Atacora</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53,4</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le pauvre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31,0</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Atlantique</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19,1</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Moyen</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30,6</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Borgou</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35,6</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Riche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28,0</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Collines</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21,0</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Le plus riche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24,9</w:t>
            </w:r>
          </w:p>
        </w:tc>
      </w:tr>
      <w:tr w:rsidR="004014EB" w:rsidRPr="00C668F1" w:rsidTr="00744E9A">
        <w:trPr>
          <w:trHeight w:val="220"/>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Couffo</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25,5</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b/>
                <w:bCs/>
                <w:color w:val="000000"/>
              </w:rPr>
              <w:t>Niveau</w:t>
            </w:r>
            <w:r w:rsidR="009920CB">
              <w:rPr>
                <w:rFonts w:ascii="Times New Roman" w:eastAsia="Times New Roman" w:hAnsi="Times New Roman"/>
                <w:b/>
                <w:bCs/>
                <w:color w:val="000000"/>
              </w:rPr>
              <w:t xml:space="preserve"> </w:t>
            </w:r>
            <w:r w:rsidRPr="00C668F1">
              <w:rPr>
                <w:rFonts w:ascii="Times New Roman" w:eastAsia="Times New Roman" w:hAnsi="Times New Roman"/>
                <w:b/>
                <w:bCs/>
                <w:color w:val="000000"/>
              </w:rPr>
              <w:t>d'instruction</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Donga</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38,1</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Aucun</w:t>
            </w:r>
            <w:r w:rsidR="009920CB">
              <w:rPr>
                <w:rFonts w:ascii="Times New Roman" w:eastAsia="Times New Roman" w:hAnsi="Times New Roman"/>
                <w:color w:val="000000"/>
              </w:rPr>
              <w:t xml:space="preserve"> </w:t>
            </w:r>
            <w:r w:rsidRPr="00C668F1">
              <w:rPr>
                <w:rFonts w:ascii="Times New Roman" w:eastAsia="Times New Roman" w:hAnsi="Times New Roman"/>
                <w:color w:val="000000"/>
              </w:rPr>
              <w:t>niveau</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32,4</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Littoral</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18,5</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Primaire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20,4</w:t>
            </w:r>
          </w:p>
        </w:tc>
      </w:tr>
      <w:tr w:rsidR="004014EB" w:rsidRPr="00C668F1" w:rsidTr="00744E9A">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Mono</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28,5</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Secondaire</w:t>
            </w:r>
          </w:p>
        </w:tc>
        <w:tc>
          <w:tcPr>
            <w:tcW w:w="2977" w:type="dxa"/>
            <w:tcBorders>
              <w:top w:val="nil"/>
              <w:bottom w:val="nil"/>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23,6</w:t>
            </w:r>
          </w:p>
        </w:tc>
      </w:tr>
      <w:tr w:rsidR="004014EB" w:rsidRPr="00C668F1" w:rsidTr="00977A02">
        <w:trPr>
          <w:trHeight w:val="264"/>
        </w:trPr>
        <w:tc>
          <w:tcPr>
            <w:tcW w:w="3417" w:type="dxa"/>
            <w:tcBorders>
              <w:top w:val="nil"/>
              <w:left w:val="nil"/>
              <w:bottom w:val="nil"/>
            </w:tcBorders>
            <w:shd w:val="clear" w:color="auto" w:fill="DAEEF3" w:themeFill="accent5" w:themeFillTint="33"/>
            <w:vAlign w:val="center"/>
            <w:hideMark/>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Ouémé</w:t>
            </w:r>
          </w:p>
        </w:tc>
        <w:tc>
          <w:tcPr>
            <w:tcW w:w="2835" w:type="dxa"/>
            <w:tcBorders>
              <w:top w:val="nil"/>
              <w:bottom w:val="nil"/>
              <w:right w:val="nil"/>
            </w:tcBorders>
            <w:shd w:val="clear" w:color="auto" w:fill="DAEEF3" w:themeFill="accent5" w:themeFillTint="33"/>
            <w:noWrap/>
            <w:vAlign w:val="center"/>
            <w:hideMark/>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24,6</w:t>
            </w:r>
          </w:p>
        </w:tc>
        <w:tc>
          <w:tcPr>
            <w:tcW w:w="1134" w:type="dxa"/>
            <w:tcBorders>
              <w:top w:val="nil"/>
              <w:bottom w:val="nil"/>
              <w:right w:val="nil"/>
            </w:tcBorders>
            <w:shd w:val="clear" w:color="auto" w:fill="auto"/>
          </w:tcPr>
          <w:p w:rsidR="004014EB" w:rsidRPr="00C668F1" w:rsidRDefault="004014EB" w:rsidP="00744E9A">
            <w:pPr>
              <w:spacing w:line="240" w:lineRule="auto"/>
              <w:jc w:val="center"/>
              <w:rPr>
                <w:rFonts w:ascii="Times New Roman" w:eastAsia="Times New Roman" w:hAnsi="Times New Roman"/>
                <w:color w:val="000000"/>
              </w:rPr>
            </w:pPr>
          </w:p>
        </w:tc>
        <w:tc>
          <w:tcPr>
            <w:tcW w:w="3402" w:type="dxa"/>
            <w:tcBorders>
              <w:top w:val="nil"/>
              <w:bottom w:val="single" w:sz="4" w:space="0" w:color="auto"/>
              <w:right w:val="nil"/>
            </w:tcBorders>
            <w:shd w:val="clear" w:color="auto" w:fill="DAEEF3" w:themeFill="accent5" w:themeFillTint="33"/>
            <w:vAlign w:val="center"/>
          </w:tcPr>
          <w:p w:rsidR="004014EB" w:rsidRPr="00C668F1" w:rsidRDefault="004014EB"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Supérieur</w:t>
            </w:r>
          </w:p>
        </w:tc>
        <w:tc>
          <w:tcPr>
            <w:tcW w:w="2977" w:type="dxa"/>
            <w:tcBorders>
              <w:top w:val="nil"/>
              <w:bottom w:val="single" w:sz="4" w:space="0" w:color="auto"/>
              <w:right w:val="nil"/>
            </w:tcBorders>
            <w:shd w:val="clear" w:color="auto" w:fill="DAEEF3" w:themeFill="accent5" w:themeFillTint="33"/>
            <w:vAlign w:val="center"/>
          </w:tcPr>
          <w:p w:rsidR="004014EB" w:rsidRPr="00C668F1" w:rsidRDefault="004014EB"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26,4</w:t>
            </w:r>
          </w:p>
        </w:tc>
      </w:tr>
      <w:tr w:rsidR="00977A02" w:rsidRPr="00C668F1" w:rsidTr="00977A02">
        <w:trPr>
          <w:trHeight w:val="264"/>
        </w:trPr>
        <w:tc>
          <w:tcPr>
            <w:tcW w:w="3417" w:type="dxa"/>
            <w:tcBorders>
              <w:top w:val="nil"/>
              <w:left w:val="nil"/>
            </w:tcBorders>
            <w:shd w:val="clear" w:color="auto" w:fill="DAEEF3" w:themeFill="accent5" w:themeFillTint="33"/>
            <w:vAlign w:val="center"/>
            <w:hideMark/>
          </w:tcPr>
          <w:p w:rsidR="00977A02" w:rsidRPr="00C668F1" w:rsidRDefault="00977A02"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Plateau</w:t>
            </w:r>
          </w:p>
        </w:tc>
        <w:tc>
          <w:tcPr>
            <w:tcW w:w="2835" w:type="dxa"/>
            <w:tcBorders>
              <w:top w:val="nil"/>
              <w:right w:val="nil"/>
            </w:tcBorders>
            <w:shd w:val="clear" w:color="auto" w:fill="DAEEF3" w:themeFill="accent5" w:themeFillTint="33"/>
            <w:noWrap/>
            <w:vAlign w:val="center"/>
            <w:hideMark/>
          </w:tcPr>
          <w:p w:rsidR="00977A02" w:rsidRPr="00C668F1" w:rsidRDefault="00977A02"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30,2</w:t>
            </w:r>
          </w:p>
        </w:tc>
        <w:tc>
          <w:tcPr>
            <w:tcW w:w="1134" w:type="dxa"/>
            <w:tcBorders>
              <w:top w:val="nil"/>
              <w:right w:val="nil"/>
            </w:tcBorders>
            <w:shd w:val="clear" w:color="auto" w:fill="auto"/>
          </w:tcPr>
          <w:p w:rsidR="00977A02" w:rsidRPr="00C668F1" w:rsidRDefault="00977A02" w:rsidP="00744E9A">
            <w:pPr>
              <w:spacing w:line="240" w:lineRule="auto"/>
              <w:jc w:val="center"/>
              <w:rPr>
                <w:rFonts w:ascii="Times New Roman" w:eastAsia="Times New Roman" w:hAnsi="Times New Roman"/>
                <w:color w:val="000000"/>
              </w:rPr>
            </w:pPr>
          </w:p>
        </w:tc>
        <w:tc>
          <w:tcPr>
            <w:tcW w:w="3402" w:type="dxa"/>
            <w:tcBorders>
              <w:top w:val="single" w:sz="4" w:space="0" w:color="auto"/>
              <w:bottom w:val="double" w:sz="4" w:space="0" w:color="auto"/>
              <w:right w:val="nil"/>
            </w:tcBorders>
            <w:shd w:val="clear" w:color="auto" w:fill="DAEEF3" w:themeFill="accent5" w:themeFillTint="33"/>
            <w:vAlign w:val="center"/>
          </w:tcPr>
          <w:p w:rsidR="00977A02" w:rsidRPr="00C668F1" w:rsidRDefault="00977A02" w:rsidP="00744E9A">
            <w:pPr>
              <w:spacing w:line="240" w:lineRule="auto"/>
              <w:jc w:val="left"/>
              <w:rPr>
                <w:rFonts w:ascii="Times New Roman" w:eastAsia="Times New Roman" w:hAnsi="Times New Roman"/>
                <w:b/>
                <w:bCs/>
                <w:color w:val="000000"/>
              </w:rPr>
            </w:pPr>
            <w:r w:rsidRPr="00C668F1">
              <w:rPr>
                <w:rFonts w:ascii="Times New Roman" w:eastAsia="Times New Roman" w:hAnsi="Times New Roman"/>
                <w:b/>
                <w:bCs/>
                <w:color w:val="000000"/>
              </w:rPr>
              <w:t>Ensemble</w:t>
            </w:r>
          </w:p>
        </w:tc>
        <w:tc>
          <w:tcPr>
            <w:tcW w:w="2977" w:type="dxa"/>
            <w:tcBorders>
              <w:top w:val="single" w:sz="4" w:space="0" w:color="auto"/>
              <w:bottom w:val="double" w:sz="4" w:space="0" w:color="auto"/>
              <w:right w:val="nil"/>
            </w:tcBorders>
            <w:shd w:val="clear" w:color="auto" w:fill="DAEEF3" w:themeFill="accent5" w:themeFillTint="33"/>
            <w:vAlign w:val="center"/>
          </w:tcPr>
          <w:p w:rsidR="00977A02" w:rsidRPr="00C668F1" w:rsidRDefault="00977A02" w:rsidP="00744E9A">
            <w:pPr>
              <w:spacing w:line="240" w:lineRule="auto"/>
              <w:jc w:val="center"/>
              <w:rPr>
                <w:rFonts w:ascii="Times New Roman" w:eastAsia="Times New Roman" w:hAnsi="Times New Roman"/>
                <w:b/>
                <w:bCs/>
                <w:color w:val="000000"/>
              </w:rPr>
            </w:pPr>
            <w:r w:rsidRPr="00C668F1">
              <w:rPr>
                <w:rFonts w:ascii="Times New Roman" w:eastAsia="Times New Roman" w:hAnsi="Times New Roman"/>
                <w:b/>
                <w:bCs/>
                <w:color w:val="000000"/>
              </w:rPr>
              <w:t>29,1</w:t>
            </w:r>
          </w:p>
        </w:tc>
      </w:tr>
      <w:tr w:rsidR="00977A02" w:rsidRPr="00C668F1" w:rsidTr="00977A02">
        <w:trPr>
          <w:trHeight w:val="276"/>
        </w:trPr>
        <w:tc>
          <w:tcPr>
            <w:tcW w:w="3417" w:type="dxa"/>
            <w:tcBorders>
              <w:top w:val="nil"/>
              <w:left w:val="nil"/>
              <w:bottom w:val="single" w:sz="4" w:space="0" w:color="auto"/>
            </w:tcBorders>
            <w:shd w:val="clear" w:color="auto" w:fill="DAEEF3" w:themeFill="accent5" w:themeFillTint="33"/>
            <w:vAlign w:val="center"/>
            <w:hideMark/>
          </w:tcPr>
          <w:p w:rsidR="00977A02" w:rsidRPr="00C668F1" w:rsidRDefault="00977A02" w:rsidP="00744E9A">
            <w:pPr>
              <w:spacing w:line="240" w:lineRule="auto"/>
              <w:jc w:val="left"/>
              <w:rPr>
                <w:rFonts w:ascii="Times New Roman" w:eastAsia="Times New Roman" w:hAnsi="Times New Roman"/>
                <w:color w:val="000000"/>
              </w:rPr>
            </w:pPr>
            <w:r w:rsidRPr="00C668F1">
              <w:rPr>
                <w:rFonts w:ascii="Times New Roman" w:eastAsia="Times New Roman" w:hAnsi="Times New Roman"/>
                <w:color w:val="000000"/>
              </w:rPr>
              <w:t>Zou</w:t>
            </w:r>
          </w:p>
        </w:tc>
        <w:tc>
          <w:tcPr>
            <w:tcW w:w="2835" w:type="dxa"/>
            <w:tcBorders>
              <w:top w:val="nil"/>
              <w:bottom w:val="single" w:sz="4" w:space="0" w:color="auto"/>
              <w:right w:val="nil"/>
            </w:tcBorders>
            <w:shd w:val="clear" w:color="auto" w:fill="DAEEF3" w:themeFill="accent5" w:themeFillTint="33"/>
            <w:noWrap/>
            <w:vAlign w:val="center"/>
            <w:hideMark/>
          </w:tcPr>
          <w:p w:rsidR="00977A02" w:rsidRPr="00C668F1" w:rsidRDefault="00977A02" w:rsidP="00744E9A">
            <w:pPr>
              <w:spacing w:line="240" w:lineRule="auto"/>
              <w:jc w:val="center"/>
              <w:rPr>
                <w:rFonts w:ascii="Times New Roman" w:eastAsia="Times New Roman" w:hAnsi="Times New Roman"/>
                <w:color w:val="000000"/>
              </w:rPr>
            </w:pPr>
            <w:r w:rsidRPr="00C668F1">
              <w:rPr>
                <w:rFonts w:ascii="Times New Roman" w:eastAsia="Times New Roman" w:hAnsi="Times New Roman"/>
                <w:color w:val="000000"/>
              </w:rPr>
              <w:t>29,1</w:t>
            </w:r>
          </w:p>
        </w:tc>
        <w:tc>
          <w:tcPr>
            <w:tcW w:w="1134" w:type="dxa"/>
            <w:tcBorders>
              <w:top w:val="nil"/>
              <w:right w:val="nil"/>
            </w:tcBorders>
            <w:shd w:val="clear" w:color="auto" w:fill="auto"/>
          </w:tcPr>
          <w:p w:rsidR="00977A02" w:rsidRPr="00C668F1" w:rsidRDefault="00977A02" w:rsidP="00744E9A">
            <w:pPr>
              <w:spacing w:line="240" w:lineRule="auto"/>
              <w:jc w:val="center"/>
              <w:rPr>
                <w:rFonts w:ascii="Times New Roman" w:eastAsia="Times New Roman" w:hAnsi="Times New Roman"/>
                <w:color w:val="000000"/>
              </w:rPr>
            </w:pPr>
          </w:p>
        </w:tc>
        <w:tc>
          <w:tcPr>
            <w:tcW w:w="3402" w:type="dxa"/>
            <w:tcBorders>
              <w:top w:val="double" w:sz="4" w:space="0" w:color="auto"/>
              <w:right w:val="nil"/>
            </w:tcBorders>
            <w:shd w:val="clear" w:color="auto" w:fill="DAEEF3" w:themeFill="accent5" w:themeFillTint="33"/>
          </w:tcPr>
          <w:p w:rsidR="00977A02" w:rsidRPr="00C668F1" w:rsidRDefault="00977A02" w:rsidP="00977A02">
            <w:pPr>
              <w:spacing w:line="240" w:lineRule="auto"/>
              <w:jc w:val="left"/>
              <w:rPr>
                <w:rFonts w:ascii="Times New Roman" w:eastAsia="Times New Roman" w:hAnsi="Times New Roman"/>
                <w:color w:val="000000"/>
              </w:rPr>
            </w:pPr>
            <w:r w:rsidRPr="002B220C">
              <w:rPr>
                <w:rFonts w:ascii="Times New Roman" w:hAnsi="Times New Roman"/>
                <w:sz w:val="20"/>
                <w:szCs w:val="20"/>
              </w:rPr>
              <w:t xml:space="preserve">Source : </w:t>
            </w:r>
            <w:r>
              <w:rPr>
                <w:rFonts w:ascii="Times New Roman" w:hAnsi="Times New Roman"/>
                <w:sz w:val="20"/>
                <w:szCs w:val="20"/>
              </w:rPr>
              <w:t>INSAE, EMICoV 2010</w:t>
            </w:r>
          </w:p>
        </w:tc>
        <w:tc>
          <w:tcPr>
            <w:tcW w:w="2977" w:type="dxa"/>
            <w:tcBorders>
              <w:top w:val="double" w:sz="4" w:space="0" w:color="auto"/>
              <w:right w:val="nil"/>
            </w:tcBorders>
            <w:shd w:val="clear" w:color="auto" w:fill="DAEEF3" w:themeFill="accent5" w:themeFillTint="33"/>
          </w:tcPr>
          <w:p w:rsidR="00977A02" w:rsidRPr="00C668F1" w:rsidRDefault="00977A02" w:rsidP="00744E9A">
            <w:pPr>
              <w:spacing w:line="240" w:lineRule="auto"/>
              <w:jc w:val="center"/>
              <w:rPr>
                <w:rFonts w:ascii="Times New Roman" w:eastAsia="Times New Roman" w:hAnsi="Times New Roman"/>
                <w:color w:val="000000"/>
              </w:rPr>
            </w:pPr>
          </w:p>
        </w:tc>
      </w:tr>
      <w:tr w:rsidR="00977A02" w:rsidRPr="00C668F1" w:rsidTr="00977A02">
        <w:trPr>
          <w:trHeight w:val="276"/>
        </w:trPr>
        <w:tc>
          <w:tcPr>
            <w:tcW w:w="3417" w:type="dxa"/>
            <w:tcBorders>
              <w:top w:val="single" w:sz="4" w:space="0" w:color="auto"/>
              <w:left w:val="nil"/>
              <w:bottom w:val="double" w:sz="4" w:space="0" w:color="auto"/>
              <w:right w:val="nil"/>
            </w:tcBorders>
            <w:shd w:val="clear" w:color="auto" w:fill="DAEEF3" w:themeFill="accent5" w:themeFillTint="33"/>
            <w:vAlign w:val="center"/>
            <w:hideMark/>
          </w:tcPr>
          <w:p w:rsidR="00977A02" w:rsidRPr="00C668F1" w:rsidRDefault="00977A02" w:rsidP="00744E9A">
            <w:pPr>
              <w:spacing w:line="240" w:lineRule="auto"/>
              <w:jc w:val="left"/>
              <w:rPr>
                <w:rFonts w:ascii="Times New Roman" w:eastAsia="Times New Roman" w:hAnsi="Times New Roman"/>
                <w:b/>
                <w:bCs/>
                <w:color w:val="000000"/>
              </w:rPr>
            </w:pPr>
            <w:r w:rsidRPr="00C668F1">
              <w:rPr>
                <w:rFonts w:ascii="Times New Roman" w:eastAsia="Times New Roman" w:hAnsi="Times New Roman"/>
                <w:b/>
                <w:bCs/>
                <w:color w:val="000000"/>
              </w:rPr>
              <w:t>Ensemble</w:t>
            </w:r>
          </w:p>
        </w:tc>
        <w:tc>
          <w:tcPr>
            <w:tcW w:w="2835" w:type="dxa"/>
            <w:tcBorders>
              <w:top w:val="single" w:sz="4" w:space="0" w:color="auto"/>
              <w:left w:val="nil"/>
              <w:bottom w:val="double" w:sz="4" w:space="0" w:color="auto"/>
              <w:right w:val="nil"/>
            </w:tcBorders>
            <w:shd w:val="clear" w:color="auto" w:fill="DAEEF3" w:themeFill="accent5" w:themeFillTint="33"/>
            <w:noWrap/>
            <w:vAlign w:val="center"/>
            <w:hideMark/>
          </w:tcPr>
          <w:p w:rsidR="00977A02" w:rsidRPr="00C668F1" w:rsidRDefault="00977A02" w:rsidP="00744E9A">
            <w:pPr>
              <w:spacing w:line="240" w:lineRule="auto"/>
              <w:jc w:val="center"/>
              <w:rPr>
                <w:rFonts w:ascii="Times New Roman" w:eastAsia="Times New Roman" w:hAnsi="Times New Roman"/>
                <w:b/>
                <w:bCs/>
                <w:color w:val="000000"/>
              </w:rPr>
            </w:pPr>
            <w:r w:rsidRPr="00C668F1">
              <w:rPr>
                <w:rFonts w:ascii="Times New Roman" w:eastAsia="Times New Roman" w:hAnsi="Times New Roman"/>
                <w:b/>
                <w:bCs/>
                <w:color w:val="000000"/>
              </w:rPr>
              <w:t>29,1</w:t>
            </w:r>
          </w:p>
        </w:tc>
        <w:tc>
          <w:tcPr>
            <w:tcW w:w="1134" w:type="dxa"/>
            <w:tcBorders>
              <w:top w:val="nil"/>
              <w:left w:val="nil"/>
              <w:right w:val="nil"/>
            </w:tcBorders>
            <w:shd w:val="clear" w:color="auto" w:fill="auto"/>
          </w:tcPr>
          <w:p w:rsidR="00977A02" w:rsidRPr="00C668F1" w:rsidRDefault="00977A02" w:rsidP="00744E9A">
            <w:pPr>
              <w:spacing w:line="240" w:lineRule="auto"/>
              <w:jc w:val="center"/>
              <w:rPr>
                <w:rFonts w:ascii="Times New Roman" w:eastAsia="Times New Roman" w:hAnsi="Times New Roman"/>
                <w:b/>
                <w:bCs/>
                <w:color w:val="000000"/>
              </w:rPr>
            </w:pPr>
          </w:p>
        </w:tc>
        <w:tc>
          <w:tcPr>
            <w:tcW w:w="3402" w:type="dxa"/>
            <w:tcBorders>
              <w:top w:val="nil"/>
              <w:left w:val="nil"/>
              <w:right w:val="nil"/>
            </w:tcBorders>
            <w:shd w:val="clear" w:color="auto" w:fill="auto"/>
            <w:vAlign w:val="center"/>
          </w:tcPr>
          <w:p w:rsidR="00977A02" w:rsidRPr="00C668F1" w:rsidRDefault="00977A02" w:rsidP="00744E9A">
            <w:pPr>
              <w:spacing w:line="240" w:lineRule="auto"/>
              <w:jc w:val="left"/>
              <w:rPr>
                <w:rFonts w:ascii="Times New Roman" w:eastAsia="Times New Roman" w:hAnsi="Times New Roman"/>
                <w:b/>
                <w:bCs/>
                <w:color w:val="000000"/>
              </w:rPr>
            </w:pPr>
          </w:p>
        </w:tc>
        <w:tc>
          <w:tcPr>
            <w:tcW w:w="2977" w:type="dxa"/>
            <w:tcBorders>
              <w:top w:val="nil"/>
              <w:left w:val="nil"/>
              <w:right w:val="nil"/>
            </w:tcBorders>
            <w:shd w:val="clear" w:color="auto" w:fill="auto"/>
            <w:vAlign w:val="center"/>
          </w:tcPr>
          <w:p w:rsidR="00977A02" w:rsidRPr="00C668F1" w:rsidRDefault="00977A02" w:rsidP="00744E9A">
            <w:pPr>
              <w:spacing w:line="240" w:lineRule="auto"/>
              <w:jc w:val="center"/>
              <w:rPr>
                <w:rFonts w:ascii="Times New Roman" w:eastAsia="Times New Roman" w:hAnsi="Times New Roman"/>
                <w:b/>
                <w:bCs/>
                <w:color w:val="000000"/>
              </w:rPr>
            </w:pPr>
          </w:p>
        </w:tc>
      </w:tr>
      <w:tr w:rsidR="00977A02" w:rsidRPr="00C668F1" w:rsidTr="00977A02">
        <w:trPr>
          <w:trHeight w:val="289"/>
          <w:tblHeader/>
        </w:trPr>
        <w:tc>
          <w:tcPr>
            <w:tcW w:w="6252" w:type="dxa"/>
            <w:gridSpan w:val="2"/>
            <w:tcBorders>
              <w:top w:val="double" w:sz="4" w:space="0" w:color="auto"/>
              <w:left w:val="nil"/>
            </w:tcBorders>
            <w:shd w:val="clear" w:color="auto" w:fill="DAEEF3" w:themeFill="accent5" w:themeFillTint="33"/>
            <w:vAlign w:val="bottom"/>
            <w:hideMark/>
          </w:tcPr>
          <w:p w:rsidR="00977A02" w:rsidRPr="00F20651" w:rsidRDefault="00977A02" w:rsidP="00744E9A">
            <w:pPr>
              <w:rPr>
                <w:rFonts w:ascii="Times New Roman" w:hAnsi="Times New Roman"/>
                <w:sz w:val="20"/>
                <w:szCs w:val="20"/>
              </w:rPr>
            </w:pPr>
            <w:r w:rsidRPr="002B220C">
              <w:rPr>
                <w:rFonts w:ascii="Times New Roman" w:hAnsi="Times New Roman"/>
                <w:sz w:val="20"/>
                <w:szCs w:val="20"/>
              </w:rPr>
              <w:t xml:space="preserve">Source : </w:t>
            </w:r>
            <w:r>
              <w:rPr>
                <w:rFonts w:ascii="Times New Roman" w:hAnsi="Times New Roman"/>
                <w:sz w:val="20"/>
                <w:szCs w:val="20"/>
              </w:rPr>
              <w:t>INSAE, EMICoV 2010</w:t>
            </w:r>
          </w:p>
        </w:tc>
        <w:tc>
          <w:tcPr>
            <w:tcW w:w="1134" w:type="dxa"/>
            <w:tcBorders>
              <w:left w:val="nil"/>
            </w:tcBorders>
            <w:shd w:val="clear" w:color="auto" w:fill="auto"/>
          </w:tcPr>
          <w:p w:rsidR="00977A02" w:rsidRPr="002B220C" w:rsidRDefault="00977A02" w:rsidP="00744E9A">
            <w:pPr>
              <w:rPr>
                <w:rFonts w:ascii="Times New Roman" w:hAnsi="Times New Roman"/>
                <w:sz w:val="20"/>
                <w:szCs w:val="20"/>
              </w:rPr>
            </w:pPr>
          </w:p>
        </w:tc>
        <w:tc>
          <w:tcPr>
            <w:tcW w:w="3402" w:type="dxa"/>
            <w:tcBorders>
              <w:left w:val="nil"/>
            </w:tcBorders>
            <w:shd w:val="clear" w:color="auto" w:fill="auto"/>
          </w:tcPr>
          <w:p w:rsidR="00977A02" w:rsidRPr="002B220C" w:rsidRDefault="00977A02" w:rsidP="00744E9A">
            <w:pPr>
              <w:rPr>
                <w:rFonts w:ascii="Times New Roman" w:hAnsi="Times New Roman"/>
                <w:sz w:val="20"/>
                <w:szCs w:val="20"/>
              </w:rPr>
            </w:pPr>
          </w:p>
        </w:tc>
        <w:tc>
          <w:tcPr>
            <w:tcW w:w="2977" w:type="dxa"/>
            <w:tcBorders>
              <w:left w:val="nil"/>
            </w:tcBorders>
            <w:shd w:val="clear" w:color="auto" w:fill="auto"/>
          </w:tcPr>
          <w:p w:rsidR="00977A02" w:rsidRPr="002B220C" w:rsidRDefault="00977A02" w:rsidP="00744E9A">
            <w:pPr>
              <w:rPr>
                <w:rFonts w:ascii="Times New Roman" w:hAnsi="Times New Roman"/>
                <w:sz w:val="20"/>
                <w:szCs w:val="20"/>
              </w:rPr>
            </w:pPr>
          </w:p>
        </w:tc>
      </w:tr>
    </w:tbl>
    <w:p w:rsidR="004014EB" w:rsidRDefault="004014EB" w:rsidP="004014EB">
      <w:pPr>
        <w:rPr>
          <w:rFonts w:ascii="Times New Roman" w:hAnsi="Times New Roman"/>
          <w:sz w:val="20"/>
          <w:szCs w:val="20"/>
        </w:rPr>
      </w:pPr>
    </w:p>
    <w:p w:rsidR="009E5E55" w:rsidRDefault="009E5E55" w:rsidP="00D60CFD">
      <w:pPr>
        <w:pStyle w:val="Lgende"/>
        <w:framePr w:wrap="around"/>
      </w:pPr>
    </w:p>
    <w:p w:rsidR="004014EB" w:rsidRDefault="004014EB" w:rsidP="004014EB"/>
    <w:p w:rsidR="004014EB" w:rsidRDefault="004014EB" w:rsidP="004014EB"/>
    <w:p w:rsidR="004014EB" w:rsidRPr="004014EB" w:rsidRDefault="004014EB" w:rsidP="004014EB"/>
    <w:p w:rsidR="00977A02" w:rsidRDefault="00977A02" w:rsidP="00D60CFD">
      <w:pPr>
        <w:pStyle w:val="Lgende"/>
        <w:framePr w:wrap="around"/>
        <w:sectPr w:rsidR="00977A02" w:rsidSect="004014EB">
          <w:pgSz w:w="16838" w:h="11906" w:orient="landscape"/>
          <w:pgMar w:top="1418" w:right="1219" w:bottom="1418" w:left="1418" w:header="284" w:footer="709" w:gutter="0"/>
          <w:cols w:space="708"/>
          <w:docGrid w:linePitch="360"/>
        </w:sectPr>
      </w:pPr>
    </w:p>
    <w:p w:rsidR="00472470" w:rsidRPr="009B132B" w:rsidRDefault="00472470" w:rsidP="00472470">
      <w:pPr>
        <w:spacing w:line="276" w:lineRule="auto"/>
        <w:rPr>
          <w:rFonts w:ascii="Times New Roman" w:hAnsi="Times New Roman"/>
          <w:sz w:val="24"/>
          <w:szCs w:val="24"/>
        </w:rPr>
      </w:pPr>
      <w:r>
        <w:rPr>
          <w:rFonts w:ascii="Times New Roman" w:hAnsi="Times New Roman"/>
          <w:sz w:val="24"/>
          <w:szCs w:val="24"/>
        </w:rPr>
        <w:t>L’analyse du sous-emploi visible selon le milieu de résidence montre que les actifs du milieu urbain sont plus sous-employés que ceux du milieu rural (33,2% contre 22,7%). Cette situation pourrait venir du fait que certains citadins pour pouvoir subsister en ville, acceptent de faire des emplois peu qualifiés juste</w:t>
      </w:r>
      <w:r w:rsidRPr="009B132B">
        <w:rPr>
          <w:rFonts w:ascii="Times New Roman" w:hAnsi="Times New Roman"/>
          <w:sz w:val="24"/>
          <w:szCs w:val="24"/>
        </w:rPr>
        <w:t xml:space="preserve"> pour gagner de quoi subvenir à leurs besoins élémentaires</w:t>
      </w:r>
      <w:r>
        <w:rPr>
          <w:rFonts w:ascii="Times New Roman" w:hAnsi="Times New Roman"/>
          <w:sz w:val="24"/>
          <w:szCs w:val="24"/>
        </w:rPr>
        <w:t>, en attendant de trouver mieux</w:t>
      </w:r>
      <w:r w:rsidRPr="009B132B">
        <w:rPr>
          <w:rFonts w:ascii="Times New Roman" w:hAnsi="Times New Roman"/>
          <w:sz w:val="24"/>
          <w:szCs w:val="24"/>
        </w:rPr>
        <w:t>.</w:t>
      </w:r>
      <w:r>
        <w:rPr>
          <w:rFonts w:ascii="Times New Roman" w:hAnsi="Times New Roman"/>
          <w:sz w:val="24"/>
          <w:szCs w:val="24"/>
        </w:rPr>
        <w:t xml:space="preserve"> Cette situation peut s’expliquer aussi par le manque d’emplois qualifiés en nombre suffisant pour absorber la demande d’emploi en milieu urbain.</w:t>
      </w:r>
    </w:p>
    <w:p w:rsidR="00472470" w:rsidRPr="00472470" w:rsidRDefault="00472470" w:rsidP="00472470">
      <w:pPr>
        <w:rPr>
          <w:rFonts w:ascii="Times New Roman" w:hAnsi="Times New Roman"/>
          <w:b/>
          <w:sz w:val="12"/>
          <w:szCs w:val="12"/>
        </w:rPr>
      </w:pPr>
    </w:p>
    <w:p w:rsidR="00472470" w:rsidRDefault="00472470" w:rsidP="00472470">
      <w:pPr>
        <w:spacing w:line="276" w:lineRule="auto"/>
        <w:rPr>
          <w:rFonts w:ascii="Times New Roman" w:hAnsi="Times New Roman"/>
          <w:sz w:val="24"/>
          <w:szCs w:val="24"/>
        </w:rPr>
      </w:pPr>
      <w:r w:rsidRPr="00725369">
        <w:rPr>
          <w:rFonts w:ascii="Times New Roman" w:hAnsi="Times New Roman"/>
          <w:sz w:val="24"/>
          <w:szCs w:val="24"/>
        </w:rPr>
        <w:t>Ce tableau montre aussi que les femmes sont</w:t>
      </w:r>
      <w:r>
        <w:rPr>
          <w:rFonts w:ascii="Times New Roman" w:hAnsi="Times New Roman"/>
          <w:sz w:val="24"/>
          <w:szCs w:val="24"/>
        </w:rPr>
        <w:t xml:space="preserve"> plus touchées par le sous-emploi que les hommes (34,4% contre 23,3%). Avec 53,4% de sous-emploi, l’Atacora est le département où le niveau de sous-emploi est le plus élevé au Bénin tandis que le Littoral est le département qui enregistre le plus faible taux de sous-emploi (18,5%).  </w:t>
      </w:r>
    </w:p>
    <w:p w:rsidR="00472470" w:rsidRPr="00472470" w:rsidRDefault="00472470" w:rsidP="00472470">
      <w:pPr>
        <w:spacing w:line="276" w:lineRule="auto"/>
        <w:rPr>
          <w:rFonts w:ascii="Times New Roman" w:hAnsi="Times New Roman"/>
          <w:sz w:val="12"/>
          <w:szCs w:val="12"/>
        </w:rPr>
      </w:pPr>
    </w:p>
    <w:p w:rsidR="00472470" w:rsidRDefault="00472470" w:rsidP="00472470">
      <w:pPr>
        <w:spacing w:line="276" w:lineRule="auto"/>
        <w:rPr>
          <w:rFonts w:ascii="Times New Roman" w:hAnsi="Times New Roman"/>
          <w:sz w:val="24"/>
          <w:szCs w:val="24"/>
        </w:rPr>
      </w:pPr>
      <w:r>
        <w:rPr>
          <w:rFonts w:ascii="Times New Roman" w:hAnsi="Times New Roman"/>
          <w:sz w:val="24"/>
          <w:szCs w:val="24"/>
        </w:rPr>
        <w:t>L’analyse du sous-emploi selon la pauvreté montre que les actifs occupés appartenant au quintile le plus pauvre sont plus sous-employés que ceux appartenant au quintile le plus riche (33% contre 25%). Cependant, en regardant les chiffres de près, il ressort  que le niveau de sous-emploi des quintile riche n’est pas très loin de la moyenne nationale, confortant l’idée que le sous-emploi est un phénomène qui touche toutes les couches de la population.</w:t>
      </w:r>
    </w:p>
    <w:p w:rsidR="00472470" w:rsidRPr="00472470" w:rsidRDefault="00472470" w:rsidP="00401A60">
      <w:pPr>
        <w:spacing w:line="276" w:lineRule="auto"/>
        <w:rPr>
          <w:rFonts w:ascii="Times New Roman" w:hAnsi="Times New Roman"/>
          <w:sz w:val="12"/>
          <w:szCs w:val="12"/>
        </w:rPr>
      </w:pPr>
    </w:p>
    <w:p w:rsidR="00401A60" w:rsidRPr="007C1C1E" w:rsidRDefault="00401A60" w:rsidP="00401A60">
      <w:pPr>
        <w:spacing w:line="276" w:lineRule="auto"/>
        <w:rPr>
          <w:rFonts w:ascii="Times New Roman" w:hAnsi="Times New Roman"/>
          <w:sz w:val="24"/>
          <w:szCs w:val="24"/>
        </w:rPr>
      </w:pPr>
      <w:r w:rsidRPr="007C1C1E">
        <w:rPr>
          <w:rFonts w:ascii="Times New Roman" w:hAnsi="Times New Roman"/>
          <w:sz w:val="24"/>
          <w:szCs w:val="24"/>
        </w:rPr>
        <w:t>Selon la littérature, le sexe du chef de ménage est une variable ayant une influence significative sur nombre de phénomènes sociodémographiques. S’agissant de l’emploi, les données de l’EMICoV 2010, montrent que 84,4% des actifs vivent dans des ménages dirigés par un homme contre 15,6% pour les ménages dirigés par une femme. L’analyse selon la branche d’activité montre que plus de 82% de la population active vit dans des ménages dont le chef est dans le secteur agricole contre 2,4% dans le secteur industriel et 2,5% dans le commerce et la restauration.91,2% de la population active vit dans des ménages dont le chef travaille dans le secteur informel contre 4,7% dans le secteur public. Selon le statut de pauvreté, les données indiquent que plus de la moitié de la population active (51,1%) vit dans des ménages dont le chef est non pauvre tandis que 11,7% vivent dans des ménages dont le chef est un pauvre permanent.</w:t>
      </w:r>
    </w:p>
    <w:p w:rsidR="00401A60" w:rsidRPr="00472470" w:rsidRDefault="00401A60" w:rsidP="00401A60">
      <w:pPr>
        <w:spacing w:line="276" w:lineRule="auto"/>
        <w:rPr>
          <w:rFonts w:ascii="Times New Roman" w:hAnsi="Times New Roman"/>
          <w:sz w:val="12"/>
          <w:szCs w:val="12"/>
        </w:rPr>
      </w:pPr>
    </w:p>
    <w:p w:rsidR="00401A60" w:rsidRPr="007C1C1E" w:rsidRDefault="00401A60" w:rsidP="00401A60">
      <w:pPr>
        <w:spacing w:line="276" w:lineRule="auto"/>
        <w:rPr>
          <w:rFonts w:ascii="Times New Roman" w:hAnsi="Times New Roman"/>
          <w:sz w:val="24"/>
          <w:szCs w:val="24"/>
        </w:rPr>
      </w:pPr>
      <w:r w:rsidRPr="007C1C1E">
        <w:rPr>
          <w:rFonts w:ascii="Times New Roman" w:hAnsi="Times New Roman"/>
          <w:sz w:val="24"/>
          <w:szCs w:val="24"/>
        </w:rPr>
        <w:t>De l’analyse du sous-emploi selon les caractéristiques du ménage, il ressort qu’il n’y a pas de différence significative en matière de sous-emploi visible</w:t>
      </w:r>
      <w:r w:rsidR="009920CB">
        <w:rPr>
          <w:rFonts w:ascii="Times New Roman" w:hAnsi="Times New Roman"/>
          <w:sz w:val="24"/>
          <w:szCs w:val="24"/>
        </w:rPr>
        <w:t xml:space="preserve"> </w:t>
      </w:r>
      <w:r w:rsidRPr="007C1C1E">
        <w:rPr>
          <w:rFonts w:ascii="Times New Roman" w:hAnsi="Times New Roman"/>
          <w:sz w:val="24"/>
          <w:szCs w:val="24"/>
        </w:rPr>
        <w:t>entre les individus vivant dans des ménages dirigés par un homme et ceux vivant dans des ménages dirigés par une femme. Par contre, le sous-emploi emploi invisible discrimine ces deux catégories. En effet, les données montrent que le niveau de sous-emploi invisible est plus élevé parmi les individus vivant dans des ménages dirigés par une femme (59,5%) contre 54,8% dans des ménages dirigés par un homme.</w:t>
      </w:r>
    </w:p>
    <w:p w:rsidR="00401A60" w:rsidRPr="00472470" w:rsidRDefault="00401A60" w:rsidP="00401A60">
      <w:pPr>
        <w:spacing w:line="276" w:lineRule="auto"/>
        <w:rPr>
          <w:rFonts w:ascii="Times New Roman" w:hAnsi="Times New Roman"/>
          <w:sz w:val="12"/>
          <w:szCs w:val="12"/>
        </w:rPr>
      </w:pPr>
    </w:p>
    <w:p w:rsidR="00401A60" w:rsidRPr="007C1C1E" w:rsidRDefault="00401A60" w:rsidP="00401A60">
      <w:pPr>
        <w:spacing w:line="276" w:lineRule="auto"/>
        <w:rPr>
          <w:rFonts w:ascii="Times New Roman" w:hAnsi="Times New Roman"/>
          <w:sz w:val="24"/>
          <w:szCs w:val="24"/>
        </w:rPr>
      </w:pPr>
      <w:r w:rsidRPr="007C1C1E">
        <w:rPr>
          <w:rFonts w:ascii="Times New Roman" w:hAnsi="Times New Roman"/>
          <w:sz w:val="24"/>
          <w:szCs w:val="24"/>
        </w:rPr>
        <w:t xml:space="preserve">Selon la branche d’activité du chef de ménage, il ressort que les individus vivant dans des ménages dirigés par un chef travaillant dans le secteur agricole ont un taux de sous-emploi visible de 35,9% contre 26,7% pour ceux travaillant dans le commerce et la restauration. Quant au taux de sous-emploi invisible, il est respectivement de 65,8% et de 57,4% pour les individus vivant dans des ménages dont le chef travaille dans le secteur agricole et dans le secteur du commerce et de la restauration. De façon générale, les données du tableau </w:t>
      </w:r>
      <w:r w:rsidR="00484E49">
        <w:rPr>
          <w:rFonts w:ascii="Times New Roman" w:hAnsi="Times New Roman"/>
          <w:sz w:val="24"/>
          <w:szCs w:val="24"/>
        </w:rPr>
        <w:t>5</w:t>
      </w:r>
      <w:r>
        <w:rPr>
          <w:rFonts w:ascii="Times New Roman" w:hAnsi="Times New Roman"/>
          <w:sz w:val="24"/>
          <w:szCs w:val="24"/>
        </w:rPr>
        <w:t>.1</w:t>
      </w:r>
      <w:r w:rsidR="00484E49">
        <w:rPr>
          <w:rFonts w:ascii="Times New Roman" w:hAnsi="Times New Roman"/>
          <w:sz w:val="24"/>
          <w:szCs w:val="24"/>
        </w:rPr>
        <w:t>1</w:t>
      </w:r>
      <w:r w:rsidR="009B1846">
        <w:rPr>
          <w:rFonts w:ascii="Times New Roman" w:hAnsi="Times New Roman"/>
          <w:sz w:val="24"/>
          <w:szCs w:val="24"/>
        </w:rPr>
        <w:t xml:space="preserve"> </w:t>
      </w:r>
      <w:r w:rsidRPr="007C1C1E">
        <w:rPr>
          <w:rFonts w:ascii="Times New Roman" w:hAnsi="Times New Roman"/>
          <w:sz w:val="24"/>
          <w:szCs w:val="24"/>
        </w:rPr>
        <w:t xml:space="preserve">montrent que les niveaux de sous-emploi invisibles sont presque le double des niveaux de sous-emploi visible. </w:t>
      </w:r>
    </w:p>
    <w:p w:rsidR="00401A60" w:rsidRPr="00472470"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sidRPr="007C1C1E">
        <w:rPr>
          <w:rFonts w:ascii="Times New Roman" w:hAnsi="Times New Roman"/>
          <w:sz w:val="24"/>
          <w:szCs w:val="24"/>
        </w:rPr>
        <w:t xml:space="preserve">En analysant les données suivant le secteur d’activité du chef de ménage, nous constatons qu’il n’y a pas de différence significative en matière de sous-emploi visible entre les individus vivant dans des ménages dont le chef travaille dans le secteur public et ceux dont le chef travaille dans le secteur privé informel (29,5% contre 30,4%). Par contre, le sous-emploi invisible chez les individus vivant des ménages dont le chef est dans le secteur privé informel est plus du double de ceux dont le chef est dans le secteur public (58,4% contre 27,9%). </w:t>
      </w:r>
    </w:p>
    <w:p w:rsidR="00977A02" w:rsidRDefault="00977A02" w:rsidP="00401A60">
      <w:pPr>
        <w:spacing w:line="276" w:lineRule="auto"/>
        <w:rPr>
          <w:rFonts w:ascii="Times New Roman" w:hAnsi="Times New Roman"/>
          <w:sz w:val="24"/>
          <w:szCs w:val="24"/>
        </w:rPr>
      </w:pPr>
    </w:p>
    <w:tbl>
      <w:tblPr>
        <w:tblW w:w="9214" w:type="dxa"/>
        <w:tblInd w:w="70" w:type="dxa"/>
        <w:tblCellMar>
          <w:left w:w="70" w:type="dxa"/>
          <w:right w:w="70" w:type="dxa"/>
        </w:tblCellMar>
        <w:tblLook w:val="04A0" w:firstRow="1" w:lastRow="0" w:firstColumn="1" w:lastColumn="0" w:noHBand="0" w:noVBand="1"/>
      </w:tblPr>
      <w:tblGrid>
        <w:gridCol w:w="3220"/>
        <w:gridCol w:w="2025"/>
        <w:gridCol w:w="1701"/>
        <w:gridCol w:w="2268"/>
      </w:tblGrid>
      <w:tr w:rsidR="00D53277" w:rsidRPr="00D53277" w:rsidTr="00D53277">
        <w:trPr>
          <w:trHeight w:val="404"/>
          <w:tblHeader/>
        </w:trPr>
        <w:tc>
          <w:tcPr>
            <w:tcW w:w="9214" w:type="dxa"/>
            <w:gridSpan w:val="4"/>
            <w:tcBorders>
              <w:left w:val="nil"/>
              <w:bottom w:val="double" w:sz="4" w:space="0" w:color="auto"/>
              <w:right w:val="nil"/>
            </w:tcBorders>
            <w:shd w:val="clear" w:color="auto" w:fill="92CDDC" w:themeFill="accent5" w:themeFillTint="99"/>
            <w:noWrap/>
            <w:vAlign w:val="bottom"/>
            <w:hideMark/>
          </w:tcPr>
          <w:p w:rsidR="00D53277" w:rsidRPr="00D53277" w:rsidRDefault="00D53277" w:rsidP="00D53277">
            <w:pPr>
              <w:spacing w:line="240" w:lineRule="auto"/>
              <w:jc w:val="left"/>
              <w:rPr>
                <w:rFonts w:ascii="Times New Roman" w:eastAsia="Times New Roman" w:hAnsi="Times New Roman"/>
                <w:color w:val="000000"/>
                <w:sz w:val="24"/>
                <w:szCs w:val="24"/>
                <w:lang w:eastAsia="fr-FR"/>
              </w:rPr>
            </w:pPr>
            <w:bookmarkStart w:id="177" w:name="_Toc369714525"/>
            <w:bookmarkStart w:id="178" w:name="_Toc373430450"/>
            <w:r w:rsidRPr="00D53277">
              <w:rPr>
                <w:rFonts w:ascii="Times New Roman" w:hAnsi="Times New Roman"/>
                <w:sz w:val="24"/>
                <w:szCs w:val="24"/>
              </w:rPr>
              <w:t xml:space="preserve">Tableau 5. </w:t>
            </w:r>
            <w:r w:rsidR="00182C97" w:rsidRPr="00D53277">
              <w:rPr>
                <w:rFonts w:ascii="Times New Roman" w:hAnsi="Times New Roman"/>
                <w:sz w:val="24"/>
                <w:szCs w:val="24"/>
              </w:rPr>
              <w:fldChar w:fldCharType="begin"/>
            </w:r>
            <w:r w:rsidRPr="00D53277">
              <w:rPr>
                <w:rFonts w:ascii="Times New Roman" w:hAnsi="Times New Roman"/>
                <w:sz w:val="24"/>
                <w:szCs w:val="24"/>
              </w:rPr>
              <w:instrText xml:space="preserve"> SEQ Tableau_5. \* ARABIC </w:instrText>
            </w:r>
            <w:r w:rsidR="00182C97" w:rsidRPr="00D53277">
              <w:rPr>
                <w:rFonts w:ascii="Times New Roman" w:hAnsi="Times New Roman"/>
                <w:sz w:val="24"/>
                <w:szCs w:val="24"/>
              </w:rPr>
              <w:fldChar w:fldCharType="separate"/>
            </w:r>
            <w:r w:rsidR="00AB1967">
              <w:rPr>
                <w:rFonts w:ascii="Times New Roman" w:hAnsi="Times New Roman"/>
                <w:noProof/>
                <w:sz w:val="24"/>
                <w:szCs w:val="24"/>
              </w:rPr>
              <w:t>11</w:t>
            </w:r>
            <w:r w:rsidR="00182C97" w:rsidRPr="00D53277">
              <w:rPr>
                <w:rFonts w:ascii="Times New Roman" w:hAnsi="Times New Roman"/>
                <w:sz w:val="24"/>
                <w:szCs w:val="24"/>
              </w:rPr>
              <w:fldChar w:fldCharType="end"/>
            </w:r>
            <w:r w:rsidRPr="00D53277">
              <w:rPr>
                <w:rFonts w:ascii="Times New Roman" w:hAnsi="Times New Roman"/>
                <w:sz w:val="24"/>
                <w:szCs w:val="24"/>
              </w:rPr>
              <w:t>: Taux de sous-emploi visible et invisible selon les caractéristiques du ménage</w:t>
            </w:r>
            <w:bookmarkEnd w:id="177"/>
            <w:bookmarkEnd w:id="178"/>
          </w:p>
        </w:tc>
      </w:tr>
      <w:tr w:rsidR="00977A02" w:rsidRPr="00956782" w:rsidTr="00D53277">
        <w:trPr>
          <w:trHeight w:val="727"/>
          <w:tblHeader/>
        </w:trPr>
        <w:tc>
          <w:tcPr>
            <w:tcW w:w="3220" w:type="dxa"/>
            <w:tcBorders>
              <w:top w:val="double" w:sz="4" w:space="0" w:color="auto"/>
              <w:left w:val="nil"/>
              <w:bottom w:val="single" w:sz="4" w:space="0" w:color="auto"/>
              <w:right w:val="nil"/>
            </w:tcBorders>
            <w:shd w:val="clear" w:color="auto" w:fill="DAEEF3" w:themeFill="accent5" w:themeFillTint="33"/>
            <w:noWrap/>
            <w:vAlign w:val="bottom"/>
            <w:hideMark/>
          </w:tcPr>
          <w:p w:rsidR="00977A02" w:rsidRPr="00956782" w:rsidRDefault="00977A02" w:rsidP="00744E9A">
            <w:pPr>
              <w:spacing w:line="240" w:lineRule="auto"/>
              <w:rPr>
                <w:rFonts w:ascii="Times New Roman" w:eastAsia="Times New Roman" w:hAnsi="Times New Roman"/>
                <w:lang w:eastAsia="fr-FR"/>
              </w:rPr>
            </w:pPr>
            <w:r w:rsidRPr="00956782">
              <w:rPr>
                <w:rFonts w:ascii="Times New Roman" w:eastAsia="Times New Roman" w:hAnsi="Times New Roman"/>
                <w:lang w:eastAsia="fr-FR"/>
              </w:rPr>
              <w:t> </w:t>
            </w:r>
          </w:p>
        </w:tc>
        <w:tc>
          <w:tcPr>
            <w:tcW w:w="2025" w:type="dxa"/>
            <w:tcBorders>
              <w:top w:val="double" w:sz="4" w:space="0" w:color="auto"/>
              <w:left w:val="nil"/>
              <w:bottom w:val="single" w:sz="4" w:space="0" w:color="auto"/>
              <w:right w:val="nil"/>
            </w:tcBorders>
            <w:shd w:val="clear" w:color="auto" w:fill="DAEEF3" w:themeFill="accent5" w:themeFillTint="33"/>
            <w:vAlign w:val="bottom"/>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Répartition (%) de la population active</w:t>
            </w:r>
            <w:r>
              <w:rPr>
                <w:rStyle w:val="Appelnotedebasdep"/>
                <w:rFonts w:ascii="Times New Roman" w:eastAsia="Times New Roman" w:hAnsi="Times New Roman"/>
                <w:color w:val="000000"/>
                <w:lang w:eastAsia="fr-FR"/>
              </w:rPr>
              <w:footnoteReference w:id="85"/>
            </w:r>
          </w:p>
        </w:tc>
        <w:tc>
          <w:tcPr>
            <w:tcW w:w="1701" w:type="dxa"/>
            <w:tcBorders>
              <w:top w:val="double" w:sz="4" w:space="0" w:color="auto"/>
              <w:left w:val="nil"/>
              <w:bottom w:val="single" w:sz="4" w:space="0" w:color="auto"/>
              <w:right w:val="nil"/>
            </w:tcBorders>
            <w:shd w:val="clear" w:color="auto" w:fill="DAEEF3" w:themeFill="accent5" w:themeFillTint="33"/>
            <w:vAlign w:val="bottom"/>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taux (%) de sous-emploi visible</w:t>
            </w:r>
          </w:p>
        </w:tc>
        <w:tc>
          <w:tcPr>
            <w:tcW w:w="2268" w:type="dxa"/>
            <w:tcBorders>
              <w:top w:val="double" w:sz="4" w:space="0" w:color="auto"/>
              <w:left w:val="nil"/>
              <w:bottom w:val="single" w:sz="4" w:space="0" w:color="auto"/>
              <w:right w:val="nil"/>
            </w:tcBorders>
            <w:shd w:val="clear" w:color="auto" w:fill="DAEEF3" w:themeFill="accent5" w:themeFillTint="33"/>
            <w:vAlign w:val="bottom"/>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taux (%) de sous-emploi invisible</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noWrap/>
            <w:vAlign w:val="bottom"/>
            <w:hideMark/>
          </w:tcPr>
          <w:p w:rsidR="00977A02" w:rsidRPr="00956782" w:rsidRDefault="00977A02" w:rsidP="00977A02">
            <w:pPr>
              <w:spacing w:line="240" w:lineRule="auto"/>
              <w:jc w:val="left"/>
              <w:rPr>
                <w:rFonts w:ascii="Times New Roman" w:eastAsia="Times New Roman" w:hAnsi="Times New Roman"/>
                <w:b/>
                <w:bCs/>
                <w:lang w:eastAsia="fr-FR"/>
              </w:rPr>
            </w:pPr>
            <w:r w:rsidRPr="00956782">
              <w:rPr>
                <w:rFonts w:ascii="Times New Roman" w:eastAsia="Times New Roman" w:hAnsi="Times New Roman"/>
                <w:b/>
                <w:bCs/>
                <w:lang w:eastAsia="fr-FR"/>
              </w:rPr>
              <w:t>Sexe du chef de ménage (CM)</w:t>
            </w:r>
          </w:p>
        </w:tc>
        <w:tc>
          <w:tcPr>
            <w:tcW w:w="2025" w:type="dxa"/>
            <w:tcBorders>
              <w:top w:val="nil"/>
              <w:left w:val="nil"/>
              <w:bottom w:val="nil"/>
              <w:right w:val="nil"/>
            </w:tcBorders>
            <w:shd w:val="clear" w:color="auto" w:fill="DAEEF3" w:themeFill="accent5" w:themeFillTint="33"/>
            <w:vAlign w:val="bottom"/>
            <w:hideMark/>
          </w:tcPr>
          <w:p w:rsidR="00977A02" w:rsidRPr="00956782" w:rsidRDefault="00977A02" w:rsidP="00744E9A">
            <w:pPr>
              <w:spacing w:line="240" w:lineRule="auto"/>
              <w:rPr>
                <w:rFonts w:ascii="Times New Roman" w:eastAsia="Times New Roman" w:hAnsi="Times New Roman"/>
                <w:b/>
                <w:bCs/>
                <w:lang w:eastAsia="fr-FR"/>
              </w:rPr>
            </w:pPr>
          </w:p>
        </w:tc>
        <w:tc>
          <w:tcPr>
            <w:tcW w:w="1701" w:type="dxa"/>
            <w:tcBorders>
              <w:top w:val="nil"/>
              <w:left w:val="nil"/>
              <w:bottom w:val="nil"/>
              <w:right w:val="nil"/>
            </w:tcBorders>
            <w:shd w:val="clear" w:color="auto" w:fill="DAEEF3" w:themeFill="accent5" w:themeFillTint="33"/>
            <w:vAlign w:val="bottom"/>
            <w:hideMark/>
          </w:tcPr>
          <w:p w:rsidR="00977A02" w:rsidRPr="00956782" w:rsidRDefault="00977A02" w:rsidP="00744E9A">
            <w:pPr>
              <w:spacing w:line="240" w:lineRule="auto"/>
              <w:jc w:val="center"/>
              <w:rPr>
                <w:rFonts w:ascii="Times New Roman" w:eastAsia="Times New Roman" w:hAnsi="Times New Roman"/>
                <w:lang w:eastAsia="fr-FR"/>
              </w:rPr>
            </w:pPr>
          </w:p>
        </w:tc>
        <w:tc>
          <w:tcPr>
            <w:tcW w:w="2268" w:type="dxa"/>
            <w:tcBorders>
              <w:top w:val="nil"/>
              <w:left w:val="nil"/>
              <w:bottom w:val="nil"/>
              <w:right w:val="nil"/>
            </w:tcBorders>
            <w:shd w:val="clear" w:color="auto" w:fill="DAEEF3" w:themeFill="accent5" w:themeFillTint="33"/>
            <w:vAlign w:val="bottom"/>
            <w:hideMark/>
          </w:tcPr>
          <w:p w:rsidR="00977A02" w:rsidRPr="00956782" w:rsidRDefault="00977A02" w:rsidP="00744E9A">
            <w:pPr>
              <w:spacing w:line="240" w:lineRule="auto"/>
              <w:jc w:val="center"/>
              <w:rPr>
                <w:rFonts w:ascii="Times New Roman" w:eastAsia="Times New Roman" w:hAnsi="Times New Roman"/>
                <w:lang w:eastAsia="fr-FR"/>
              </w:rPr>
            </w:pP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Homme</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84,4</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29,9</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54,8</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Femme</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15,6</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29,5</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59,5</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Branche d'activité du CM</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rPr>
                <w:rFonts w:ascii="Times New Roman" w:eastAsia="Times New Roman" w:hAnsi="Times New Roman"/>
                <w:b/>
                <w:bCs/>
                <w:color w:val="000000"/>
                <w:lang w:eastAsia="fr-FR"/>
              </w:rPr>
            </w:pP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r>
      <w:tr w:rsidR="00977A02" w:rsidRPr="00956782" w:rsidTr="00D433D8">
        <w:trPr>
          <w:trHeight w:val="336"/>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Agriculture, élevage, pêche et forêt</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82,4</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35,9</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65,8</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Industrie</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2,4</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40,8</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55,8</w:t>
            </w:r>
          </w:p>
        </w:tc>
      </w:tr>
      <w:tr w:rsidR="00977A02" w:rsidRPr="00956782" w:rsidTr="00D433D8">
        <w:trPr>
          <w:trHeight w:val="456"/>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Eau, électricité et gaz/BTP/Banque et assurance</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4,3</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28,0</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58,9</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Commerce et restauration</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26,7</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57,4</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Transport et communication</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0,2</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44,3</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80,5</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Autres services</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8,4</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20,5</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48,8</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Secteur d'activité du CM</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rPr>
                <w:rFonts w:ascii="Times New Roman" w:eastAsia="Times New Roman" w:hAnsi="Times New Roman"/>
                <w:b/>
                <w:bCs/>
                <w:color w:val="000000"/>
                <w:lang w:eastAsia="fr-FR"/>
              </w:rPr>
            </w:pP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Public</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4,7</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29,5</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27,9</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Privé formel</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4,1</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14,5</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25,8</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Privé informel</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91,2</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30,4</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58,4</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Total</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100,0</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29,7</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55,5</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Quintiles de dépenses par tête</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rPr>
                <w:rFonts w:ascii="Times New Roman" w:eastAsia="Times New Roman" w:hAnsi="Times New Roman"/>
                <w:b/>
                <w:bCs/>
                <w:color w:val="000000"/>
                <w:lang w:eastAsia="fr-FR"/>
              </w:rPr>
            </w:pP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Plus pauvres</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17,1</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26,4</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47,4</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Pauvres</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18,6</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24,8</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44,5</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Moyens</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19,3</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26,6</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41,3</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Riches</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21,0</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26,2</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38,7</w:t>
            </w: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color w:val="000000"/>
                <w:lang w:eastAsia="fr-FR"/>
              </w:rPr>
            </w:pPr>
            <w:r w:rsidRPr="00956782">
              <w:rPr>
                <w:rFonts w:ascii="Times New Roman" w:eastAsia="Times New Roman" w:hAnsi="Times New Roman"/>
                <w:color w:val="000000"/>
                <w:lang w:eastAsia="fr-FR"/>
              </w:rPr>
              <w:t>Plus riches</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24,1</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21,5</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26,5</w:t>
            </w:r>
          </w:p>
        </w:tc>
      </w:tr>
      <w:tr w:rsidR="00977A02" w:rsidRPr="00956782" w:rsidTr="00D433D8">
        <w:trPr>
          <w:trHeight w:val="312"/>
        </w:trPr>
        <w:tc>
          <w:tcPr>
            <w:tcW w:w="3220" w:type="dxa"/>
            <w:tcBorders>
              <w:top w:val="nil"/>
              <w:left w:val="nil"/>
              <w:bottom w:val="nil"/>
              <w:right w:val="nil"/>
            </w:tcBorders>
            <w:shd w:val="clear" w:color="auto" w:fill="DAEEF3" w:themeFill="accent5" w:themeFillTint="33"/>
            <w:hideMark/>
          </w:tcPr>
          <w:p w:rsidR="00977A02" w:rsidRPr="00956782" w:rsidRDefault="00977A02" w:rsidP="00977A02">
            <w:pPr>
              <w:spacing w:line="240" w:lineRule="auto"/>
              <w:jc w:val="left"/>
              <w:rPr>
                <w:rFonts w:ascii="Times New Roman" w:eastAsia="Times New Roman" w:hAnsi="Times New Roman"/>
                <w:b/>
                <w:bCs/>
                <w:color w:val="000000"/>
                <w:lang w:eastAsia="fr-FR"/>
              </w:rPr>
            </w:pPr>
            <w:r w:rsidRPr="00956782">
              <w:rPr>
                <w:rFonts w:ascii="Times New Roman" w:eastAsia="Times New Roman" w:hAnsi="Times New Roman"/>
                <w:b/>
                <w:bCs/>
                <w:color w:val="000000"/>
                <w:lang w:eastAsia="fr-FR"/>
              </w:rPr>
              <w:t>Statut de pauvreté entre 2006 et 2009</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rPr>
                <w:rFonts w:ascii="Times New Roman" w:eastAsia="Times New Roman" w:hAnsi="Times New Roman"/>
                <w:b/>
                <w:bCs/>
                <w:color w:val="000000"/>
                <w:lang w:eastAsia="fr-FR"/>
              </w:rPr>
            </w:pP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lang w:eastAsia="fr-FR"/>
              </w:rPr>
            </w:pPr>
          </w:p>
        </w:tc>
      </w:tr>
      <w:tr w:rsidR="00977A02" w:rsidRPr="00956782" w:rsidTr="00D433D8">
        <w:trPr>
          <w:trHeight w:val="264"/>
        </w:trPr>
        <w:tc>
          <w:tcPr>
            <w:tcW w:w="3220" w:type="dxa"/>
            <w:tcBorders>
              <w:top w:val="nil"/>
              <w:left w:val="nil"/>
              <w:bottom w:val="nil"/>
              <w:right w:val="nil"/>
            </w:tcBorders>
            <w:shd w:val="clear" w:color="auto" w:fill="DAEEF3" w:themeFill="accent5" w:themeFillTint="33"/>
            <w:hideMark/>
          </w:tcPr>
          <w:p w:rsidR="00977A02" w:rsidRPr="00170BC9" w:rsidRDefault="00977A02" w:rsidP="00977A02">
            <w:pPr>
              <w:spacing w:line="240" w:lineRule="auto"/>
              <w:jc w:val="left"/>
              <w:rPr>
                <w:rFonts w:ascii="Times New Roman" w:eastAsia="Times New Roman" w:hAnsi="Times New Roman"/>
                <w:color w:val="000000"/>
                <w:lang w:eastAsia="fr-FR"/>
              </w:rPr>
            </w:pPr>
            <w:r w:rsidRPr="00170BC9">
              <w:rPr>
                <w:rFonts w:ascii="Times New Roman" w:eastAsia="Times New Roman" w:hAnsi="Times New Roman"/>
                <w:color w:val="000000"/>
                <w:lang w:eastAsia="fr-FR"/>
              </w:rPr>
              <w:t>Non pauvre</w:t>
            </w:r>
          </w:p>
        </w:tc>
        <w:tc>
          <w:tcPr>
            <w:tcW w:w="2025"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51,1</w:t>
            </w:r>
          </w:p>
        </w:tc>
        <w:tc>
          <w:tcPr>
            <w:tcW w:w="1701"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25,3</w:t>
            </w:r>
          </w:p>
        </w:tc>
        <w:tc>
          <w:tcPr>
            <w:tcW w:w="2268" w:type="dxa"/>
            <w:tcBorders>
              <w:top w:val="nil"/>
              <w:left w:val="nil"/>
              <w:bottom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36,3</w:t>
            </w:r>
          </w:p>
        </w:tc>
      </w:tr>
      <w:tr w:rsidR="00977A02" w:rsidRPr="00956782" w:rsidTr="00D433D8">
        <w:trPr>
          <w:trHeight w:val="264"/>
        </w:trPr>
        <w:tc>
          <w:tcPr>
            <w:tcW w:w="3220" w:type="dxa"/>
            <w:tcBorders>
              <w:top w:val="nil"/>
              <w:left w:val="nil"/>
              <w:right w:val="nil"/>
            </w:tcBorders>
            <w:shd w:val="clear" w:color="auto" w:fill="DAEEF3" w:themeFill="accent5" w:themeFillTint="33"/>
            <w:hideMark/>
          </w:tcPr>
          <w:p w:rsidR="00977A02" w:rsidRPr="00170BC9" w:rsidRDefault="00977A02" w:rsidP="00977A02">
            <w:pPr>
              <w:spacing w:line="240" w:lineRule="auto"/>
              <w:jc w:val="left"/>
              <w:rPr>
                <w:rFonts w:ascii="Times New Roman" w:eastAsia="Times New Roman" w:hAnsi="Times New Roman"/>
                <w:color w:val="000000"/>
                <w:lang w:eastAsia="fr-FR"/>
              </w:rPr>
            </w:pPr>
            <w:r w:rsidRPr="00170BC9">
              <w:rPr>
                <w:rFonts w:ascii="Times New Roman" w:eastAsia="Times New Roman" w:hAnsi="Times New Roman"/>
                <w:color w:val="000000"/>
                <w:lang w:eastAsia="fr-FR"/>
              </w:rPr>
              <w:t>Pauvres transitoires</w:t>
            </w:r>
          </w:p>
        </w:tc>
        <w:tc>
          <w:tcPr>
            <w:tcW w:w="2025" w:type="dxa"/>
            <w:tcBorders>
              <w:top w:val="nil"/>
              <w:left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37,3</w:t>
            </w:r>
          </w:p>
        </w:tc>
        <w:tc>
          <w:tcPr>
            <w:tcW w:w="1701" w:type="dxa"/>
            <w:tcBorders>
              <w:top w:val="nil"/>
              <w:left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25,1</w:t>
            </w:r>
          </w:p>
        </w:tc>
        <w:tc>
          <w:tcPr>
            <w:tcW w:w="2268" w:type="dxa"/>
            <w:tcBorders>
              <w:top w:val="nil"/>
              <w:left w:val="nil"/>
              <w:right w:val="nil"/>
            </w:tcBorders>
            <w:shd w:val="clear" w:color="auto" w:fill="DAEEF3" w:themeFill="accent5" w:themeFillTint="33"/>
            <w:noWrap/>
            <w:hideMark/>
          </w:tcPr>
          <w:p w:rsidR="00977A02" w:rsidRPr="00956782" w:rsidRDefault="00977A02" w:rsidP="00744E9A">
            <w:pPr>
              <w:spacing w:line="240" w:lineRule="auto"/>
              <w:jc w:val="center"/>
              <w:rPr>
                <w:rFonts w:ascii="Times New Roman" w:eastAsia="Times New Roman" w:hAnsi="Times New Roman"/>
                <w:color w:val="000000"/>
                <w:lang w:eastAsia="fr-FR"/>
              </w:rPr>
            </w:pPr>
            <w:r w:rsidRPr="00956782">
              <w:rPr>
                <w:rFonts w:ascii="Times New Roman" w:eastAsia="Times New Roman" w:hAnsi="Times New Roman"/>
                <w:color w:val="000000"/>
                <w:lang w:eastAsia="fr-FR"/>
              </w:rPr>
              <w:t>41,2</w:t>
            </w:r>
          </w:p>
        </w:tc>
      </w:tr>
      <w:tr w:rsidR="00977A02" w:rsidRPr="002F4433" w:rsidTr="00D433D8">
        <w:trPr>
          <w:trHeight w:val="264"/>
        </w:trPr>
        <w:tc>
          <w:tcPr>
            <w:tcW w:w="3220" w:type="dxa"/>
            <w:tcBorders>
              <w:left w:val="nil"/>
              <w:bottom w:val="double" w:sz="4" w:space="0" w:color="auto"/>
              <w:right w:val="nil"/>
            </w:tcBorders>
            <w:shd w:val="clear" w:color="auto" w:fill="DAEEF3" w:themeFill="accent5" w:themeFillTint="33"/>
            <w:hideMark/>
          </w:tcPr>
          <w:p w:rsidR="00977A02" w:rsidRPr="00170BC9" w:rsidRDefault="00977A02" w:rsidP="00977A02">
            <w:pPr>
              <w:spacing w:line="240" w:lineRule="auto"/>
              <w:jc w:val="left"/>
              <w:rPr>
                <w:rFonts w:ascii="Times New Roman" w:eastAsia="Times New Roman" w:hAnsi="Times New Roman"/>
                <w:color w:val="000000"/>
                <w:sz w:val="20"/>
                <w:szCs w:val="20"/>
                <w:lang w:eastAsia="fr-FR"/>
              </w:rPr>
            </w:pPr>
            <w:r w:rsidRPr="00170BC9">
              <w:rPr>
                <w:rFonts w:ascii="Times New Roman" w:eastAsia="Times New Roman" w:hAnsi="Times New Roman"/>
                <w:color w:val="000000"/>
                <w:sz w:val="20"/>
                <w:szCs w:val="20"/>
                <w:lang w:eastAsia="fr-FR"/>
              </w:rPr>
              <w:t>Pauvres permanents</w:t>
            </w:r>
          </w:p>
        </w:tc>
        <w:tc>
          <w:tcPr>
            <w:tcW w:w="2025" w:type="dxa"/>
            <w:tcBorders>
              <w:left w:val="nil"/>
              <w:bottom w:val="double" w:sz="4" w:space="0" w:color="auto"/>
              <w:right w:val="nil"/>
            </w:tcBorders>
            <w:shd w:val="clear" w:color="auto" w:fill="DAEEF3" w:themeFill="accent5" w:themeFillTint="33"/>
            <w:noWrap/>
            <w:hideMark/>
          </w:tcPr>
          <w:p w:rsidR="00977A02" w:rsidRPr="002F4433" w:rsidRDefault="00977A02" w:rsidP="00744E9A">
            <w:pPr>
              <w:spacing w:line="240" w:lineRule="auto"/>
              <w:jc w:val="center"/>
              <w:rPr>
                <w:rFonts w:ascii="Times New Roman" w:eastAsia="Times New Roman" w:hAnsi="Times New Roman"/>
                <w:color w:val="000000"/>
                <w:sz w:val="20"/>
                <w:szCs w:val="20"/>
                <w:lang w:eastAsia="fr-FR"/>
              </w:rPr>
            </w:pPr>
            <w:r w:rsidRPr="002F4433">
              <w:rPr>
                <w:rFonts w:ascii="Times New Roman" w:eastAsia="Times New Roman" w:hAnsi="Times New Roman"/>
                <w:color w:val="000000"/>
                <w:sz w:val="20"/>
                <w:szCs w:val="20"/>
                <w:lang w:eastAsia="fr-FR"/>
              </w:rPr>
              <w:t>11,7</w:t>
            </w:r>
          </w:p>
        </w:tc>
        <w:tc>
          <w:tcPr>
            <w:tcW w:w="1701" w:type="dxa"/>
            <w:tcBorders>
              <w:left w:val="nil"/>
              <w:bottom w:val="double" w:sz="4" w:space="0" w:color="auto"/>
              <w:right w:val="nil"/>
            </w:tcBorders>
            <w:shd w:val="clear" w:color="auto" w:fill="DAEEF3" w:themeFill="accent5" w:themeFillTint="33"/>
            <w:noWrap/>
            <w:hideMark/>
          </w:tcPr>
          <w:p w:rsidR="00977A02" w:rsidRPr="002F4433" w:rsidRDefault="00977A02" w:rsidP="00744E9A">
            <w:pPr>
              <w:spacing w:line="240" w:lineRule="auto"/>
              <w:jc w:val="center"/>
              <w:rPr>
                <w:rFonts w:ascii="Times New Roman" w:eastAsia="Times New Roman" w:hAnsi="Times New Roman"/>
                <w:color w:val="000000"/>
                <w:sz w:val="20"/>
                <w:szCs w:val="20"/>
                <w:lang w:eastAsia="fr-FR"/>
              </w:rPr>
            </w:pPr>
            <w:r w:rsidRPr="002F4433">
              <w:rPr>
                <w:rFonts w:ascii="Times New Roman" w:eastAsia="Times New Roman" w:hAnsi="Times New Roman"/>
                <w:color w:val="000000"/>
                <w:sz w:val="20"/>
                <w:szCs w:val="20"/>
                <w:lang w:eastAsia="fr-FR"/>
              </w:rPr>
              <w:t>22,8</w:t>
            </w:r>
          </w:p>
        </w:tc>
        <w:tc>
          <w:tcPr>
            <w:tcW w:w="2268" w:type="dxa"/>
            <w:tcBorders>
              <w:left w:val="nil"/>
              <w:bottom w:val="double" w:sz="4" w:space="0" w:color="auto"/>
              <w:right w:val="nil"/>
            </w:tcBorders>
            <w:shd w:val="clear" w:color="auto" w:fill="DAEEF3" w:themeFill="accent5" w:themeFillTint="33"/>
            <w:noWrap/>
            <w:hideMark/>
          </w:tcPr>
          <w:p w:rsidR="00977A02" w:rsidRPr="002F4433" w:rsidRDefault="00977A02" w:rsidP="00744E9A">
            <w:pPr>
              <w:spacing w:line="240" w:lineRule="auto"/>
              <w:jc w:val="center"/>
              <w:rPr>
                <w:rFonts w:ascii="Times New Roman" w:eastAsia="Times New Roman" w:hAnsi="Times New Roman"/>
                <w:color w:val="000000"/>
                <w:sz w:val="20"/>
                <w:szCs w:val="20"/>
                <w:lang w:eastAsia="fr-FR"/>
              </w:rPr>
            </w:pPr>
            <w:r w:rsidRPr="002F4433">
              <w:rPr>
                <w:rFonts w:ascii="Times New Roman" w:eastAsia="Times New Roman" w:hAnsi="Times New Roman"/>
                <w:color w:val="000000"/>
                <w:sz w:val="20"/>
                <w:szCs w:val="20"/>
                <w:lang w:eastAsia="fr-FR"/>
              </w:rPr>
              <w:t>42,5</w:t>
            </w:r>
          </w:p>
        </w:tc>
      </w:tr>
      <w:tr w:rsidR="00977A02" w:rsidRPr="00956782" w:rsidTr="00D433D8">
        <w:trPr>
          <w:trHeight w:val="264"/>
        </w:trPr>
        <w:tc>
          <w:tcPr>
            <w:tcW w:w="9214" w:type="dxa"/>
            <w:gridSpan w:val="4"/>
            <w:tcBorders>
              <w:top w:val="double" w:sz="4" w:space="0" w:color="auto"/>
              <w:left w:val="nil"/>
              <w:right w:val="nil"/>
            </w:tcBorders>
            <w:shd w:val="clear" w:color="auto" w:fill="DAEEF3" w:themeFill="accent5" w:themeFillTint="33"/>
            <w:hideMark/>
          </w:tcPr>
          <w:p w:rsidR="00977A02" w:rsidRPr="00977A02" w:rsidRDefault="00977A02" w:rsidP="00977A02">
            <w:pPr>
              <w:spacing w:line="240" w:lineRule="auto"/>
              <w:jc w:val="left"/>
              <w:rPr>
                <w:rFonts w:ascii="Times New Roman" w:eastAsia="Times New Roman" w:hAnsi="Times New Roman"/>
                <w:color w:val="000000"/>
                <w:sz w:val="20"/>
                <w:szCs w:val="20"/>
                <w:lang w:eastAsia="fr-FR"/>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977A02" w:rsidRDefault="00977A02" w:rsidP="00401A60">
      <w:pPr>
        <w:spacing w:line="276" w:lineRule="auto"/>
        <w:rPr>
          <w:rFonts w:ascii="Times New Roman" w:hAnsi="Times New Roman"/>
          <w:sz w:val="24"/>
          <w:szCs w:val="24"/>
        </w:rPr>
      </w:pPr>
    </w:p>
    <w:p w:rsidR="00472470" w:rsidRDefault="00472470" w:rsidP="00472470">
      <w:pPr>
        <w:spacing w:line="276" w:lineRule="auto"/>
        <w:rPr>
          <w:rFonts w:ascii="Times New Roman" w:hAnsi="Times New Roman"/>
          <w:sz w:val="24"/>
          <w:szCs w:val="24"/>
        </w:rPr>
      </w:pPr>
      <w:r w:rsidRPr="007C1C1E">
        <w:rPr>
          <w:rFonts w:ascii="Times New Roman" w:hAnsi="Times New Roman"/>
          <w:sz w:val="24"/>
          <w:szCs w:val="24"/>
        </w:rPr>
        <w:t xml:space="preserve">L’analyse selon le statut de pauvreté révèle que le sous-emploi visible est un peu plus élevé chez </w:t>
      </w:r>
      <w:r w:rsidR="009B1846">
        <w:rPr>
          <w:rFonts w:ascii="Times New Roman" w:hAnsi="Times New Roman"/>
          <w:sz w:val="24"/>
          <w:szCs w:val="24"/>
        </w:rPr>
        <w:t xml:space="preserve">les </w:t>
      </w:r>
      <w:r w:rsidRPr="007C1C1E">
        <w:rPr>
          <w:rFonts w:ascii="Times New Roman" w:hAnsi="Times New Roman"/>
          <w:sz w:val="24"/>
          <w:szCs w:val="24"/>
        </w:rPr>
        <w:t>individus vivant dans des ménages dont le chef est non pauvre que chez ceux dont le chef est pauvre permanent (25,3% contre 22,8%). Par contre, il n’y a pas de différence significative entre les individus vivant dans des ménages dont le chef est non pauvre et ceux vivant dans des ménages dont le chef est pauvre transitoire (25,3% contre 25,1%).</w:t>
      </w:r>
    </w:p>
    <w:p w:rsidR="009240AE" w:rsidRPr="007C1C1E" w:rsidRDefault="009240AE" w:rsidP="00401A60">
      <w:pPr>
        <w:spacing w:line="276" w:lineRule="auto"/>
        <w:rPr>
          <w:rFonts w:ascii="Times New Roman" w:hAnsi="Times New Roman"/>
          <w:sz w:val="24"/>
          <w:szCs w:val="24"/>
        </w:rPr>
      </w:pPr>
    </w:p>
    <w:p w:rsidR="00401A60" w:rsidRPr="009240AE" w:rsidRDefault="009E3D3A" w:rsidP="00401A60">
      <w:pPr>
        <w:spacing w:line="240" w:lineRule="auto"/>
        <w:rPr>
          <w:rFonts w:ascii="Times New Roman" w:hAnsi="Times New Roman"/>
          <w:b/>
          <w:color w:val="31849B" w:themeColor="accent5" w:themeShade="BF"/>
          <w:sz w:val="28"/>
          <w:szCs w:val="28"/>
        </w:rPr>
      </w:pPr>
      <w:r w:rsidRPr="009240AE">
        <w:rPr>
          <w:rFonts w:ascii="Times New Roman" w:hAnsi="Times New Roman"/>
          <w:b/>
          <w:color w:val="31849B" w:themeColor="accent5" w:themeShade="BF"/>
          <w:sz w:val="28"/>
          <w:szCs w:val="28"/>
        </w:rPr>
        <w:t>5</w:t>
      </w:r>
      <w:r w:rsidR="00744E9A" w:rsidRPr="009240AE">
        <w:rPr>
          <w:rFonts w:ascii="Times New Roman" w:hAnsi="Times New Roman"/>
          <w:b/>
          <w:color w:val="31849B" w:themeColor="accent5" w:themeShade="BF"/>
          <w:sz w:val="28"/>
          <w:szCs w:val="28"/>
        </w:rPr>
        <w:t>.6</w:t>
      </w:r>
      <w:r w:rsidR="009920CB">
        <w:rPr>
          <w:rFonts w:ascii="Times New Roman" w:hAnsi="Times New Roman"/>
          <w:b/>
          <w:color w:val="31849B" w:themeColor="accent5" w:themeShade="BF"/>
          <w:sz w:val="28"/>
          <w:szCs w:val="28"/>
        </w:rPr>
        <w:t xml:space="preserve"> </w:t>
      </w:r>
      <w:r w:rsidR="00401A60" w:rsidRPr="009240AE">
        <w:rPr>
          <w:rFonts w:ascii="Times New Roman" w:hAnsi="Times New Roman"/>
          <w:b/>
          <w:color w:val="31849B" w:themeColor="accent5" w:themeShade="BF"/>
          <w:sz w:val="28"/>
          <w:szCs w:val="28"/>
        </w:rPr>
        <w:t>Analyse de l’empl</w:t>
      </w:r>
      <w:r w:rsidR="00744E9A" w:rsidRPr="009240AE">
        <w:rPr>
          <w:rFonts w:ascii="Times New Roman" w:hAnsi="Times New Roman"/>
          <w:b/>
          <w:color w:val="31849B" w:themeColor="accent5" w:themeShade="BF"/>
          <w:sz w:val="28"/>
          <w:szCs w:val="28"/>
        </w:rPr>
        <w:t>oi des jeunes</w:t>
      </w:r>
    </w:p>
    <w:p w:rsidR="00401A60" w:rsidRDefault="00401A60" w:rsidP="00401A60">
      <w:pPr>
        <w:pStyle w:val="Standard"/>
        <w:jc w:val="both"/>
      </w:pPr>
    </w:p>
    <w:p w:rsidR="00401A60" w:rsidRPr="00014EF7" w:rsidRDefault="00401A60" w:rsidP="00401A60">
      <w:pPr>
        <w:pStyle w:val="Standard"/>
        <w:spacing w:line="276" w:lineRule="auto"/>
        <w:jc w:val="both"/>
      </w:pPr>
      <w:r w:rsidRPr="00014EF7">
        <w:t xml:space="preserve">Le tableau </w:t>
      </w:r>
      <w:r w:rsidR="004B093B">
        <w:t>5</w:t>
      </w:r>
      <w:r>
        <w:t>.1</w:t>
      </w:r>
      <w:r w:rsidR="00354A0B">
        <w:t>2</w:t>
      </w:r>
      <w:r w:rsidRPr="00014EF7">
        <w:t xml:space="preserve"> présente un certain nombre d’indicateurs clés permettant de mieux apprécier les caractéristiques de  l’emploi des jeunes. </w:t>
      </w:r>
      <w:r>
        <w:t xml:space="preserve">Ce tableau montre que les difficultés dans le marché du travail se posent toujours avec plus d’acuité pour les jeunes. Même si plus de 98% </w:t>
      </w:r>
      <w:r w:rsidR="004E6B3F">
        <w:t xml:space="preserve">des </w:t>
      </w:r>
      <w:r>
        <w:t xml:space="preserve">jeunes de 15-34 ans sont pourvus d’un emploi, il importe de se demander de quel type d’emploi s’agit-il, car de nos jours, il ne suffit pas simplement d’avoir un emploi, mais aussi d’avoir un emploi décent. A ce propos, l’emploi des jeunes souffre d’énormes insuffisances car 30,4% de jeunes sont sous-employés de façon visible à travers le nombre d’heures de travail et 63,2% de façon invisible à travers des rémunérations précaires et indécentes.  Une autre réalité poignante de l’emploi des jeunes c’est que seulement 7,9% des jeunes bénéficient d’un emploi salarié. Ce pourcentage met en évidence les difficultés d’absorption de la demande de travail des jeunes par le marché du travail et la nécessité pour les jeunes de se prendre en charge. Compte tenu des difficultés d’insertion dans le marché du travail formel qui est généralement l’emploi salarié, la plupart des jeunes se tournent vers l’auto-emploi dans le secteur informel. Le tableau </w:t>
      </w:r>
      <w:r w:rsidR="004B093B">
        <w:t>5</w:t>
      </w:r>
      <w:r>
        <w:t>.1</w:t>
      </w:r>
      <w:r w:rsidR="00354A0B">
        <w:t>2</w:t>
      </w:r>
      <w:r>
        <w:t xml:space="preserve"> montre que près de 94% au moins des jeunes de 15-34 ans pourvus d’un emploi sont auto-employés et plus de 83 % occupent des emplois vulnérables. </w:t>
      </w:r>
    </w:p>
    <w:p w:rsidR="00401A60" w:rsidRPr="00A86EDF" w:rsidRDefault="00401A60" w:rsidP="00401A60">
      <w:pPr>
        <w:rPr>
          <w:rFonts w:ascii="Times New Roman" w:hAnsi="Times New Roman"/>
          <w:b/>
          <w:sz w:val="18"/>
          <w:szCs w:val="18"/>
        </w:rPr>
      </w:pPr>
    </w:p>
    <w:tbl>
      <w:tblPr>
        <w:tblW w:w="9709" w:type="dxa"/>
        <w:tblLayout w:type="fixed"/>
        <w:tblCellMar>
          <w:left w:w="70" w:type="dxa"/>
          <w:right w:w="70" w:type="dxa"/>
        </w:tblCellMar>
        <w:tblLook w:val="04A0" w:firstRow="1" w:lastRow="0" w:firstColumn="1" w:lastColumn="0" w:noHBand="0" w:noVBand="1"/>
      </w:tblPr>
      <w:tblGrid>
        <w:gridCol w:w="1104"/>
        <w:gridCol w:w="31"/>
        <w:gridCol w:w="788"/>
        <w:gridCol w:w="957"/>
        <w:gridCol w:w="876"/>
        <w:gridCol w:w="709"/>
        <w:gridCol w:w="799"/>
        <w:gridCol w:w="51"/>
        <w:gridCol w:w="845"/>
        <w:gridCol w:w="683"/>
        <w:gridCol w:w="957"/>
        <w:gridCol w:w="819"/>
        <w:gridCol w:w="1090"/>
      </w:tblGrid>
      <w:tr w:rsidR="00560081" w:rsidRPr="00560081" w:rsidTr="00560081">
        <w:trPr>
          <w:trHeight w:val="422"/>
        </w:trPr>
        <w:tc>
          <w:tcPr>
            <w:tcW w:w="9709" w:type="dxa"/>
            <w:gridSpan w:val="13"/>
            <w:tcBorders>
              <w:left w:val="nil"/>
              <w:bottom w:val="double" w:sz="4" w:space="0" w:color="auto"/>
              <w:right w:val="nil"/>
            </w:tcBorders>
            <w:shd w:val="clear" w:color="auto" w:fill="92CDDC" w:themeFill="accent5" w:themeFillTint="99"/>
            <w:vAlign w:val="bottom"/>
            <w:hideMark/>
          </w:tcPr>
          <w:p w:rsidR="00560081" w:rsidRPr="00560081" w:rsidRDefault="00560081" w:rsidP="00560081">
            <w:pPr>
              <w:spacing w:line="240" w:lineRule="auto"/>
              <w:jc w:val="left"/>
              <w:rPr>
                <w:rFonts w:ascii="Times New Roman" w:eastAsia="Times New Roman" w:hAnsi="Times New Roman"/>
                <w:color w:val="000000"/>
                <w:sz w:val="24"/>
                <w:szCs w:val="24"/>
                <w:lang w:eastAsia="fr-FR"/>
              </w:rPr>
            </w:pPr>
            <w:bookmarkStart w:id="179" w:name="_Toc369714526"/>
            <w:bookmarkStart w:id="180" w:name="_Toc373430451"/>
            <w:r w:rsidRPr="00560081">
              <w:rPr>
                <w:rFonts w:ascii="Times New Roman" w:hAnsi="Times New Roman"/>
                <w:sz w:val="24"/>
                <w:szCs w:val="24"/>
              </w:rPr>
              <w:t>Tableau 5.</w:t>
            </w:r>
            <w:r w:rsidR="00182C97" w:rsidRPr="00560081">
              <w:rPr>
                <w:rFonts w:ascii="Times New Roman" w:hAnsi="Times New Roman"/>
                <w:sz w:val="24"/>
                <w:szCs w:val="24"/>
              </w:rPr>
              <w:fldChar w:fldCharType="begin"/>
            </w:r>
            <w:r w:rsidRPr="00560081">
              <w:rPr>
                <w:rFonts w:ascii="Times New Roman" w:hAnsi="Times New Roman"/>
                <w:sz w:val="24"/>
                <w:szCs w:val="24"/>
              </w:rPr>
              <w:instrText xml:space="preserve"> SEQ Tableau_5. \* ARABIC </w:instrText>
            </w:r>
            <w:r w:rsidR="00182C97" w:rsidRPr="00560081">
              <w:rPr>
                <w:rFonts w:ascii="Times New Roman" w:hAnsi="Times New Roman"/>
                <w:sz w:val="24"/>
                <w:szCs w:val="24"/>
              </w:rPr>
              <w:fldChar w:fldCharType="separate"/>
            </w:r>
            <w:r w:rsidR="00AB1967">
              <w:rPr>
                <w:rFonts w:ascii="Times New Roman" w:hAnsi="Times New Roman"/>
                <w:noProof/>
                <w:sz w:val="24"/>
                <w:szCs w:val="24"/>
              </w:rPr>
              <w:t>12</w:t>
            </w:r>
            <w:r w:rsidR="00182C97" w:rsidRPr="00560081">
              <w:rPr>
                <w:rFonts w:ascii="Times New Roman" w:hAnsi="Times New Roman"/>
                <w:sz w:val="24"/>
                <w:szCs w:val="24"/>
              </w:rPr>
              <w:fldChar w:fldCharType="end"/>
            </w:r>
            <w:r w:rsidRPr="00560081">
              <w:rPr>
                <w:rFonts w:ascii="Times New Roman" w:hAnsi="Times New Roman"/>
                <w:sz w:val="24"/>
                <w:szCs w:val="24"/>
              </w:rPr>
              <w:t>: Quelques caractéristiques de l’emploi des jeunes au Bénin</w:t>
            </w:r>
            <w:bookmarkEnd w:id="179"/>
            <w:bookmarkEnd w:id="180"/>
          </w:p>
        </w:tc>
      </w:tr>
      <w:tr w:rsidR="00401A60" w:rsidRPr="00BD0B1E" w:rsidTr="00560081">
        <w:trPr>
          <w:trHeight w:val="1359"/>
        </w:trPr>
        <w:tc>
          <w:tcPr>
            <w:tcW w:w="1104"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 </w:t>
            </w:r>
          </w:p>
        </w:tc>
        <w:tc>
          <w:tcPr>
            <w:tcW w:w="819" w:type="dxa"/>
            <w:gridSpan w:val="2"/>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d'occupation</w:t>
            </w:r>
          </w:p>
        </w:tc>
        <w:tc>
          <w:tcPr>
            <w:tcW w:w="957"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 chômage élargi</w:t>
            </w:r>
          </w:p>
        </w:tc>
        <w:tc>
          <w:tcPr>
            <w:tcW w:w="876"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Durée chômage (BIT)</w:t>
            </w:r>
          </w:p>
        </w:tc>
        <w:tc>
          <w:tcPr>
            <w:tcW w:w="709"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 sous-emploi visible</w:t>
            </w:r>
          </w:p>
        </w:tc>
        <w:tc>
          <w:tcPr>
            <w:tcW w:w="850" w:type="dxa"/>
            <w:gridSpan w:val="2"/>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 sous-emploi invisible</w:t>
            </w:r>
          </w:p>
        </w:tc>
        <w:tc>
          <w:tcPr>
            <w:tcW w:w="845"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Emplois salariés non agricoles</w:t>
            </w:r>
          </w:p>
        </w:tc>
        <w:tc>
          <w:tcPr>
            <w:tcW w:w="683"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d'auto-emploi</w:t>
            </w:r>
          </w:p>
        </w:tc>
        <w:tc>
          <w:tcPr>
            <w:tcW w:w="957"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Proportion Jeunes dans les emplois précaires (%)</w:t>
            </w:r>
          </w:p>
        </w:tc>
        <w:tc>
          <w:tcPr>
            <w:tcW w:w="819"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Jeunes dans le secteur informel (%)</w:t>
            </w:r>
          </w:p>
        </w:tc>
        <w:tc>
          <w:tcPr>
            <w:tcW w:w="1090" w:type="dxa"/>
            <w:tcBorders>
              <w:top w:val="double" w:sz="4" w:space="0" w:color="auto"/>
              <w:left w:val="nil"/>
              <w:bottom w:val="single" w:sz="4" w:space="0" w:color="auto"/>
              <w:right w:val="nil"/>
            </w:tcBorders>
            <w:shd w:val="clear" w:color="auto" w:fill="DAEEF3" w:themeFill="accent5" w:themeFillTint="33"/>
            <w:vAlign w:val="bottom"/>
            <w:hideMark/>
          </w:tcPr>
          <w:p w:rsidR="00401A60" w:rsidRPr="00AC76D3" w:rsidRDefault="00401A60" w:rsidP="00224ADE">
            <w:pPr>
              <w:spacing w:line="240" w:lineRule="auto"/>
              <w:jc w:val="center"/>
              <w:rPr>
                <w:rFonts w:ascii="Times New Roman" w:eastAsia="Times New Roman" w:hAnsi="Times New Roman"/>
                <w:color w:val="000000"/>
                <w:sz w:val="19"/>
                <w:szCs w:val="19"/>
                <w:lang w:eastAsia="fr-FR"/>
              </w:rPr>
            </w:pPr>
            <w:r w:rsidRPr="00AC76D3">
              <w:rPr>
                <w:rFonts w:ascii="Times New Roman" w:eastAsia="Times New Roman" w:hAnsi="Times New Roman"/>
                <w:color w:val="000000"/>
                <w:sz w:val="19"/>
                <w:szCs w:val="19"/>
                <w:lang w:eastAsia="fr-FR"/>
              </w:rPr>
              <w:t>Taux d'emplois vulnérables (%)</w:t>
            </w:r>
          </w:p>
        </w:tc>
      </w:tr>
      <w:tr w:rsidR="00401A60" w:rsidRPr="00BD0B1E" w:rsidTr="004E6B3F">
        <w:trPr>
          <w:trHeight w:val="340"/>
        </w:trPr>
        <w:tc>
          <w:tcPr>
            <w:tcW w:w="9709" w:type="dxa"/>
            <w:gridSpan w:val="13"/>
            <w:tcBorders>
              <w:top w:val="nil"/>
              <w:left w:val="nil"/>
              <w:bottom w:val="nil"/>
              <w:right w:val="nil"/>
            </w:tcBorders>
            <w:shd w:val="clear" w:color="auto" w:fill="DAEEF3" w:themeFill="accent5" w:themeFillTint="33"/>
          </w:tcPr>
          <w:p w:rsidR="00401A60" w:rsidRPr="00BD0B1E" w:rsidRDefault="00401A60" w:rsidP="00224ADE">
            <w:pPr>
              <w:spacing w:line="240" w:lineRule="auto"/>
              <w:rPr>
                <w:rFonts w:ascii="Times New Roman" w:eastAsia="Times New Roman" w:hAnsi="Times New Roman"/>
                <w:b/>
                <w:color w:val="000000"/>
                <w:lang w:eastAsia="fr-FR"/>
              </w:rPr>
            </w:pPr>
            <w:r w:rsidRPr="00BD0B1E">
              <w:rPr>
                <w:rFonts w:ascii="Times New Roman" w:eastAsia="Times New Roman" w:hAnsi="Times New Roman"/>
                <w:b/>
                <w:color w:val="000000"/>
                <w:lang w:eastAsia="fr-FR"/>
              </w:rPr>
              <w:t>Milieu de résidence</w:t>
            </w:r>
          </w:p>
        </w:tc>
      </w:tr>
      <w:tr w:rsidR="00401A60" w:rsidRPr="00BD0B1E" w:rsidTr="004E6B3F">
        <w:trPr>
          <w:trHeight w:val="340"/>
        </w:trPr>
        <w:tc>
          <w:tcPr>
            <w:tcW w:w="1135" w:type="dxa"/>
            <w:gridSpan w:val="2"/>
            <w:tcBorders>
              <w:top w:val="nil"/>
              <w:left w:val="nil"/>
              <w:bottom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Urbain</w:t>
            </w:r>
          </w:p>
        </w:tc>
        <w:tc>
          <w:tcPr>
            <w:tcW w:w="788"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97,3</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2,7</w:t>
            </w:r>
          </w:p>
        </w:tc>
        <w:tc>
          <w:tcPr>
            <w:tcW w:w="876"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35,9</w:t>
            </w:r>
          </w:p>
        </w:tc>
        <w:tc>
          <w:tcPr>
            <w:tcW w:w="70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24,8</w:t>
            </w:r>
          </w:p>
        </w:tc>
        <w:tc>
          <w:tcPr>
            <w:tcW w:w="79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52,6</w:t>
            </w:r>
          </w:p>
        </w:tc>
        <w:tc>
          <w:tcPr>
            <w:tcW w:w="896"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15,0</w:t>
            </w:r>
          </w:p>
        </w:tc>
        <w:tc>
          <w:tcPr>
            <w:tcW w:w="683"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60,1</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11,0</w:t>
            </w:r>
          </w:p>
        </w:tc>
        <w:tc>
          <w:tcPr>
            <w:tcW w:w="81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90,3</w:t>
            </w:r>
          </w:p>
        </w:tc>
        <w:tc>
          <w:tcPr>
            <w:tcW w:w="1090"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73,3</w:t>
            </w:r>
          </w:p>
        </w:tc>
      </w:tr>
      <w:tr w:rsidR="00401A60" w:rsidRPr="00BD0B1E" w:rsidTr="004E6B3F">
        <w:trPr>
          <w:trHeight w:val="340"/>
        </w:trPr>
        <w:tc>
          <w:tcPr>
            <w:tcW w:w="1135" w:type="dxa"/>
            <w:gridSpan w:val="2"/>
            <w:tcBorders>
              <w:top w:val="nil"/>
              <w:left w:val="nil"/>
              <w:bottom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Rural</w:t>
            </w:r>
          </w:p>
        </w:tc>
        <w:tc>
          <w:tcPr>
            <w:tcW w:w="788"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99,1</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0,9</w:t>
            </w:r>
          </w:p>
        </w:tc>
        <w:tc>
          <w:tcPr>
            <w:tcW w:w="876"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43,3</w:t>
            </w:r>
          </w:p>
        </w:tc>
        <w:tc>
          <w:tcPr>
            <w:tcW w:w="70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34,6</w:t>
            </w:r>
          </w:p>
        </w:tc>
        <w:tc>
          <w:tcPr>
            <w:tcW w:w="79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71,2</w:t>
            </w:r>
          </w:p>
        </w:tc>
        <w:tc>
          <w:tcPr>
            <w:tcW w:w="896"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2,6</w:t>
            </w:r>
          </w:p>
        </w:tc>
        <w:tc>
          <w:tcPr>
            <w:tcW w:w="683"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63,9</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18,8</w:t>
            </w:r>
          </w:p>
        </w:tc>
        <w:tc>
          <w:tcPr>
            <w:tcW w:w="81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98,4</w:t>
            </w:r>
          </w:p>
        </w:tc>
        <w:tc>
          <w:tcPr>
            <w:tcW w:w="1090"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91,7</w:t>
            </w:r>
          </w:p>
        </w:tc>
      </w:tr>
      <w:tr w:rsidR="00401A60" w:rsidRPr="00BD0B1E" w:rsidTr="004E6B3F">
        <w:trPr>
          <w:trHeight w:val="340"/>
        </w:trPr>
        <w:tc>
          <w:tcPr>
            <w:tcW w:w="9709" w:type="dxa"/>
            <w:gridSpan w:val="13"/>
            <w:tcBorders>
              <w:top w:val="nil"/>
              <w:left w:val="nil"/>
              <w:bottom w:val="nil"/>
              <w:right w:val="nil"/>
            </w:tcBorders>
            <w:shd w:val="clear" w:color="auto" w:fill="DAEEF3" w:themeFill="accent5" w:themeFillTint="33"/>
          </w:tcPr>
          <w:p w:rsidR="00401A60" w:rsidRPr="00BD0B1E" w:rsidRDefault="00401A60" w:rsidP="00224ADE">
            <w:pPr>
              <w:spacing w:line="240" w:lineRule="auto"/>
              <w:rPr>
                <w:rFonts w:ascii="Times New Roman" w:eastAsia="Times New Roman" w:hAnsi="Times New Roman"/>
                <w:b/>
                <w:color w:val="000000"/>
                <w:lang w:eastAsia="fr-FR"/>
              </w:rPr>
            </w:pPr>
            <w:r w:rsidRPr="00BD0B1E">
              <w:rPr>
                <w:rFonts w:ascii="Times New Roman" w:eastAsia="Times New Roman" w:hAnsi="Times New Roman"/>
                <w:b/>
                <w:color w:val="000000"/>
                <w:lang w:eastAsia="fr-FR"/>
              </w:rPr>
              <w:t>Sexe du jeune</w:t>
            </w:r>
          </w:p>
        </w:tc>
      </w:tr>
      <w:tr w:rsidR="00401A60" w:rsidRPr="00BD0B1E" w:rsidTr="004E6B3F">
        <w:trPr>
          <w:trHeight w:val="340"/>
        </w:trPr>
        <w:tc>
          <w:tcPr>
            <w:tcW w:w="1135" w:type="dxa"/>
            <w:gridSpan w:val="2"/>
            <w:tcBorders>
              <w:top w:val="nil"/>
              <w:left w:val="nil"/>
              <w:bottom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Masculin</w:t>
            </w:r>
          </w:p>
        </w:tc>
        <w:tc>
          <w:tcPr>
            <w:tcW w:w="788"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98,4</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1,6</w:t>
            </w:r>
          </w:p>
        </w:tc>
        <w:tc>
          <w:tcPr>
            <w:tcW w:w="876"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30,4</w:t>
            </w:r>
          </w:p>
        </w:tc>
        <w:tc>
          <w:tcPr>
            <w:tcW w:w="70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24,0</w:t>
            </w:r>
          </w:p>
        </w:tc>
        <w:tc>
          <w:tcPr>
            <w:tcW w:w="79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48,2</w:t>
            </w:r>
          </w:p>
        </w:tc>
        <w:tc>
          <w:tcPr>
            <w:tcW w:w="896"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12,7</w:t>
            </w:r>
          </w:p>
        </w:tc>
        <w:tc>
          <w:tcPr>
            <w:tcW w:w="683"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58,6</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17,7</w:t>
            </w:r>
          </w:p>
        </w:tc>
        <w:tc>
          <w:tcPr>
            <w:tcW w:w="81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91,8</w:t>
            </w:r>
          </w:p>
        </w:tc>
        <w:tc>
          <w:tcPr>
            <w:tcW w:w="1090"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76,0</w:t>
            </w:r>
          </w:p>
        </w:tc>
      </w:tr>
      <w:tr w:rsidR="00401A60" w:rsidRPr="00BD0B1E" w:rsidTr="004E6B3F">
        <w:trPr>
          <w:trHeight w:val="340"/>
        </w:trPr>
        <w:tc>
          <w:tcPr>
            <w:tcW w:w="1135" w:type="dxa"/>
            <w:gridSpan w:val="2"/>
            <w:tcBorders>
              <w:top w:val="nil"/>
              <w:left w:val="nil"/>
              <w:bottom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Féminin</w:t>
            </w:r>
          </w:p>
        </w:tc>
        <w:tc>
          <w:tcPr>
            <w:tcW w:w="788"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98,2</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1,8</w:t>
            </w:r>
          </w:p>
        </w:tc>
        <w:tc>
          <w:tcPr>
            <w:tcW w:w="876"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43,5</w:t>
            </w:r>
          </w:p>
        </w:tc>
        <w:tc>
          <w:tcPr>
            <w:tcW w:w="70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35,2</w:t>
            </w:r>
          </w:p>
        </w:tc>
        <w:tc>
          <w:tcPr>
            <w:tcW w:w="79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74,7</w:t>
            </w:r>
          </w:p>
        </w:tc>
        <w:tc>
          <w:tcPr>
            <w:tcW w:w="896"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4,4</w:t>
            </w:r>
          </w:p>
        </w:tc>
        <w:tc>
          <w:tcPr>
            <w:tcW w:w="683"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65,1</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13,7</w:t>
            </w:r>
          </w:p>
        </w:tc>
        <w:tc>
          <w:tcPr>
            <w:tcW w:w="81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97,3</w:t>
            </w:r>
          </w:p>
        </w:tc>
        <w:tc>
          <w:tcPr>
            <w:tcW w:w="1090"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89,6</w:t>
            </w:r>
          </w:p>
        </w:tc>
      </w:tr>
      <w:tr w:rsidR="00401A60" w:rsidRPr="00BD0B1E" w:rsidTr="004E6B3F">
        <w:trPr>
          <w:trHeight w:val="340"/>
        </w:trPr>
        <w:tc>
          <w:tcPr>
            <w:tcW w:w="9709" w:type="dxa"/>
            <w:gridSpan w:val="13"/>
            <w:tcBorders>
              <w:top w:val="nil"/>
              <w:left w:val="nil"/>
              <w:bottom w:val="nil"/>
              <w:right w:val="nil"/>
            </w:tcBorders>
            <w:shd w:val="clear" w:color="auto" w:fill="DAEEF3" w:themeFill="accent5" w:themeFillTint="33"/>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b/>
                <w:color w:val="000000"/>
                <w:lang w:eastAsia="fr-FR"/>
              </w:rPr>
              <w:t>Age du jeune (années)</w:t>
            </w:r>
          </w:p>
        </w:tc>
      </w:tr>
      <w:tr w:rsidR="00401A60" w:rsidRPr="00BD0B1E" w:rsidTr="004E6B3F">
        <w:trPr>
          <w:trHeight w:val="340"/>
        </w:trPr>
        <w:tc>
          <w:tcPr>
            <w:tcW w:w="1104" w:type="dxa"/>
            <w:tcBorders>
              <w:top w:val="nil"/>
              <w:left w:val="nil"/>
              <w:bottom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15-19</w:t>
            </w:r>
          </w:p>
        </w:tc>
        <w:tc>
          <w:tcPr>
            <w:tcW w:w="819"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98,6</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1,4</w:t>
            </w:r>
          </w:p>
        </w:tc>
        <w:tc>
          <w:tcPr>
            <w:tcW w:w="876"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40,1</w:t>
            </w:r>
          </w:p>
        </w:tc>
        <w:tc>
          <w:tcPr>
            <w:tcW w:w="70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31,6</w:t>
            </w:r>
          </w:p>
        </w:tc>
        <w:tc>
          <w:tcPr>
            <w:tcW w:w="79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90,5</w:t>
            </w:r>
          </w:p>
        </w:tc>
        <w:tc>
          <w:tcPr>
            <w:tcW w:w="896"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w:t>
            </w:r>
          </w:p>
        </w:tc>
        <w:tc>
          <w:tcPr>
            <w:tcW w:w="683"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17,3</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18,1</w:t>
            </w:r>
          </w:p>
        </w:tc>
        <w:tc>
          <w:tcPr>
            <w:tcW w:w="81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99,1</w:t>
            </w:r>
          </w:p>
        </w:tc>
        <w:tc>
          <w:tcPr>
            <w:tcW w:w="1090"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70,6</w:t>
            </w:r>
          </w:p>
        </w:tc>
      </w:tr>
      <w:tr w:rsidR="00401A60" w:rsidRPr="00BD0B1E" w:rsidTr="004E6B3F">
        <w:trPr>
          <w:trHeight w:val="340"/>
        </w:trPr>
        <w:tc>
          <w:tcPr>
            <w:tcW w:w="1104" w:type="dxa"/>
            <w:tcBorders>
              <w:top w:val="nil"/>
              <w:left w:val="nil"/>
              <w:bottom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20-24</w:t>
            </w:r>
          </w:p>
        </w:tc>
        <w:tc>
          <w:tcPr>
            <w:tcW w:w="819"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96,9</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w:t>
            </w:r>
          </w:p>
        </w:tc>
        <w:tc>
          <w:tcPr>
            <w:tcW w:w="876"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31,2</w:t>
            </w:r>
          </w:p>
        </w:tc>
        <w:tc>
          <w:tcPr>
            <w:tcW w:w="70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32,2</w:t>
            </w:r>
          </w:p>
        </w:tc>
        <w:tc>
          <w:tcPr>
            <w:tcW w:w="79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74,7</w:t>
            </w:r>
          </w:p>
        </w:tc>
        <w:tc>
          <w:tcPr>
            <w:tcW w:w="896" w:type="dxa"/>
            <w:gridSpan w:val="2"/>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6,9</w:t>
            </w:r>
          </w:p>
        </w:tc>
        <w:tc>
          <w:tcPr>
            <w:tcW w:w="683"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49,3</w:t>
            </w:r>
          </w:p>
        </w:tc>
        <w:tc>
          <w:tcPr>
            <w:tcW w:w="957"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16,2</w:t>
            </w:r>
          </w:p>
        </w:tc>
        <w:tc>
          <w:tcPr>
            <w:tcW w:w="819"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96,2</w:t>
            </w:r>
          </w:p>
        </w:tc>
        <w:tc>
          <w:tcPr>
            <w:tcW w:w="1090" w:type="dxa"/>
            <w:tcBorders>
              <w:top w:val="nil"/>
              <w:left w:val="nil"/>
              <w:bottom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79,0</w:t>
            </w:r>
          </w:p>
        </w:tc>
      </w:tr>
      <w:tr w:rsidR="00401A60" w:rsidRPr="00BD0B1E" w:rsidTr="004E6B3F">
        <w:trPr>
          <w:trHeight w:val="340"/>
        </w:trPr>
        <w:tc>
          <w:tcPr>
            <w:tcW w:w="1104" w:type="dxa"/>
            <w:tcBorders>
              <w:top w:val="nil"/>
              <w:left w:val="nil"/>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color w:val="000000"/>
                <w:lang w:eastAsia="fr-FR"/>
              </w:rPr>
            </w:pPr>
            <w:r w:rsidRPr="00BD0B1E">
              <w:rPr>
                <w:rFonts w:ascii="Times New Roman" w:eastAsia="Times New Roman" w:hAnsi="Times New Roman"/>
                <w:color w:val="000000"/>
                <w:lang w:eastAsia="fr-FR"/>
              </w:rPr>
              <w:t>25-34</w:t>
            </w:r>
          </w:p>
        </w:tc>
        <w:tc>
          <w:tcPr>
            <w:tcW w:w="819" w:type="dxa"/>
            <w:gridSpan w:val="2"/>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98,6</w:t>
            </w:r>
          </w:p>
        </w:tc>
        <w:tc>
          <w:tcPr>
            <w:tcW w:w="957"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1,4</w:t>
            </w:r>
          </w:p>
        </w:tc>
        <w:tc>
          <w:tcPr>
            <w:tcW w:w="876"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42,1</w:t>
            </w:r>
          </w:p>
        </w:tc>
        <w:tc>
          <w:tcPr>
            <w:tcW w:w="709"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29,7</w:t>
            </w:r>
          </w:p>
        </w:tc>
        <w:tc>
          <w:tcPr>
            <w:tcW w:w="799"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55,7</w:t>
            </w:r>
          </w:p>
        </w:tc>
        <w:tc>
          <w:tcPr>
            <w:tcW w:w="896" w:type="dxa"/>
            <w:gridSpan w:val="2"/>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9,2</w:t>
            </w:r>
          </w:p>
        </w:tc>
        <w:tc>
          <w:tcPr>
            <w:tcW w:w="683"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75,1</w:t>
            </w:r>
          </w:p>
        </w:tc>
        <w:tc>
          <w:tcPr>
            <w:tcW w:w="957"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14,7</w:t>
            </w:r>
          </w:p>
        </w:tc>
        <w:tc>
          <w:tcPr>
            <w:tcW w:w="819"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93,7</w:t>
            </w:r>
          </w:p>
        </w:tc>
        <w:tc>
          <w:tcPr>
            <w:tcW w:w="1090" w:type="dxa"/>
            <w:tcBorders>
              <w:top w:val="nil"/>
              <w:left w:val="nil"/>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color w:val="000000"/>
                <w:lang w:eastAsia="fr-FR"/>
              </w:rPr>
            </w:pPr>
            <w:r w:rsidRPr="00BD0B1E">
              <w:rPr>
                <w:rFonts w:ascii="Times New Roman" w:eastAsia="Times New Roman" w:hAnsi="Times New Roman"/>
                <w:color w:val="000000"/>
                <w:lang w:eastAsia="fr-FR"/>
              </w:rPr>
              <w:t>87,8</w:t>
            </w:r>
          </w:p>
        </w:tc>
      </w:tr>
      <w:tr w:rsidR="00401A60" w:rsidRPr="00BD0B1E" w:rsidTr="004E6B3F">
        <w:trPr>
          <w:trHeight w:val="340"/>
        </w:trPr>
        <w:tc>
          <w:tcPr>
            <w:tcW w:w="1104" w:type="dxa"/>
            <w:tcBorders>
              <w:top w:val="nil"/>
              <w:left w:val="nil"/>
              <w:bottom w:val="double" w:sz="4" w:space="0" w:color="auto"/>
              <w:right w:val="nil"/>
            </w:tcBorders>
            <w:shd w:val="clear" w:color="auto" w:fill="DAEEF3" w:themeFill="accent5" w:themeFillTint="33"/>
            <w:hideMark/>
          </w:tcPr>
          <w:p w:rsidR="00401A60" w:rsidRPr="00BD0B1E" w:rsidRDefault="00401A60" w:rsidP="00224ADE">
            <w:pPr>
              <w:spacing w:line="240" w:lineRule="auto"/>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Total</w:t>
            </w:r>
          </w:p>
        </w:tc>
        <w:tc>
          <w:tcPr>
            <w:tcW w:w="819" w:type="dxa"/>
            <w:gridSpan w:val="2"/>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98,3</w:t>
            </w:r>
          </w:p>
        </w:tc>
        <w:tc>
          <w:tcPr>
            <w:tcW w:w="957"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1,7</w:t>
            </w:r>
          </w:p>
        </w:tc>
        <w:tc>
          <w:tcPr>
            <w:tcW w:w="876"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37,9</w:t>
            </w:r>
          </w:p>
        </w:tc>
        <w:tc>
          <w:tcPr>
            <w:tcW w:w="709"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30,4</w:t>
            </w:r>
          </w:p>
        </w:tc>
        <w:tc>
          <w:tcPr>
            <w:tcW w:w="799"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63,2</w:t>
            </w:r>
          </w:p>
        </w:tc>
        <w:tc>
          <w:tcPr>
            <w:tcW w:w="896" w:type="dxa"/>
            <w:gridSpan w:val="2"/>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7,9</w:t>
            </w:r>
          </w:p>
        </w:tc>
        <w:tc>
          <w:tcPr>
            <w:tcW w:w="683"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62,3</w:t>
            </w:r>
          </w:p>
        </w:tc>
        <w:tc>
          <w:tcPr>
            <w:tcW w:w="957"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15,4</w:t>
            </w:r>
          </w:p>
        </w:tc>
        <w:tc>
          <w:tcPr>
            <w:tcW w:w="819"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94,9</w:t>
            </w:r>
          </w:p>
        </w:tc>
        <w:tc>
          <w:tcPr>
            <w:tcW w:w="1090" w:type="dxa"/>
            <w:tcBorders>
              <w:top w:val="nil"/>
              <w:left w:val="nil"/>
              <w:bottom w:val="double" w:sz="4" w:space="0" w:color="auto"/>
              <w:right w:val="nil"/>
            </w:tcBorders>
            <w:shd w:val="clear" w:color="auto" w:fill="DAEEF3" w:themeFill="accent5" w:themeFillTint="33"/>
            <w:noWrap/>
            <w:hideMark/>
          </w:tcPr>
          <w:p w:rsidR="00401A60" w:rsidRPr="00BD0B1E" w:rsidRDefault="00401A60" w:rsidP="00224ADE">
            <w:pPr>
              <w:spacing w:line="240" w:lineRule="auto"/>
              <w:jc w:val="center"/>
              <w:rPr>
                <w:rFonts w:ascii="Times New Roman" w:eastAsia="Times New Roman" w:hAnsi="Times New Roman"/>
                <w:b/>
                <w:bCs/>
                <w:color w:val="000000"/>
                <w:lang w:eastAsia="fr-FR"/>
              </w:rPr>
            </w:pPr>
            <w:r w:rsidRPr="00BD0B1E">
              <w:rPr>
                <w:rFonts w:ascii="Times New Roman" w:eastAsia="Times New Roman" w:hAnsi="Times New Roman"/>
                <w:b/>
                <w:bCs/>
                <w:color w:val="000000"/>
                <w:lang w:eastAsia="fr-FR"/>
              </w:rPr>
              <w:t>83,8</w:t>
            </w:r>
          </w:p>
        </w:tc>
      </w:tr>
      <w:tr w:rsidR="00354A0B" w:rsidRPr="00BD0B1E" w:rsidTr="004E6B3F">
        <w:trPr>
          <w:trHeight w:val="281"/>
        </w:trPr>
        <w:tc>
          <w:tcPr>
            <w:tcW w:w="9709" w:type="dxa"/>
            <w:gridSpan w:val="13"/>
            <w:tcBorders>
              <w:top w:val="double" w:sz="4" w:space="0" w:color="auto"/>
              <w:left w:val="nil"/>
              <w:right w:val="nil"/>
            </w:tcBorders>
            <w:shd w:val="clear" w:color="auto" w:fill="DAEEF3" w:themeFill="accent5" w:themeFillTint="33"/>
            <w:hideMark/>
          </w:tcPr>
          <w:p w:rsidR="00354A0B" w:rsidRPr="00354A0B" w:rsidRDefault="00354A0B" w:rsidP="00354A0B">
            <w:pPr>
              <w:spacing w:line="240" w:lineRule="auto"/>
              <w:jc w:val="left"/>
              <w:rPr>
                <w:rFonts w:ascii="Times New Roman" w:eastAsia="Times New Roman" w:hAnsi="Times New Roman"/>
                <w:b/>
                <w:bCs/>
                <w:color w:val="000000"/>
                <w:lang w:eastAsia="fr-FR"/>
              </w:rPr>
            </w:pPr>
            <w:r w:rsidRPr="002B220C">
              <w:rPr>
                <w:rFonts w:ascii="Times New Roman" w:hAnsi="Times New Roman"/>
                <w:sz w:val="20"/>
                <w:szCs w:val="20"/>
              </w:rPr>
              <w:t xml:space="preserve">Source : </w:t>
            </w:r>
            <w:r>
              <w:rPr>
                <w:rFonts w:ascii="Times New Roman" w:hAnsi="Times New Roman"/>
                <w:sz w:val="20"/>
                <w:szCs w:val="20"/>
              </w:rPr>
              <w:t>INSAE, EMICoV 2010</w:t>
            </w:r>
          </w:p>
        </w:tc>
      </w:tr>
    </w:tbl>
    <w:p w:rsidR="00354A0B" w:rsidRDefault="00354A0B" w:rsidP="00401A60">
      <w:pPr>
        <w:spacing w:line="240" w:lineRule="auto"/>
        <w:rPr>
          <w:rFonts w:ascii="Times New Roman" w:hAnsi="Times New Roman"/>
          <w:sz w:val="24"/>
          <w:szCs w:val="24"/>
        </w:rPr>
      </w:pPr>
    </w:p>
    <w:p w:rsidR="00401A60" w:rsidRPr="009240AE" w:rsidRDefault="00401A60" w:rsidP="00401A60">
      <w:pPr>
        <w:spacing w:line="240" w:lineRule="auto"/>
        <w:rPr>
          <w:rFonts w:ascii="Times New Roman" w:hAnsi="Times New Roman"/>
          <w:sz w:val="12"/>
          <w:szCs w:val="12"/>
        </w:rPr>
      </w:pPr>
    </w:p>
    <w:p w:rsidR="00D433D8" w:rsidRDefault="00D433D8" w:rsidP="00401A60">
      <w:pPr>
        <w:pStyle w:val="Standard"/>
        <w:spacing w:line="276" w:lineRule="auto"/>
        <w:jc w:val="both"/>
      </w:pPr>
    </w:p>
    <w:p w:rsidR="00401A60" w:rsidRPr="00462BFB" w:rsidRDefault="00401A60" w:rsidP="00401A60">
      <w:pPr>
        <w:pStyle w:val="Standard"/>
        <w:spacing w:line="276" w:lineRule="auto"/>
        <w:jc w:val="both"/>
      </w:pPr>
      <w:r w:rsidRPr="00462BFB">
        <w:t xml:space="preserve">L’analyse de ce tableau selon le genre, montre que la situation des jeunes femmes est plus préoccupante que celle des hommes. En effet, en matière </w:t>
      </w:r>
      <w:r>
        <w:t xml:space="preserve">d’emploi, </w:t>
      </w:r>
      <w:r w:rsidRPr="00462BFB">
        <w:t xml:space="preserve">les femmes </w:t>
      </w:r>
      <w:r>
        <w:t>sont</w:t>
      </w:r>
      <w:r w:rsidRPr="00462BFB">
        <w:t xml:space="preserve"> plus </w:t>
      </w:r>
      <w:r>
        <w:t>vulnérables</w:t>
      </w:r>
      <w:r w:rsidR="009920CB">
        <w:t xml:space="preserve"> </w:t>
      </w:r>
      <w:r w:rsidRPr="00462BFB">
        <w:t>que les hommes</w:t>
      </w:r>
      <w:r>
        <w:t xml:space="preserve"> (89,6% contre 76,0%)</w:t>
      </w:r>
      <w:r w:rsidRPr="00462BFB">
        <w:t xml:space="preserve">. La proportion de jeunes hommes bénéficiant d’un emploi salarié est près de trois fois </w:t>
      </w:r>
      <w:r>
        <w:t>supérieure à celle des femmes (4</w:t>
      </w:r>
      <w:r w:rsidRPr="00462BFB">
        <w:t>,</w:t>
      </w:r>
      <w:r>
        <w:t>4% contre 12,7</w:t>
      </w:r>
      <w:r w:rsidRPr="00462BFB">
        <w:t>%). On observe plus de femmes auto-employé</w:t>
      </w:r>
      <w:r>
        <w:t>es que d’hommes (65% contre 58,6%). Par contre, la proportion de jeunes hommes dans les em</w:t>
      </w:r>
      <w:r w:rsidRPr="00462BFB">
        <w:t xml:space="preserve">plois précaires </w:t>
      </w:r>
      <w:r>
        <w:t>est plus élevée que celle des</w:t>
      </w:r>
      <w:r w:rsidR="009920CB">
        <w:t xml:space="preserve"> </w:t>
      </w:r>
      <w:r>
        <w:t>femmes (17</w:t>
      </w:r>
      <w:r w:rsidRPr="00462BFB">
        <w:t>,</w:t>
      </w:r>
      <w:r>
        <w:t>7% contre 13,7</w:t>
      </w:r>
      <w:r w:rsidRPr="00462BFB">
        <w:t xml:space="preserve">%). </w:t>
      </w:r>
    </w:p>
    <w:p w:rsidR="00401A60" w:rsidRPr="00C4229B" w:rsidRDefault="00401A60" w:rsidP="00401A60">
      <w:pPr>
        <w:pStyle w:val="Standard"/>
        <w:spacing w:line="276" w:lineRule="auto"/>
        <w:jc w:val="both"/>
        <w:rPr>
          <w:b/>
          <w:sz w:val="12"/>
          <w:szCs w:val="12"/>
        </w:rPr>
      </w:pPr>
    </w:p>
    <w:p w:rsidR="00401A60" w:rsidRDefault="00401A60" w:rsidP="00401A60">
      <w:pPr>
        <w:pStyle w:val="Standard"/>
        <w:spacing w:line="276" w:lineRule="auto"/>
        <w:jc w:val="both"/>
      </w:pPr>
      <w:r>
        <w:t>L’</w:t>
      </w:r>
      <w:r w:rsidRPr="00341B2D">
        <w:t>analyse selon le groupe d’âge des jeunes montre que les jeunes de 25-34 ans ont un taux de salarisation plus élevé que celui des plus jeunes (</w:t>
      </w:r>
      <w:r>
        <w:t>9,2</w:t>
      </w:r>
      <w:r w:rsidRPr="00341B2D">
        <w:t xml:space="preserve">% contre </w:t>
      </w:r>
      <w:r>
        <w:t>6,9</w:t>
      </w:r>
      <w:r w:rsidRPr="00341B2D">
        <w:t xml:space="preserve">% pour les 20-24 ans).  </w:t>
      </w:r>
      <w:r>
        <w:t xml:space="preserve">Leur situation dans le marché du travail est également plus précaire. En effet, les jeunes de 25-34 ans sont ceux qui présentent le plus fort taux d’auto-emploi avec 75,1% contre 49,3 pour les jeunes âgés de 20-24 ans. Près de 87,8% des jeunes actifs occupés de 25-34 ans sont vulnérables. La forte proportion des jeunes de 25-34 ans dans l’auto-emploi pourrait s’expliquer par le fait qu’après plusieurs tentatives infructueuses d’emploi salarié, ces jeunes finissent par décider de s’installer à leur propre compte, le plus souvent dans le secteur informel. Car le tableau 6.13 montre aussi qu’au niveau national, 95% des jeunes sont dans le secteur informel. L’analyse par milieu de résidence révèle que les jeunes travailleurs du milieu rural sont plus touchés par l’informalité que ceux du milieu urbain (98% contre 90%).  </w:t>
      </w:r>
    </w:p>
    <w:p w:rsidR="00C4229B" w:rsidRPr="00C4229B" w:rsidRDefault="00C4229B" w:rsidP="00401A60">
      <w:pPr>
        <w:pStyle w:val="Standard"/>
        <w:spacing w:line="276" w:lineRule="auto"/>
        <w:jc w:val="both"/>
        <w:rPr>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 xml:space="preserve">L’analyse du chômage des jeunes montre que 1,7% des jeunes sont au chômage au niveau national. Cependant, il existe de fortes disparités en matière de chômage selon le milieu de résidence et l’âge. En effet, il existe près de trois fois plus  de jeunes chômeurs en milieu urbain qu’en milieu rural (2,7% contre 0,9%). De même en considérant l’âge du jeune, nous constatons que les jeunes de 20-24 ans sont plus frappés par le chômage que ceux des autres tranches d’âge (3,1% contre 1,4% pour les 25-34 ans). En s’intéressant à la durée du chômage, il vient qu’en moyenne, les jeunes passent plus de 3 ans au chômage (37,9 mois). </w:t>
      </w:r>
    </w:p>
    <w:p w:rsidR="00401A60" w:rsidRPr="00C4229B"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D’après la littérature sur l’emploi, cela correspond à la durée moyenne de chômage dans les pays africains. Cependant, cette durée varie selon le milieu de résidence, le sexe du jeune et son âge. En effet, les jeunes du milieu rural passent en moyenne 43,3 mois au chômage contre 35,9 mois pour ceux résidant en milieu urbain. De même, les jeunes</w:t>
      </w:r>
      <w:r w:rsidR="004E6B3F">
        <w:rPr>
          <w:rFonts w:ascii="Times New Roman" w:hAnsi="Times New Roman"/>
          <w:sz w:val="24"/>
          <w:szCs w:val="24"/>
        </w:rPr>
        <w:t xml:space="preserve"> femmes</w:t>
      </w:r>
      <w:r>
        <w:rPr>
          <w:rFonts w:ascii="Times New Roman" w:hAnsi="Times New Roman"/>
          <w:sz w:val="24"/>
          <w:szCs w:val="24"/>
        </w:rPr>
        <w:t xml:space="preserve"> ont plus de mal à trouver un emploi que les jeunes hommes. Elles passent en moyenne 43,5 mois au chômage contre 30,4 mois pour les jeunes hommes. Aussi, les jeunes de 25-34 ans passent plus de temps au chômage que les plus jeunes (42,1 mois contre 31,2 mois pour les jeunes de 20-24 ans). C’est l’âge de la maturité où beaucoup de jeunes se ruent vers le marché après avoir terminé leur formation. C’est aussi l’âge au cours duquel la plupart des jeunes sortent du célibat et doivent remplir leurs obligations parentales.</w:t>
      </w:r>
    </w:p>
    <w:p w:rsidR="00062673" w:rsidRDefault="00062673" w:rsidP="00401A60">
      <w:pPr>
        <w:spacing w:line="276" w:lineRule="auto"/>
        <w:rPr>
          <w:rFonts w:ascii="Times New Roman" w:hAnsi="Times New Roman"/>
          <w:sz w:val="24"/>
          <w:szCs w:val="24"/>
        </w:rPr>
      </w:pPr>
    </w:p>
    <w:p w:rsidR="00062673" w:rsidRDefault="00062673" w:rsidP="00401A60">
      <w:pPr>
        <w:spacing w:line="276" w:lineRule="auto"/>
        <w:rPr>
          <w:rFonts w:ascii="Times New Roman" w:hAnsi="Times New Roman"/>
          <w:sz w:val="24"/>
          <w:szCs w:val="24"/>
        </w:rPr>
      </w:pPr>
    </w:p>
    <w:p w:rsidR="00401A60" w:rsidRPr="00F305E5" w:rsidRDefault="000B5203" w:rsidP="00F305E5">
      <w:pPr>
        <w:pStyle w:val="Titre2"/>
        <w:spacing w:before="120" w:after="0" w:line="240" w:lineRule="auto"/>
        <w:rPr>
          <w:rFonts w:ascii="Times New Roman" w:hAnsi="Times New Roman" w:cs="Times New Roman"/>
          <w:i w:val="0"/>
          <w:color w:val="31849B" w:themeColor="accent5" w:themeShade="BF"/>
        </w:rPr>
      </w:pPr>
      <w:bookmarkStart w:id="181" w:name="_Toc382322950"/>
      <w:r w:rsidRPr="00F305E5">
        <w:rPr>
          <w:rFonts w:ascii="Times New Roman" w:hAnsi="Times New Roman" w:cs="Times New Roman"/>
          <w:i w:val="0"/>
          <w:color w:val="31849B" w:themeColor="accent5" w:themeShade="BF"/>
        </w:rPr>
        <w:t>5</w:t>
      </w:r>
      <w:r w:rsidR="00401A60" w:rsidRPr="00F305E5">
        <w:rPr>
          <w:rFonts w:ascii="Times New Roman" w:hAnsi="Times New Roman" w:cs="Times New Roman"/>
          <w:i w:val="0"/>
          <w:color w:val="31849B" w:themeColor="accent5" w:themeShade="BF"/>
        </w:rPr>
        <w:t>.7</w:t>
      </w:r>
      <w:r w:rsidR="009920CB">
        <w:rPr>
          <w:rFonts w:ascii="Times New Roman" w:hAnsi="Times New Roman" w:cs="Times New Roman"/>
          <w:i w:val="0"/>
          <w:color w:val="31849B" w:themeColor="accent5" w:themeShade="BF"/>
        </w:rPr>
        <w:t xml:space="preserve"> </w:t>
      </w:r>
      <w:r w:rsidR="00401A60" w:rsidRPr="00F305E5">
        <w:rPr>
          <w:rFonts w:ascii="Times New Roman" w:hAnsi="Times New Roman" w:cs="Times New Roman"/>
          <w:i w:val="0"/>
          <w:color w:val="31849B" w:themeColor="accent5" w:themeShade="BF"/>
        </w:rPr>
        <w:t>Relation entre emploi et pauvreté</w:t>
      </w:r>
      <w:bookmarkEnd w:id="181"/>
    </w:p>
    <w:p w:rsidR="00F305E5" w:rsidRDefault="00F305E5" w:rsidP="00401A60">
      <w:pPr>
        <w:spacing w:line="276" w:lineRule="auto"/>
        <w:rPr>
          <w:rFonts w:ascii="Times New Roman" w:hAnsi="Times New Roman"/>
          <w:sz w:val="24"/>
          <w:szCs w:val="24"/>
        </w:rPr>
      </w:pPr>
    </w:p>
    <w:p w:rsidR="00401A60" w:rsidRPr="00A765E3" w:rsidRDefault="00401A60" w:rsidP="00401A60">
      <w:pPr>
        <w:spacing w:line="276" w:lineRule="auto"/>
        <w:rPr>
          <w:rFonts w:ascii="Times New Roman" w:hAnsi="Times New Roman"/>
          <w:sz w:val="24"/>
          <w:szCs w:val="24"/>
        </w:rPr>
      </w:pPr>
      <w:r w:rsidRPr="00A765E3">
        <w:rPr>
          <w:rFonts w:ascii="Times New Roman" w:hAnsi="Times New Roman"/>
          <w:sz w:val="24"/>
          <w:szCs w:val="24"/>
        </w:rPr>
        <w:t xml:space="preserve">Cette section présente une brève revue de littérature sur la relation entre emploi et pauvreté, </w:t>
      </w:r>
      <w:r>
        <w:rPr>
          <w:rFonts w:ascii="Times New Roman" w:hAnsi="Times New Roman"/>
          <w:sz w:val="24"/>
          <w:szCs w:val="24"/>
        </w:rPr>
        <w:t xml:space="preserve">les </w:t>
      </w:r>
      <w:r w:rsidRPr="00A765E3">
        <w:rPr>
          <w:rFonts w:ascii="Times New Roman" w:hAnsi="Times New Roman"/>
          <w:sz w:val="24"/>
          <w:szCs w:val="24"/>
        </w:rPr>
        <w:t>politiques mises en œuvre</w:t>
      </w:r>
      <w:r>
        <w:rPr>
          <w:rFonts w:ascii="Times New Roman" w:hAnsi="Times New Roman"/>
          <w:sz w:val="24"/>
          <w:szCs w:val="24"/>
        </w:rPr>
        <w:t xml:space="preserve"> au Bénin </w:t>
      </w:r>
      <w:r w:rsidRPr="00A765E3">
        <w:rPr>
          <w:rFonts w:ascii="Times New Roman" w:hAnsi="Times New Roman"/>
          <w:sz w:val="24"/>
          <w:szCs w:val="24"/>
        </w:rPr>
        <w:t xml:space="preserve">et les </w:t>
      </w:r>
      <w:r>
        <w:rPr>
          <w:rFonts w:ascii="Times New Roman" w:hAnsi="Times New Roman"/>
          <w:sz w:val="24"/>
          <w:szCs w:val="24"/>
        </w:rPr>
        <w:t>e</w:t>
      </w:r>
      <w:r w:rsidRPr="00A765E3">
        <w:rPr>
          <w:rFonts w:ascii="Times New Roman" w:hAnsi="Times New Roman"/>
          <w:sz w:val="24"/>
          <w:szCs w:val="24"/>
        </w:rPr>
        <w:t>njeux et perspectives des politiques de l’emploi au Bénin</w:t>
      </w:r>
      <w:r>
        <w:rPr>
          <w:rFonts w:ascii="Times New Roman" w:hAnsi="Times New Roman"/>
          <w:sz w:val="24"/>
          <w:szCs w:val="24"/>
        </w:rPr>
        <w:t>.</w:t>
      </w:r>
    </w:p>
    <w:p w:rsidR="00D433D8" w:rsidRDefault="00D433D8" w:rsidP="00401A60">
      <w:pPr>
        <w:spacing w:line="240" w:lineRule="auto"/>
        <w:rPr>
          <w:rFonts w:ascii="Times New Roman" w:hAnsi="Times New Roman"/>
          <w:b/>
          <w:sz w:val="24"/>
          <w:szCs w:val="24"/>
        </w:rPr>
      </w:pPr>
    </w:p>
    <w:p w:rsidR="00401A60" w:rsidRPr="003B5123" w:rsidRDefault="00354A0B" w:rsidP="00401A60">
      <w:pPr>
        <w:spacing w:line="240" w:lineRule="auto"/>
        <w:rPr>
          <w:rFonts w:ascii="Times New Roman" w:hAnsi="Times New Roman"/>
          <w:b/>
          <w:sz w:val="24"/>
          <w:szCs w:val="24"/>
        </w:rPr>
      </w:pPr>
      <w:r>
        <w:rPr>
          <w:rFonts w:ascii="Times New Roman" w:hAnsi="Times New Roman"/>
          <w:b/>
          <w:sz w:val="24"/>
          <w:szCs w:val="24"/>
        </w:rPr>
        <w:t>5</w:t>
      </w:r>
      <w:r w:rsidR="00401A60" w:rsidRPr="003B5123">
        <w:rPr>
          <w:rFonts w:ascii="Times New Roman" w:hAnsi="Times New Roman"/>
          <w:b/>
          <w:sz w:val="24"/>
          <w:szCs w:val="24"/>
        </w:rPr>
        <w:t>.7.1 Revue de littérature sur la relation entre emploi et pauvreté.</w:t>
      </w:r>
    </w:p>
    <w:p w:rsidR="00401A60" w:rsidRDefault="00401A60" w:rsidP="00401A60">
      <w:pPr>
        <w:autoSpaceDE w:val="0"/>
        <w:autoSpaceDN w:val="0"/>
        <w:adjustRightInd w:val="0"/>
        <w:spacing w:line="240" w:lineRule="auto"/>
        <w:rPr>
          <w:rFonts w:ascii="Times New Roman" w:hAnsi="Times New Roman"/>
          <w:sz w:val="24"/>
          <w:szCs w:val="24"/>
        </w:rPr>
      </w:pPr>
    </w:p>
    <w:p w:rsidR="00401A60" w:rsidRPr="00D05534" w:rsidRDefault="00401A60" w:rsidP="00401A60">
      <w:pPr>
        <w:autoSpaceDE w:val="0"/>
        <w:autoSpaceDN w:val="0"/>
        <w:adjustRightInd w:val="0"/>
        <w:spacing w:line="276" w:lineRule="auto"/>
        <w:rPr>
          <w:rFonts w:ascii="Times New Roman" w:hAnsi="Times New Roman"/>
          <w:sz w:val="24"/>
          <w:szCs w:val="24"/>
        </w:rPr>
      </w:pPr>
      <w:r w:rsidRPr="00D05534">
        <w:rPr>
          <w:rFonts w:ascii="Times New Roman" w:hAnsi="Times New Roman"/>
          <w:sz w:val="24"/>
          <w:szCs w:val="24"/>
        </w:rPr>
        <w:t xml:space="preserve">Il existe plusieurs déterminants de la pauvreté. Globalement, selon le rapport (2001) de la Banque Mondiale, ces déterminants portent sur les actifs des ménages pauvres.  Il s’agit : </w:t>
      </w:r>
      <w:r w:rsidRPr="00D05534">
        <w:rPr>
          <w:rFonts w:ascii="Times New Roman" w:hAnsi="Times New Roman"/>
          <w:i/>
          <w:sz w:val="24"/>
          <w:szCs w:val="24"/>
        </w:rPr>
        <w:t xml:space="preserve">(i) </w:t>
      </w:r>
      <w:r>
        <w:rPr>
          <w:rFonts w:ascii="Times New Roman" w:hAnsi="Times New Roman"/>
          <w:i/>
          <w:sz w:val="24"/>
          <w:szCs w:val="24"/>
        </w:rPr>
        <w:t xml:space="preserve">des </w:t>
      </w:r>
      <w:r w:rsidRPr="00D05534">
        <w:rPr>
          <w:rFonts w:ascii="Times New Roman" w:hAnsi="Times New Roman"/>
          <w:i/>
          <w:sz w:val="24"/>
          <w:szCs w:val="24"/>
        </w:rPr>
        <w:t xml:space="preserve">actifs humains </w:t>
      </w:r>
      <w:r w:rsidRPr="00D05534">
        <w:rPr>
          <w:rFonts w:ascii="Times New Roman" w:hAnsi="Times New Roman"/>
          <w:sz w:val="24"/>
          <w:szCs w:val="24"/>
        </w:rPr>
        <w:t xml:space="preserve">(les capacités élémentaires à travailler, les compétences et la bonne santé), </w:t>
      </w:r>
      <w:r w:rsidRPr="00D05534">
        <w:rPr>
          <w:rFonts w:ascii="Times New Roman" w:hAnsi="Times New Roman"/>
          <w:i/>
          <w:sz w:val="24"/>
          <w:szCs w:val="24"/>
        </w:rPr>
        <w:t>(ii) les actifs physiques</w:t>
      </w:r>
      <w:r w:rsidRPr="00D05534">
        <w:rPr>
          <w:rFonts w:ascii="Times New Roman" w:hAnsi="Times New Roman"/>
          <w:sz w:val="24"/>
          <w:szCs w:val="24"/>
        </w:rPr>
        <w:t xml:space="preserve"> (accès aux infrastructures), </w:t>
      </w:r>
      <w:r w:rsidRPr="00D05534">
        <w:rPr>
          <w:rFonts w:ascii="Times New Roman" w:hAnsi="Times New Roman"/>
          <w:i/>
          <w:sz w:val="24"/>
          <w:szCs w:val="24"/>
        </w:rPr>
        <w:t xml:space="preserve">(iii) les actifs financiers </w:t>
      </w:r>
      <w:r w:rsidRPr="00D05534">
        <w:rPr>
          <w:rFonts w:ascii="Times New Roman" w:hAnsi="Times New Roman"/>
          <w:sz w:val="24"/>
          <w:szCs w:val="24"/>
        </w:rPr>
        <w:t xml:space="preserve">(l’épargne et l’accès au crédit), </w:t>
      </w:r>
      <w:r w:rsidRPr="00D05534">
        <w:rPr>
          <w:rFonts w:ascii="Times New Roman" w:hAnsi="Times New Roman"/>
          <w:i/>
          <w:sz w:val="24"/>
          <w:szCs w:val="24"/>
        </w:rPr>
        <w:t>(iv) le</w:t>
      </w:r>
      <w:r w:rsidR="004E6B3F">
        <w:rPr>
          <w:rFonts w:ascii="Times New Roman" w:hAnsi="Times New Roman"/>
          <w:i/>
          <w:sz w:val="24"/>
          <w:szCs w:val="24"/>
        </w:rPr>
        <w:t>s</w:t>
      </w:r>
      <w:r w:rsidRPr="00D05534">
        <w:rPr>
          <w:rFonts w:ascii="Times New Roman" w:hAnsi="Times New Roman"/>
          <w:i/>
          <w:sz w:val="24"/>
          <w:szCs w:val="24"/>
        </w:rPr>
        <w:t xml:space="preserve"> actifs sociaux </w:t>
      </w:r>
      <w:r w:rsidRPr="00D05534">
        <w:rPr>
          <w:rFonts w:ascii="Times New Roman" w:hAnsi="Times New Roman"/>
          <w:sz w:val="24"/>
          <w:szCs w:val="24"/>
        </w:rPr>
        <w:t xml:space="preserve">(les réseaux de contacts, l’influence politique), </w:t>
      </w:r>
      <w:r w:rsidRPr="00D05534">
        <w:rPr>
          <w:rFonts w:ascii="Times New Roman" w:hAnsi="Times New Roman"/>
          <w:i/>
          <w:sz w:val="24"/>
          <w:szCs w:val="24"/>
        </w:rPr>
        <w:t xml:space="preserve">(v) les actifs naturels </w:t>
      </w:r>
      <w:r w:rsidRPr="00D05534">
        <w:rPr>
          <w:rFonts w:ascii="Times New Roman" w:hAnsi="Times New Roman"/>
          <w:sz w:val="24"/>
          <w:szCs w:val="24"/>
        </w:rPr>
        <w:t>(la terre, le sous-sol…).</w:t>
      </w:r>
      <w:r w:rsidR="004E6B3F">
        <w:rPr>
          <w:rFonts w:ascii="Times New Roman" w:hAnsi="Times New Roman"/>
          <w:sz w:val="24"/>
          <w:szCs w:val="24"/>
        </w:rPr>
        <w:t xml:space="preserve"> </w:t>
      </w:r>
      <w:r>
        <w:rPr>
          <w:rFonts w:ascii="Times New Roman" w:hAnsi="Times New Roman"/>
          <w:sz w:val="24"/>
          <w:szCs w:val="24"/>
        </w:rPr>
        <w:t>Les</w:t>
      </w:r>
      <w:r w:rsidRPr="00D05534">
        <w:rPr>
          <w:rFonts w:ascii="Times New Roman" w:hAnsi="Times New Roman"/>
          <w:sz w:val="24"/>
          <w:szCs w:val="24"/>
        </w:rPr>
        <w:t xml:space="preserve"> ménages pauvres ne disposant en général pas d’actifs financiers ni productifs, ils dépendent souvent de la productivité de leur main-d’œuvre pour assurer leur survie économique. </w:t>
      </w:r>
      <w:r>
        <w:rPr>
          <w:rFonts w:ascii="Times New Roman" w:hAnsi="Times New Roman"/>
          <w:sz w:val="24"/>
          <w:szCs w:val="24"/>
        </w:rPr>
        <w:t>Ainsi, l</w:t>
      </w:r>
      <w:r w:rsidRPr="00D05534">
        <w:rPr>
          <w:rFonts w:ascii="Times New Roman" w:hAnsi="Times New Roman"/>
          <w:sz w:val="24"/>
          <w:szCs w:val="24"/>
        </w:rPr>
        <w:t>e</w:t>
      </w:r>
      <w:r>
        <w:rPr>
          <w:rFonts w:ascii="Times New Roman" w:hAnsi="Times New Roman"/>
          <w:sz w:val="24"/>
          <w:szCs w:val="24"/>
        </w:rPr>
        <w:t xml:space="preserve"> travail productif et décent reste</w:t>
      </w:r>
      <w:r w:rsidRPr="00D05534">
        <w:rPr>
          <w:rFonts w:ascii="Times New Roman" w:hAnsi="Times New Roman"/>
          <w:sz w:val="24"/>
          <w:szCs w:val="24"/>
        </w:rPr>
        <w:t xml:space="preserve"> pour la plupart des pauvres le principal moyen de sortir du dénuement (OCDE 2009). C’est pour cette raison que Narayan</w:t>
      </w:r>
      <w:r w:rsidR="009920CB">
        <w:rPr>
          <w:rFonts w:ascii="Times New Roman" w:hAnsi="Times New Roman"/>
          <w:sz w:val="24"/>
          <w:szCs w:val="24"/>
        </w:rPr>
        <w:t xml:space="preserve"> </w:t>
      </w:r>
      <w:r>
        <w:rPr>
          <w:rFonts w:ascii="Times New Roman" w:hAnsi="Times New Roman"/>
          <w:i/>
          <w:iCs/>
          <w:sz w:val="24"/>
          <w:szCs w:val="24"/>
        </w:rPr>
        <w:t>et al.(</w:t>
      </w:r>
      <w:r w:rsidRPr="00D05534">
        <w:rPr>
          <w:rFonts w:ascii="Times New Roman" w:hAnsi="Times New Roman"/>
          <w:sz w:val="24"/>
          <w:szCs w:val="24"/>
        </w:rPr>
        <w:t>2000</w:t>
      </w:r>
      <w:r>
        <w:rPr>
          <w:rFonts w:ascii="Times New Roman" w:hAnsi="Times New Roman"/>
          <w:sz w:val="24"/>
          <w:szCs w:val="24"/>
        </w:rPr>
        <w:t>)</w:t>
      </w:r>
      <w:r w:rsidRPr="00D05534">
        <w:rPr>
          <w:rFonts w:ascii="Times New Roman" w:hAnsi="Times New Roman"/>
          <w:sz w:val="24"/>
          <w:szCs w:val="24"/>
        </w:rPr>
        <w:t xml:space="preserve"> préconisent de faire de l’emploi un élément essentiel des stratégies de lutte contre la pauvreté, et soulignent qu’il est important d’agir avec plus d’efficacité en direction du marché du travail tant formel qu’informe</w:t>
      </w:r>
      <w:r>
        <w:rPr>
          <w:rFonts w:ascii="Times New Roman" w:hAnsi="Times New Roman"/>
          <w:sz w:val="24"/>
          <w:szCs w:val="24"/>
        </w:rPr>
        <w:t>l</w:t>
      </w:r>
      <w:r w:rsidRPr="00D05534">
        <w:rPr>
          <w:rFonts w:ascii="Times New Roman" w:hAnsi="Times New Roman"/>
          <w:sz w:val="24"/>
          <w:szCs w:val="24"/>
        </w:rPr>
        <w:t xml:space="preserve"> car  l’obtention d’un emploi  indépendant ou salarié  représente pour les pauvres le meilleur moyen de s’affranchir </w:t>
      </w:r>
      <w:r>
        <w:rPr>
          <w:rFonts w:ascii="Times New Roman" w:hAnsi="Times New Roman"/>
          <w:sz w:val="24"/>
          <w:szCs w:val="24"/>
        </w:rPr>
        <w:t>de la pauvreté</w:t>
      </w:r>
      <w:r w:rsidRPr="00D05534">
        <w:rPr>
          <w:rFonts w:ascii="Times New Roman" w:hAnsi="Times New Roman"/>
          <w:sz w:val="24"/>
          <w:szCs w:val="24"/>
        </w:rPr>
        <w:t>. L’analyse des problèmes d’emploi et la connaissance des caractéristiques du marché du travail s’avèrent</w:t>
      </w:r>
      <w:r w:rsidR="009920CB">
        <w:rPr>
          <w:rFonts w:ascii="Times New Roman" w:hAnsi="Times New Roman"/>
          <w:sz w:val="24"/>
          <w:szCs w:val="24"/>
        </w:rPr>
        <w:t xml:space="preserve"> </w:t>
      </w:r>
      <w:r w:rsidRPr="00D05534">
        <w:rPr>
          <w:rFonts w:ascii="Times New Roman" w:hAnsi="Times New Roman"/>
          <w:sz w:val="24"/>
          <w:szCs w:val="24"/>
        </w:rPr>
        <w:t>d’une importance capitale pour la formulation des politiques et l’élaboration des</w:t>
      </w:r>
      <w:r w:rsidR="009920CB">
        <w:rPr>
          <w:rFonts w:ascii="Times New Roman" w:hAnsi="Times New Roman"/>
          <w:sz w:val="24"/>
          <w:szCs w:val="24"/>
        </w:rPr>
        <w:t xml:space="preserve"> </w:t>
      </w:r>
      <w:r w:rsidRPr="00D05534">
        <w:rPr>
          <w:rFonts w:ascii="Times New Roman" w:hAnsi="Times New Roman"/>
          <w:sz w:val="24"/>
          <w:szCs w:val="24"/>
        </w:rPr>
        <w:t>programmes de lutte contre la pauvreté.</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Pr="00D05534" w:rsidRDefault="00401A60" w:rsidP="00401A60">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Ainsi, p</w:t>
      </w:r>
      <w:r w:rsidRPr="00D05534">
        <w:rPr>
          <w:rFonts w:ascii="Times New Roman" w:hAnsi="Times New Roman"/>
          <w:sz w:val="24"/>
          <w:szCs w:val="24"/>
        </w:rPr>
        <w:t xml:space="preserve">our plusieurs organisations internationales, dont l’Organisation </w:t>
      </w:r>
      <w:r w:rsidR="004E6B3F">
        <w:rPr>
          <w:rFonts w:ascii="Times New Roman" w:hAnsi="Times New Roman"/>
          <w:sz w:val="24"/>
          <w:szCs w:val="24"/>
        </w:rPr>
        <w:t>I</w:t>
      </w:r>
      <w:r w:rsidR="004E6B3F" w:rsidRPr="00D05534">
        <w:rPr>
          <w:rFonts w:ascii="Times New Roman" w:hAnsi="Times New Roman"/>
          <w:sz w:val="24"/>
          <w:szCs w:val="24"/>
        </w:rPr>
        <w:t xml:space="preserve">nternationale </w:t>
      </w:r>
      <w:r w:rsidRPr="00D05534">
        <w:rPr>
          <w:rFonts w:ascii="Times New Roman" w:hAnsi="Times New Roman"/>
          <w:sz w:val="24"/>
          <w:szCs w:val="24"/>
        </w:rPr>
        <w:t xml:space="preserve">du </w:t>
      </w:r>
      <w:r w:rsidR="004E6B3F">
        <w:rPr>
          <w:rFonts w:ascii="Times New Roman" w:hAnsi="Times New Roman"/>
          <w:sz w:val="24"/>
          <w:szCs w:val="24"/>
        </w:rPr>
        <w:t>T</w:t>
      </w:r>
      <w:r w:rsidR="004E6B3F" w:rsidRPr="00D05534">
        <w:rPr>
          <w:rFonts w:ascii="Times New Roman" w:hAnsi="Times New Roman"/>
          <w:sz w:val="24"/>
          <w:szCs w:val="24"/>
        </w:rPr>
        <w:t xml:space="preserve">ravail </w:t>
      </w:r>
      <w:r w:rsidRPr="00D05534">
        <w:rPr>
          <w:rFonts w:ascii="Times New Roman" w:hAnsi="Times New Roman"/>
          <w:sz w:val="24"/>
          <w:szCs w:val="24"/>
        </w:rPr>
        <w:t xml:space="preserve">(OIT), l’Organisation </w:t>
      </w:r>
      <w:r w:rsidR="004E6B3F">
        <w:rPr>
          <w:rFonts w:ascii="Times New Roman" w:hAnsi="Times New Roman"/>
          <w:sz w:val="24"/>
          <w:szCs w:val="24"/>
        </w:rPr>
        <w:t>M</w:t>
      </w:r>
      <w:r w:rsidR="004E6B3F" w:rsidRPr="00D05534">
        <w:rPr>
          <w:rFonts w:ascii="Times New Roman" w:hAnsi="Times New Roman"/>
          <w:sz w:val="24"/>
          <w:szCs w:val="24"/>
        </w:rPr>
        <w:t xml:space="preserve">ondiale </w:t>
      </w:r>
      <w:r w:rsidRPr="00D05534">
        <w:rPr>
          <w:rFonts w:ascii="Times New Roman" w:hAnsi="Times New Roman"/>
          <w:sz w:val="24"/>
          <w:szCs w:val="24"/>
        </w:rPr>
        <w:t xml:space="preserve">du </w:t>
      </w:r>
      <w:r w:rsidR="004E6B3F">
        <w:rPr>
          <w:rFonts w:ascii="Times New Roman" w:hAnsi="Times New Roman"/>
          <w:sz w:val="24"/>
          <w:szCs w:val="24"/>
        </w:rPr>
        <w:t>C</w:t>
      </w:r>
      <w:r w:rsidR="004E6B3F" w:rsidRPr="00D05534">
        <w:rPr>
          <w:rFonts w:ascii="Times New Roman" w:hAnsi="Times New Roman"/>
          <w:sz w:val="24"/>
          <w:szCs w:val="24"/>
        </w:rPr>
        <w:t xml:space="preserve">ommerce </w:t>
      </w:r>
      <w:r w:rsidRPr="00D05534">
        <w:rPr>
          <w:rFonts w:ascii="Times New Roman" w:hAnsi="Times New Roman"/>
          <w:sz w:val="24"/>
          <w:szCs w:val="24"/>
        </w:rPr>
        <w:t xml:space="preserve">(OMC) et l’Organisation de </w:t>
      </w:r>
      <w:r w:rsidR="004E6B3F">
        <w:rPr>
          <w:rFonts w:ascii="Times New Roman" w:hAnsi="Times New Roman"/>
          <w:sz w:val="24"/>
          <w:szCs w:val="24"/>
        </w:rPr>
        <w:t>C</w:t>
      </w:r>
      <w:r w:rsidR="004E6B3F" w:rsidRPr="00D05534">
        <w:rPr>
          <w:rFonts w:ascii="Times New Roman" w:hAnsi="Times New Roman"/>
          <w:sz w:val="24"/>
          <w:szCs w:val="24"/>
        </w:rPr>
        <w:t xml:space="preserve">oopération </w:t>
      </w:r>
      <w:r w:rsidRPr="00D05534">
        <w:rPr>
          <w:rFonts w:ascii="Times New Roman" w:hAnsi="Times New Roman"/>
          <w:sz w:val="24"/>
          <w:szCs w:val="24"/>
        </w:rPr>
        <w:t xml:space="preserve">et de </w:t>
      </w:r>
      <w:r w:rsidR="004E6B3F">
        <w:rPr>
          <w:rFonts w:ascii="Times New Roman" w:hAnsi="Times New Roman"/>
          <w:sz w:val="24"/>
          <w:szCs w:val="24"/>
        </w:rPr>
        <w:t>D</w:t>
      </w:r>
      <w:r w:rsidR="004E6B3F" w:rsidRPr="00D05534">
        <w:rPr>
          <w:rFonts w:ascii="Times New Roman" w:hAnsi="Times New Roman"/>
          <w:sz w:val="24"/>
          <w:szCs w:val="24"/>
        </w:rPr>
        <w:t xml:space="preserve">éveloppement </w:t>
      </w:r>
      <w:r w:rsidR="004E6B3F">
        <w:rPr>
          <w:rFonts w:ascii="Times New Roman" w:hAnsi="Times New Roman"/>
          <w:sz w:val="24"/>
          <w:szCs w:val="24"/>
        </w:rPr>
        <w:t>E</w:t>
      </w:r>
      <w:r w:rsidR="004E6B3F" w:rsidRPr="00D05534">
        <w:rPr>
          <w:rFonts w:ascii="Times New Roman" w:hAnsi="Times New Roman"/>
          <w:sz w:val="24"/>
          <w:szCs w:val="24"/>
        </w:rPr>
        <w:t xml:space="preserve">conomiques </w:t>
      </w:r>
      <w:r w:rsidRPr="00D05534">
        <w:rPr>
          <w:rFonts w:ascii="Times New Roman" w:hAnsi="Times New Roman"/>
          <w:sz w:val="24"/>
          <w:szCs w:val="24"/>
        </w:rPr>
        <w:t>(OCDE) l’amélioration des résultats sur le plan de l’emploi est devenue l’une des cibles à atteindre au titre de l’OMD relatif à la réduction de l’extrême pauvreté. La situation de l’emploi est donc déterminante pour la réussite des stratégies de lutte contre la pauvreté et des efforts visant à stimuler le développement. Toutefois, pour que l’individu, l’économie et la collectivité en tirent pleinement avantage, il doit s’agir de travail rémunéré productif et décent. De même, le rythme et les modalités de la croissance économique comptent tout autant. En effet, la création d’un nombre significatif d’emploi</w:t>
      </w:r>
      <w:r w:rsidR="004E6B3F">
        <w:rPr>
          <w:rFonts w:ascii="Times New Roman" w:hAnsi="Times New Roman"/>
          <w:sz w:val="24"/>
          <w:szCs w:val="24"/>
        </w:rPr>
        <w:t>s</w:t>
      </w:r>
      <w:r w:rsidRPr="00D05534">
        <w:rPr>
          <w:rFonts w:ascii="Times New Roman" w:hAnsi="Times New Roman"/>
          <w:sz w:val="24"/>
          <w:szCs w:val="24"/>
        </w:rPr>
        <w:t xml:space="preserve"> nouveaux et décents dans les pays en développement nécessite une croissance rapide soutenue par la productivité du travail. Une telle croissance reposant sur la force de travail ne peut se faire sans la contribution des pauvres qui en profitent au maximum. </w:t>
      </w:r>
    </w:p>
    <w:p w:rsidR="00401A60" w:rsidRPr="00C4229B" w:rsidRDefault="00401A60" w:rsidP="00401A60">
      <w:pPr>
        <w:autoSpaceDE w:val="0"/>
        <w:autoSpaceDN w:val="0"/>
        <w:adjustRightInd w:val="0"/>
        <w:spacing w:line="276" w:lineRule="auto"/>
        <w:rPr>
          <w:sz w:val="12"/>
          <w:szCs w:val="12"/>
        </w:rPr>
      </w:pPr>
    </w:p>
    <w:p w:rsidR="00401A60" w:rsidRDefault="00401A60" w:rsidP="00401A60">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Cependant, l</w:t>
      </w:r>
      <w:r w:rsidRPr="00D05534">
        <w:rPr>
          <w:rFonts w:ascii="Times New Roman" w:hAnsi="Times New Roman"/>
          <w:sz w:val="24"/>
          <w:szCs w:val="24"/>
        </w:rPr>
        <w:t xml:space="preserve">’impact de la croissance sur l’emploi et la pauvreté est très variable. </w:t>
      </w:r>
      <w:r>
        <w:rPr>
          <w:rFonts w:ascii="Times New Roman" w:hAnsi="Times New Roman"/>
          <w:sz w:val="24"/>
          <w:szCs w:val="24"/>
        </w:rPr>
        <w:t>Par exemple, l</w:t>
      </w:r>
      <w:r w:rsidRPr="00BD0B1E">
        <w:rPr>
          <w:rFonts w:ascii="Times New Roman" w:hAnsi="Times New Roman"/>
          <w:sz w:val="24"/>
          <w:szCs w:val="24"/>
        </w:rPr>
        <w:t xml:space="preserve">’emploi  peut  être perçu comme un moyen de </w:t>
      </w:r>
      <w:r w:rsidR="00C27923" w:rsidRPr="00BD0B1E">
        <w:rPr>
          <w:rFonts w:ascii="Times New Roman" w:hAnsi="Times New Roman"/>
          <w:sz w:val="24"/>
          <w:szCs w:val="24"/>
        </w:rPr>
        <w:t>transf</w:t>
      </w:r>
      <w:r w:rsidR="00C27923">
        <w:rPr>
          <w:rFonts w:ascii="Times New Roman" w:hAnsi="Times New Roman"/>
          <w:sz w:val="24"/>
          <w:szCs w:val="24"/>
        </w:rPr>
        <w:t>ert</w:t>
      </w:r>
      <w:r w:rsidR="00C27923" w:rsidRPr="00BD0B1E">
        <w:rPr>
          <w:rFonts w:ascii="Times New Roman" w:hAnsi="Times New Roman"/>
          <w:sz w:val="24"/>
          <w:szCs w:val="24"/>
        </w:rPr>
        <w:t xml:space="preserve"> </w:t>
      </w:r>
      <w:r w:rsidRPr="00BD0B1E">
        <w:rPr>
          <w:rFonts w:ascii="Times New Roman" w:hAnsi="Times New Roman"/>
          <w:sz w:val="24"/>
          <w:szCs w:val="24"/>
        </w:rPr>
        <w:t>progressif des bénéfices de la croissance des riches aux pauvres.  Ainsi, selon la théorie économique classique,  les fruits de la croissance vont d’abord aux riches puis aux pauvres au fur et à mesure que le rythme d’accumulation du capital physique des riches s’intensifie. Les pauvres touchent donc les dividendes de la croissance uniquement de façon indirecte via un flux vertical des riches vers les pauvres qui se produit de son propre chef (selon les « forces du marché»). La réduction de la pauvreté se fait non seulement graduellement mais aussi dans un ordre hiérarchique bien précis. Elle concernerait d’abord les capitalistes et les travailleurs urbains puis les paysans (Ehrhart, C et al.2006)). Ainsi, les premiers économistes du développement et la Banque mondiale voyaient dans la croissance, le principal moyen de réduire la pauvreté et d’améliorer la qualité de vie. Pour bénéficier au peuple et éradiquer la pauvreté, le développement devrait donc s’appuyer sur une croissance rapide. Cette foi dans la croissance prenait son origine dans l’hypothèse selon laquelle ses avantages finiraient par être largement distribués aux masses sous la forme d’emplois ou d’autres opportunités économiques (Ehrhart, C et al.2006).</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Default="00401A60" w:rsidP="00401A60">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 xml:space="preserve">Toutefois, Gaiha (1992) a montré que la pauvreté chronique observée en milieu rural en Inde était le résultat de la variation des rémunérations et du taux de salaire qu’il justifiait par l’inégalité des capacités à </w:t>
      </w:r>
      <w:r w:rsidR="004E6B3F">
        <w:rPr>
          <w:rFonts w:ascii="Times New Roman" w:hAnsi="Times New Roman"/>
          <w:sz w:val="24"/>
          <w:szCs w:val="24"/>
        </w:rPr>
        <w:t xml:space="preserve">accroître </w:t>
      </w:r>
      <w:r>
        <w:rPr>
          <w:rFonts w:ascii="Times New Roman" w:hAnsi="Times New Roman"/>
          <w:sz w:val="24"/>
          <w:szCs w:val="24"/>
        </w:rPr>
        <w:t>le revenu. De même, Drèse et al. (1992) montrent que la persistance de la pauvreté au sud de l’Inde ne résulte pas uniquement du manque d’actifs productifs mais de certains désavantages intrinsèques des ménages à savoir le manque d’actifs humains tels que les capacités élémentaires à travailler. Cet état des faits proviendrait de la variation des prix (Gaiha et al. (1993)).</w:t>
      </w:r>
      <w:r w:rsidR="00C27923">
        <w:rPr>
          <w:rFonts w:ascii="Times New Roman" w:hAnsi="Times New Roman"/>
          <w:sz w:val="24"/>
          <w:szCs w:val="24"/>
        </w:rPr>
        <w:t xml:space="preserve"> </w:t>
      </w:r>
      <w:r w:rsidRPr="002D0FE5">
        <w:rPr>
          <w:rFonts w:ascii="Times New Roman" w:hAnsi="Times New Roman"/>
          <w:sz w:val="24"/>
          <w:szCs w:val="24"/>
        </w:rPr>
        <w:t>Ekaterina Kalugina et Boris Najman montrent</w:t>
      </w:r>
      <w:r w:rsidR="004E6B3F">
        <w:rPr>
          <w:rFonts w:ascii="Times New Roman" w:hAnsi="Times New Roman"/>
          <w:sz w:val="24"/>
          <w:szCs w:val="24"/>
        </w:rPr>
        <w:t>,</w:t>
      </w:r>
      <w:r w:rsidRPr="002D0FE5">
        <w:rPr>
          <w:rFonts w:ascii="Times New Roman" w:hAnsi="Times New Roman"/>
          <w:sz w:val="24"/>
          <w:szCs w:val="24"/>
        </w:rPr>
        <w:t xml:space="preserve"> à partir des données individuelles de panel tirées de l’enquête RLMS (Russia Longitudinal Monitoring Survey) entre 1994 et 2000</w:t>
      </w:r>
      <w:r w:rsidR="004E6B3F">
        <w:rPr>
          <w:rFonts w:ascii="Times New Roman" w:hAnsi="Times New Roman"/>
          <w:sz w:val="24"/>
          <w:szCs w:val="24"/>
        </w:rPr>
        <w:t>,</w:t>
      </w:r>
      <w:r w:rsidRPr="002D0FE5">
        <w:rPr>
          <w:rFonts w:ascii="Times New Roman" w:hAnsi="Times New Roman"/>
          <w:sz w:val="24"/>
          <w:szCs w:val="24"/>
        </w:rPr>
        <w:t xml:space="preserve"> que le fait d’avoir un seul emploi déclaré (secteur formel) augmente la probabilité d’être et de se sentir pauvre relativement au fait de travailler dans le secteur informel. A l’opposé, les personnes ayant plusieurs activités ont la probabilité la plus faible d’être ou de se sentir pauvre.</w:t>
      </w:r>
      <w:r w:rsidR="009920CB">
        <w:rPr>
          <w:rFonts w:ascii="Times New Roman" w:hAnsi="Times New Roman"/>
          <w:sz w:val="24"/>
          <w:szCs w:val="24"/>
        </w:rPr>
        <w:t xml:space="preserve"> </w:t>
      </w:r>
      <w:r>
        <w:rPr>
          <w:rFonts w:ascii="Times New Roman" w:hAnsi="Times New Roman"/>
          <w:sz w:val="24"/>
          <w:szCs w:val="24"/>
        </w:rPr>
        <w:t>Les inégalités salariales ou de formation peuvent donc être des freins à l’effet de réduction de la pauvreté.</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Pr="002D0FE5" w:rsidRDefault="00401A60" w:rsidP="00401A60">
      <w:pPr>
        <w:autoSpaceDE w:val="0"/>
        <w:autoSpaceDN w:val="0"/>
        <w:adjustRightInd w:val="0"/>
        <w:spacing w:line="276" w:lineRule="auto"/>
        <w:rPr>
          <w:rFonts w:ascii="Times New Roman" w:hAnsi="Times New Roman"/>
          <w:sz w:val="24"/>
          <w:szCs w:val="24"/>
        </w:rPr>
      </w:pPr>
      <w:r w:rsidRPr="00D05534">
        <w:rPr>
          <w:rFonts w:ascii="Times New Roman" w:hAnsi="Times New Roman"/>
          <w:sz w:val="24"/>
          <w:szCs w:val="24"/>
        </w:rPr>
        <w:t>Ravallion (2004) montre que des pays en développement ayant des taux analogues de croissance économique ont enregistré des degrés très différents de réduction de la pauvreté économique. L’auteur montre un effet positif de la croissance sur la réduction de la pauvreté mais souvent en deçà des attentes à cause du niveau initial des inégalités de revenu et de patrimoine. Ainsi, une croissance économique fondée, par exemple, sur l’exploitation des ressources minérales entraînera une aggravation des inégalités de patrimoine et, inévitablement, une progression de la pauvreté si elle ne s’accompagne pas de nombreuses créations d’emplois. C’est pour cette raison que  le POVNET préconise la recherche d’une croissance favorable aux pauvres dont  le rythme est aussi important que ses modalités.</w:t>
      </w:r>
    </w:p>
    <w:p w:rsidR="00401A60" w:rsidRDefault="00401A60" w:rsidP="00401A60">
      <w:pPr>
        <w:autoSpaceDE w:val="0"/>
        <w:autoSpaceDN w:val="0"/>
        <w:adjustRightInd w:val="0"/>
        <w:spacing w:line="240" w:lineRule="auto"/>
        <w:rPr>
          <w:rFonts w:ascii="Times New Roman" w:hAnsi="Times New Roman"/>
          <w:sz w:val="24"/>
          <w:szCs w:val="24"/>
        </w:rPr>
      </w:pPr>
    </w:p>
    <w:p w:rsidR="00401A60" w:rsidRPr="003B5123" w:rsidRDefault="000B5203" w:rsidP="00401A60">
      <w:pPr>
        <w:spacing w:line="240" w:lineRule="auto"/>
        <w:rPr>
          <w:rFonts w:ascii="Times New Roman" w:hAnsi="Times New Roman"/>
          <w:sz w:val="24"/>
          <w:szCs w:val="24"/>
        </w:rPr>
      </w:pPr>
      <w:r>
        <w:rPr>
          <w:rFonts w:ascii="Times New Roman" w:hAnsi="Times New Roman"/>
          <w:b/>
          <w:sz w:val="24"/>
          <w:szCs w:val="24"/>
        </w:rPr>
        <w:t>5</w:t>
      </w:r>
      <w:r w:rsidR="00401A60" w:rsidRPr="003B5123">
        <w:rPr>
          <w:rFonts w:ascii="Times New Roman" w:hAnsi="Times New Roman"/>
          <w:b/>
          <w:sz w:val="24"/>
          <w:szCs w:val="24"/>
        </w:rPr>
        <w:t>.7.</w:t>
      </w:r>
      <w:r w:rsidR="00401A60">
        <w:rPr>
          <w:rFonts w:ascii="Times New Roman" w:hAnsi="Times New Roman"/>
          <w:b/>
          <w:sz w:val="24"/>
          <w:szCs w:val="24"/>
        </w:rPr>
        <w:t>2</w:t>
      </w:r>
      <w:r w:rsidR="00401A60" w:rsidRPr="003B5123">
        <w:rPr>
          <w:rFonts w:ascii="Times New Roman" w:hAnsi="Times New Roman"/>
          <w:b/>
          <w:sz w:val="24"/>
          <w:szCs w:val="24"/>
        </w:rPr>
        <w:t xml:space="preserve"> Politiques</w:t>
      </w:r>
      <w:r w:rsidR="009920CB">
        <w:rPr>
          <w:rFonts w:ascii="Times New Roman" w:hAnsi="Times New Roman"/>
          <w:b/>
          <w:sz w:val="24"/>
          <w:szCs w:val="24"/>
        </w:rPr>
        <w:t xml:space="preserve"> </w:t>
      </w:r>
      <w:r w:rsidR="00401A60" w:rsidRPr="003B5123">
        <w:rPr>
          <w:rFonts w:ascii="Times New Roman" w:hAnsi="Times New Roman"/>
          <w:b/>
          <w:sz w:val="24"/>
          <w:szCs w:val="24"/>
        </w:rPr>
        <w:t>mises en œuvre</w:t>
      </w:r>
    </w:p>
    <w:p w:rsidR="00401A60" w:rsidRDefault="00401A60" w:rsidP="00401A60">
      <w:pPr>
        <w:autoSpaceDE w:val="0"/>
        <w:autoSpaceDN w:val="0"/>
        <w:adjustRightInd w:val="0"/>
        <w:spacing w:line="240" w:lineRule="auto"/>
        <w:rPr>
          <w:rFonts w:ascii="Times New Roman" w:hAnsi="Times New Roman"/>
          <w:sz w:val="24"/>
          <w:szCs w:val="24"/>
        </w:rPr>
      </w:pPr>
    </w:p>
    <w:p w:rsidR="00401A60" w:rsidRDefault="00401A60" w:rsidP="00401A60">
      <w:pPr>
        <w:autoSpaceDE w:val="0"/>
        <w:autoSpaceDN w:val="0"/>
        <w:adjustRightInd w:val="0"/>
        <w:spacing w:line="276" w:lineRule="auto"/>
        <w:rPr>
          <w:rFonts w:ascii="Times New Roman" w:hAnsi="Times New Roman"/>
          <w:sz w:val="24"/>
          <w:szCs w:val="24"/>
        </w:rPr>
      </w:pPr>
      <w:r w:rsidRPr="00946F12">
        <w:rPr>
          <w:rFonts w:ascii="Times New Roman" w:hAnsi="Times New Roman"/>
          <w:sz w:val="24"/>
          <w:szCs w:val="24"/>
        </w:rPr>
        <w:t>Depuis le début des années 1980, le Bénin a adopté plusieurs  programmes de lutte contre la pauvreté</w:t>
      </w:r>
      <w:r w:rsidR="009920CB">
        <w:rPr>
          <w:rFonts w:ascii="Times New Roman" w:hAnsi="Times New Roman"/>
          <w:sz w:val="24"/>
          <w:szCs w:val="24"/>
        </w:rPr>
        <w:t xml:space="preserve"> </w:t>
      </w:r>
      <w:r w:rsidRPr="00946F12">
        <w:rPr>
          <w:rFonts w:ascii="Times New Roman" w:hAnsi="Times New Roman"/>
          <w:sz w:val="24"/>
          <w:szCs w:val="24"/>
        </w:rPr>
        <w:t>avec une approche de plus en plus axée depuis 2000 sur la</w:t>
      </w:r>
      <w:r w:rsidR="009920CB">
        <w:rPr>
          <w:rFonts w:ascii="Times New Roman" w:hAnsi="Times New Roman"/>
          <w:sz w:val="24"/>
          <w:szCs w:val="24"/>
        </w:rPr>
        <w:t xml:space="preserve"> </w:t>
      </w:r>
      <w:r w:rsidRPr="00946F12">
        <w:rPr>
          <w:rFonts w:ascii="Times New Roman" w:hAnsi="Times New Roman"/>
          <w:sz w:val="24"/>
          <w:szCs w:val="24"/>
        </w:rPr>
        <w:t xml:space="preserve">Stratégie de Réduction de la Pauvreté (SRP). </w:t>
      </w:r>
      <w:r>
        <w:rPr>
          <w:rFonts w:ascii="Times New Roman" w:hAnsi="Times New Roman"/>
          <w:sz w:val="24"/>
          <w:szCs w:val="24"/>
        </w:rPr>
        <w:t>O</w:t>
      </w:r>
      <w:r w:rsidRPr="00946F12">
        <w:rPr>
          <w:rFonts w:ascii="Times New Roman" w:hAnsi="Times New Roman"/>
          <w:sz w:val="24"/>
          <w:szCs w:val="24"/>
        </w:rPr>
        <w:t>n peut citer entre autres le DSRP (2003-2005), les</w:t>
      </w:r>
      <w:r w:rsidR="009920CB">
        <w:rPr>
          <w:rFonts w:ascii="Times New Roman" w:hAnsi="Times New Roman"/>
          <w:sz w:val="24"/>
          <w:szCs w:val="24"/>
        </w:rPr>
        <w:t xml:space="preserve"> </w:t>
      </w:r>
      <w:r w:rsidRPr="00946F12">
        <w:rPr>
          <w:rFonts w:ascii="Times New Roman" w:hAnsi="Times New Roman"/>
          <w:sz w:val="24"/>
          <w:szCs w:val="24"/>
        </w:rPr>
        <w:t>OSD (2006-2011), la SCRP (2007-2009), le plan d’actions du MAEP, les OMD et les PDC. La</w:t>
      </w:r>
      <w:r w:rsidR="009920CB">
        <w:rPr>
          <w:rFonts w:ascii="Times New Roman" w:hAnsi="Times New Roman"/>
          <w:sz w:val="24"/>
          <w:szCs w:val="24"/>
        </w:rPr>
        <w:t xml:space="preserve"> </w:t>
      </w:r>
      <w:r w:rsidRPr="00946F12">
        <w:rPr>
          <w:rFonts w:ascii="Times New Roman" w:hAnsi="Times New Roman"/>
          <w:sz w:val="24"/>
          <w:szCs w:val="24"/>
        </w:rPr>
        <w:t>plupart des mesures</w:t>
      </w:r>
      <w:r>
        <w:rPr>
          <w:rFonts w:ascii="Times New Roman" w:hAnsi="Times New Roman"/>
          <w:sz w:val="24"/>
          <w:szCs w:val="24"/>
        </w:rPr>
        <w:t xml:space="preserve"> prises dans le cadre des différents programmes</w:t>
      </w:r>
      <w:r w:rsidR="009920CB">
        <w:rPr>
          <w:rFonts w:ascii="Times New Roman" w:hAnsi="Times New Roman"/>
          <w:sz w:val="24"/>
          <w:szCs w:val="24"/>
        </w:rPr>
        <w:t xml:space="preserve"> </w:t>
      </w:r>
      <w:r>
        <w:rPr>
          <w:rFonts w:ascii="Times New Roman" w:hAnsi="Times New Roman"/>
          <w:sz w:val="24"/>
          <w:szCs w:val="24"/>
        </w:rPr>
        <w:t xml:space="preserve">ont été </w:t>
      </w:r>
      <w:r w:rsidRPr="00946F12">
        <w:rPr>
          <w:rFonts w:ascii="Times New Roman" w:hAnsi="Times New Roman"/>
          <w:sz w:val="24"/>
          <w:szCs w:val="24"/>
        </w:rPr>
        <w:t>mis</w:t>
      </w:r>
      <w:r>
        <w:rPr>
          <w:rFonts w:ascii="Times New Roman" w:hAnsi="Times New Roman"/>
          <w:sz w:val="24"/>
          <w:szCs w:val="24"/>
        </w:rPr>
        <w:t>es</w:t>
      </w:r>
      <w:r w:rsidRPr="00946F12">
        <w:rPr>
          <w:rFonts w:ascii="Times New Roman" w:hAnsi="Times New Roman"/>
          <w:sz w:val="24"/>
          <w:szCs w:val="24"/>
        </w:rPr>
        <w:t xml:space="preserve"> en œuvre à la suite d</w:t>
      </w:r>
      <w:r>
        <w:rPr>
          <w:rFonts w:ascii="Times New Roman" w:hAnsi="Times New Roman"/>
          <w:sz w:val="24"/>
          <w:szCs w:val="24"/>
        </w:rPr>
        <w:t xml:space="preserve">es </w:t>
      </w:r>
      <w:r w:rsidRPr="00946F12">
        <w:rPr>
          <w:rFonts w:ascii="Times New Roman" w:hAnsi="Times New Roman"/>
          <w:sz w:val="24"/>
          <w:szCs w:val="24"/>
        </w:rPr>
        <w:t>concerta</w:t>
      </w:r>
      <w:r>
        <w:rPr>
          <w:rFonts w:ascii="Times New Roman" w:hAnsi="Times New Roman"/>
          <w:sz w:val="24"/>
          <w:szCs w:val="24"/>
        </w:rPr>
        <w:t>t</w:t>
      </w:r>
      <w:r w:rsidRPr="00946F12">
        <w:rPr>
          <w:rFonts w:ascii="Times New Roman" w:hAnsi="Times New Roman"/>
          <w:sz w:val="24"/>
          <w:szCs w:val="24"/>
        </w:rPr>
        <w:t>ions au niveau national ou à l’échelle locale (pour ce qui concerne les PDC) et parfois à</w:t>
      </w:r>
      <w:r w:rsidR="009920CB">
        <w:rPr>
          <w:rFonts w:ascii="Times New Roman" w:hAnsi="Times New Roman"/>
          <w:sz w:val="24"/>
          <w:szCs w:val="24"/>
        </w:rPr>
        <w:t xml:space="preserve"> </w:t>
      </w:r>
      <w:r w:rsidRPr="00946F12">
        <w:rPr>
          <w:rFonts w:ascii="Times New Roman" w:hAnsi="Times New Roman"/>
          <w:sz w:val="24"/>
          <w:szCs w:val="24"/>
        </w:rPr>
        <w:t>partir d’un important soutien des agences d'aide au développement</w:t>
      </w:r>
      <w:r>
        <w:rPr>
          <w:rFonts w:ascii="Times New Roman" w:hAnsi="Times New Roman"/>
          <w:sz w:val="24"/>
          <w:szCs w:val="24"/>
        </w:rPr>
        <w:t xml:space="preserve">. Elles ont aussi permis d’améliorer  </w:t>
      </w:r>
      <w:r w:rsidRPr="00946F12">
        <w:rPr>
          <w:rFonts w:ascii="Times New Roman" w:hAnsi="Times New Roman"/>
          <w:sz w:val="24"/>
          <w:szCs w:val="24"/>
        </w:rPr>
        <w:t>l’accès des</w:t>
      </w:r>
      <w:r w:rsidR="009920CB">
        <w:rPr>
          <w:rFonts w:ascii="Times New Roman" w:hAnsi="Times New Roman"/>
          <w:sz w:val="24"/>
          <w:szCs w:val="24"/>
        </w:rPr>
        <w:t xml:space="preserve"> </w:t>
      </w:r>
      <w:r w:rsidRPr="00946F12">
        <w:rPr>
          <w:rFonts w:ascii="Times New Roman" w:hAnsi="Times New Roman"/>
          <w:sz w:val="24"/>
          <w:szCs w:val="24"/>
        </w:rPr>
        <w:t xml:space="preserve">pauvres aux services sociaux de base. </w:t>
      </w:r>
      <w:r>
        <w:rPr>
          <w:rFonts w:ascii="Times New Roman" w:hAnsi="Times New Roman"/>
          <w:sz w:val="24"/>
          <w:szCs w:val="24"/>
        </w:rPr>
        <w:t xml:space="preserve">Cependant, nous n’observons pas un recul significatif de la pauvreté même si le thème de la lutte contre la pauvreté est de plus en plus présent </w:t>
      </w:r>
      <w:r w:rsidRPr="00946F12">
        <w:rPr>
          <w:rFonts w:ascii="Times New Roman" w:hAnsi="Times New Roman"/>
          <w:sz w:val="24"/>
          <w:szCs w:val="24"/>
        </w:rPr>
        <w:t>dans les plans/programmes</w:t>
      </w:r>
      <w:r w:rsidR="009920CB">
        <w:rPr>
          <w:rFonts w:ascii="Times New Roman" w:hAnsi="Times New Roman"/>
          <w:sz w:val="24"/>
          <w:szCs w:val="24"/>
        </w:rPr>
        <w:t xml:space="preserve"> </w:t>
      </w:r>
      <w:r w:rsidRPr="00946F12">
        <w:rPr>
          <w:rFonts w:ascii="Times New Roman" w:hAnsi="Times New Roman"/>
          <w:sz w:val="24"/>
          <w:szCs w:val="24"/>
        </w:rPr>
        <w:t>d’action et dans les discours officiels des gouvernants</w:t>
      </w:r>
      <w:r>
        <w:rPr>
          <w:rFonts w:ascii="Times New Roman" w:hAnsi="Times New Roman"/>
          <w:sz w:val="24"/>
          <w:szCs w:val="24"/>
        </w:rPr>
        <w:t>.</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Default="00401A60" w:rsidP="00401A60">
      <w:pPr>
        <w:autoSpaceDE w:val="0"/>
        <w:autoSpaceDN w:val="0"/>
        <w:adjustRightInd w:val="0"/>
        <w:spacing w:line="276" w:lineRule="auto"/>
        <w:rPr>
          <w:rFonts w:ascii="Times New Roman" w:hAnsi="Times New Roman"/>
          <w:sz w:val="24"/>
          <w:szCs w:val="24"/>
        </w:rPr>
      </w:pPr>
      <w:r>
        <w:rPr>
          <w:rFonts w:ascii="Times New Roman" w:hAnsi="Times New Roman"/>
          <w:sz w:val="24"/>
          <w:szCs w:val="24"/>
        </w:rPr>
        <w:t>Néanmoins, on constate que l’emploi et en particulier celui des jeunes occupe une place importante dans la politique de lutte de contre la pauvreté. Sans doute à cause de la jeunesse de la population béninoise. En effet, la population des moins de 15</w:t>
      </w:r>
      <w:r w:rsidR="004E6B3F">
        <w:rPr>
          <w:rFonts w:ascii="Times New Roman" w:hAnsi="Times New Roman"/>
          <w:sz w:val="24"/>
          <w:szCs w:val="24"/>
        </w:rPr>
        <w:t xml:space="preserve"> </w:t>
      </w:r>
      <w:r>
        <w:rPr>
          <w:rFonts w:ascii="Times New Roman" w:hAnsi="Times New Roman"/>
          <w:sz w:val="24"/>
          <w:szCs w:val="24"/>
        </w:rPr>
        <w:t xml:space="preserve">ans représente 46,8%  de la population totale contre 5,5% des personnes âgées de 60 ans et plus (Cf. RGPH 2002). De plus, </w:t>
      </w:r>
      <w:r w:rsidRPr="0083569A">
        <w:rPr>
          <w:rFonts w:ascii="Times New Roman" w:hAnsi="Times New Roman"/>
          <w:sz w:val="24"/>
          <w:szCs w:val="24"/>
        </w:rPr>
        <w:t>la proportion des</w:t>
      </w:r>
      <w:r w:rsidR="009920CB">
        <w:rPr>
          <w:rFonts w:ascii="Times New Roman" w:hAnsi="Times New Roman"/>
          <w:sz w:val="24"/>
          <w:szCs w:val="24"/>
        </w:rPr>
        <w:t xml:space="preserve"> </w:t>
      </w:r>
      <w:r w:rsidRPr="0083569A">
        <w:rPr>
          <w:rFonts w:ascii="Times New Roman" w:hAnsi="Times New Roman"/>
          <w:sz w:val="24"/>
          <w:szCs w:val="24"/>
        </w:rPr>
        <w:t>chômeurs</w:t>
      </w:r>
      <w:r>
        <w:rPr>
          <w:rFonts w:ascii="Times New Roman" w:hAnsi="Times New Roman"/>
          <w:sz w:val="24"/>
          <w:szCs w:val="24"/>
        </w:rPr>
        <w:t xml:space="preserve"> de moins de 35 ans est de</w:t>
      </w:r>
      <w:r w:rsidRPr="0083569A">
        <w:rPr>
          <w:rFonts w:ascii="Times New Roman" w:hAnsi="Times New Roman"/>
          <w:sz w:val="24"/>
          <w:szCs w:val="24"/>
        </w:rPr>
        <w:t xml:space="preserve"> 72%.</w:t>
      </w:r>
      <w:r>
        <w:rPr>
          <w:rFonts w:ascii="Times New Roman" w:hAnsi="Times New Roman"/>
          <w:sz w:val="24"/>
          <w:szCs w:val="24"/>
        </w:rPr>
        <w:t xml:space="preserve"> Il est donc important de redresser la tendance car la promotion de l’emploi décent des jeunes diminuera considérablement le nombre de pauvres puisqu’elle touchera la tranche majoritaire de la population. </w:t>
      </w:r>
    </w:p>
    <w:p w:rsidR="00401A60" w:rsidRPr="00C4229B"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sidRPr="002E1EEB">
        <w:rPr>
          <w:rFonts w:ascii="Times New Roman" w:hAnsi="Times New Roman"/>
          <w:sz w:val="24"/>
          <w:szCs w:val="24"/>
        </w:rPr>
        <w:t xml:space="preserve">Pour relever le défi de la création d’emplois décents et durables pour le plus grand nombre des jeunes femmes et jeunes hommes qui arrivent sur le marché du travail, le </w:t>
      </w:r>
      <w:r w:rsidR="004E6B3F">
        <w:rPr>
          <w:rFonts w:ascii="Times New Roman" w:hAnsi="Times New Roman"/>
          <w:sz w:val="24"/>
          <w:szCs w:val="24"/>
        </w:rPr>
        <w:t>G</w:t>
      </w:r>
      <w:r w:rsidR="004E6B3F" w:rsidRPr="002E1EEB">
        <w:rPr>
          <w:rFonts w:ascii="Times New Roman" w:hAnsi="Times New Roman"/>
          <w:sz w:val="24"/>
          <w:szCs w:val="24"/>
        </w:rPr>
        <w:t xml:space="preserve">ouvernement </w:t>
      </w:r>
      <w:r w:rsidR="004E6B3F">
        <w:rPr>
          <w:rFonts w:ascii="Times New Roman" w:hAnsi="Times New Roman"/>
          <w:sz w:val="24"/>
          <w:szCs w:val="24"/>
        </w:rPr>
        <w:t>b</w:t>
      </w:r>
      <w:r w:rsidR="004E6B3F" w:rsidRPr="002E1EEB">
        <w:rPr>
          <w:rFonts w:ascii="Times New Roman" w:hAnsi="Times New Roman"/>
          <w:sz w:val="24"/>
          <w:szCs w:val="24"/>
        </w:rPr>
        <w:t xml:space="preserve">éninois </w:t>
      </w:r>
      <w:r w:rsidRPr="002E1EEB">
        <w:rPr>
          <w:rFonts w:ascii="Times New Roman" w:hAnsi="Times New Roman"/>
          <w:sz w:val="24"/>
          <w:szCs w:val="24"/>
        </w:rPr>
        <w:t>a mis en place, en 2010,</w:t>
      </w:r>
      <w:r w:rsidRPr="007C4F7C">
        <w:rPr>
          <w:rFonts w:ascii="Times New Roman" w:hAnsi="Times New Roman"/>
          <w:sz w:val="24"/>
          <w:szCs w:val="24"/>
        </w:rPr>
        <w:t xml:space="preserve"> un document stratégique intitulé « Politique Nationale de l’Emploi et Plan  d’Actions 2010-2014 ».  Ce document donne les orientations de la Politique Nationale d’Emploi (PNE) ainsi que les stratégies à adopter pour offrir aux actifs béninois des emploi</w:t>
      </w:r>
      <w:r w:rsidR="00C27923">
        <w:rPr>
          <w:rFonts w:ascii="Times New Roman" w:hAnsi="Times New Roman"/>
          <w:sz w:val="24"/>
          <w:szCs w:val="24"/>
        </w:rPr>
        <w:t>s</w:t>
      </w:r>
      <w:r w:rsidRPr="007C4F7C">
        <w:rPr>
          <w:rFonts w:ascii="Times New Roman" w:hAnsi="Times New Roman"/>
          <w:sz w:val="24"/>
          <w:szCs w:val="24"/>
        </w:rPr>
        <w:t xml:space="preserve"> décents et durables permettant de réduire significativement la pauvreté. </w:t>
      </w:r>
    </w:p>
    <w:p w:rsidR="00401A60" w:rsidRPr="00C4229B" w:rsidRDefault="00401A60" w:rsidP="00401A60">
      <w:pPr>
        <w:spacing w:line="276" w:lineRule="auto"/>
        <w:rPr>
          <w:rFonts w:ascii="Times New Roman" w:hAnsi="Times New Roman"/>
          <w:sz w:val="12"/>
          <w:szCs w:val="12"/>
        </w:rPr>
      </w:pPr>
    </w:p>
    <w:p w:rsidR="00401A60" w:rsidRDefault="00401A60" w:rsidP="00401A60">
      <w:pPr>
        <w:spacing w:line="276" w:lineRule="auto"/>
        <w:rPr>
          <w:rFonts w:ascii="Times New Roman" w:hAnsi="Times New Roman"/>
          <w:sz w:val="24"/>
          <w:szCs w:val="24"/>
        </w:rPr>
      </w:pPr>
      <w:r w:rsidRPr="007C4F7C">
        <w:rPr>
          <w:rFonts w:ascii="Times New Roman" w:hAnsi="Times New Roman"/>
          <w:sz w:val="24"/>
          <w:szCs w:val="24"/>
        </w:rPr>
        <w:t>Quatre barrières à l’emploi ont été identifiées au moment de l’adoption de ce document. Il s’agit </w:t>
      </w:r>
      <w:r w:rsidR="004E6B3F">
        <w:rPr>
          <w:rFonts w:ascii="Times New Roman" w:hAnsi="Times New Roman"/>
          <w:sz w:val="24"/>
          <w:szCs w:val="24"/>
        </w:rPr>
        <w:t xml:space="preserve">de </w:t>
      </w:r>
      <w:r w:rsidRPr="007C4F7C">
        <w:rPr>
          <w:rFonts w:ascii="Times New Roman" w:hAnsi="Times New Roman"/>
          <w:sz w:val="24"/>
          <w:szCs w:val="24"/>
        </w:rPr>
        <w:t>:</w:t>
      </w:r>
    </w:p>
    <w:p w:rsidR="00401A60" w:rsidRPr="00C4229B" w:rsidRDefault="00401A60" w:rsidP="00401A60">
      <w:pPr>
        <w:spacing w:line="276" w:lineRule="auto"/>
        <w:rPr>
          <w:rFonts w:ascii="Times New Roman" w:hAnsi="Times New Roman"/>
          <w:sz w:val="12"/>
          <w:szCs w:val="12"/>
        </w:rPr>
      </w:pPr>
    </w:p>
    <w:p w:rsidR="00401A60" w:rsidRDefault="00401A60" w:rsidP="00930D19">
      <w:pPr>
        <w:pStyle w:val="Paragraphedeliste"/>
        <w:numPr>
          <w:ilvl w:val="0"/>
          <w:numId w:val="6"/>
        </w:numPr>
        <w:autoSpaceDE w:val="0"/>
        <w:autoSpaceDN w:val="0"/>
        <w:adjustRightInd w:val="0"/>
        <w:spacing w:line="276" w:lineRule="auto"/>
        <w:rPr>
          <w:rFonts w:ascii="Times New Roman" w:hAnsi="Times New Roman"/>
          <w:color w:val="000000"/>
          <w:sz w:val="24"/>
          <w:szCs w:val="24"/>
        </w:rPr>
      </w:pPr>
      <w:r w:rsidRPr="001C2C96">
        <w:rPr>
          <w:rFonts w:ascii="Times New Roman" w:hAnsi="Times New Roman"/>
          <w:color w:val="000000"/>
          <w:sz w:val="24"/>
          <w:szCs w:val="24"/>
        </w:rPr>
        <w:t>Manque de synergie et d’arrimage systématique entre les politiques publiques et les actions de promotion de l’emploi</w:t>
      </w:r>
      <w:r>
        <w:rPr>
          <w:rFonts w:ascii="Times New Roman" w:hAnsi="Times New Roman"/>
          <w:color w:val="000000"/>
          <w:sz w:val="24"/>
          <w:szCs w:val="24"/>
        </w:rPr>
        <w:t> ;</w:t>
      </w:r>
    </w:p>
    <w:p w:rsidR="00401A60" w:rsidRDefault="00401A60" w:rsidP="00930D19">
      <w:pPr>
        <w:pStyle w:val="Paragraphedeliste"/>
        <w:numPr>
          <w:ilvl w:val="0"/>
          <w:numId w:val="6"/>
        </w:numPr>
        <w:autoSpaceDE w:val="0"/>
        <w:autoSpaceDN w:val="0"/>
        <w:adjustRightInd w:val="0"/>
        <w:spacing w:line="276" w:lineRule="auto"/>
        <w:rPr>
          <w:rFonts w:ascii="Times New Roman" w:hAnsi="Times New Roman"/>
          <w:color w:val="000000"/>
          <w:sz w:val="24"/>
          <w:szCs w:val="24"/>
        </w:rPr>
      </w:pPr>
      <w:r w:rsidRPr="001C2C96">
        <w:rPr>
          <w:rFonts w:ascii="Times New Roman" w:hAnsi="Times New Roman"/>
          <w:color w:val="000000"/>
          <w:sz w:val="24"/>
          <w:szCs w:val="24"/>
        </w:rPr>
        <w:t>Faible niveau de l’offre quantitative et qualitative d’emploi (une offre d’emploi peu diversifiée et insuffisante)</w:t>
      </w:r>
      <w:r>
        <w:rPr>
          <w:rFonts w:ascii="Times New Roman" w:hAnsi="Times New Roman"/>
          <w:color w:val="000000"/>
          <w:sz w:val="24"/>
          <w:szCs w:val="24"/>
        </w:rPr>
        <w:t> ;</w:t>
      </w:r>
    </w:p>
    <w:p w:rsidR="00401A60" w:rsidRDefault="00401A60" w:rsidP="00930D19">
      <w:pPr>
        <w:pStyle w:val="Paragraphedeliste"/>
        <w:numPr>
          <w:ilvl w:val="0"/>
          <w:numId w:val="6"/>
        </w:numPr>
        <w:autoSpaceDE w:val="0"/>
        <w:autoSpaceDN w:val="0"/>
        <w:adjustRightInd w:val="0"/>
        <w:spacing w:line="276" w:lineRule="auto"/>
        <w:rPr>
          <w:rFonts w:ascii="Times New Roman" w:hAnsi="Times New Roman"/>
          <w:color w:val="000000"/>
          <w:sz w:val="24"/>
          <w:szCs w:val="24"/>
        </w:rPr>
      </w:pPr>
      <w:r w:rsidRPr="001C2C96">
        <w:rPr>
          <w:rFonts w:ascii="Times New Roman" w:hAnsi="Times New Roman"/>
          <w:color w:val="000000"/>
          <w:sz w:val="24"/>
          <w:szCs w:val="24"/>
        </w:rPr>
        <w:t>Inadéquation entre les profils professionnels des demandeurs d’emploi et les besoins en compétences du marché du travail</w:t>
      </w:r>
      <w:r>
        <w:rPr>
          <w:rFonts w:ascii="Times New Roman" w:hAnsi="Times New Roman"/>
          <w:color w:val="000000"/>
          <w:sz w:val="24"/>
          <w:szCs w:val="24"/>
        </w:rPr>
        <w:t> ;</w:t>
      </w:r>
    </w:p>
    <w:p w:rsidR="00401A60" w:rsidRPr="001C2C96" w:rsidRDefault="00401A60" w:rsidP="00930D19">
      <w:pPr>
        <w:pStyle w:val="Paragraphedeliste"/>
        <w:numPr>
          <w:ilvl w:val="0"/>
          <w:numId w:val="6"/>
        </w:numPr>
        <w:autoSpaceDE w:val="0"/>
        <w:autoSpaceDN w:val="0"/>
        <w:adjustRightInd w:val="0"/>
        <w:spacing w:line="276" w:lineRule="auto"/>
        <w:rPr>
          <w:rFonts w:ascii="Times New Roman" w:hAnsi="Times New Roman"/>
          <w:color w:val="000000"/>
          <w:sz w:val="24"/>
          <w:szCs w:val="24"/>
        </w:rPr>
      </w:pPr>
      <w:r w:rsidRPr="001C2C96">
        <w:rPr>
          <w:rFonts w:ascii="Times New Roman" w:hAnsi="Times New Roman"/>
          <w:color w:val="000000"/>
          <w:sz w:val="24"/>
          <w:szCs w:val="24"/>
        </w:rPr>
        <w:t xml:space="preserve">Faible efficacité du dispositif d'intermédiation entre l'offre et la demande d'emploi d’une part, et le système d'information sur l'emploi et la formation d’autre part. </w:t>
      </w:r>
    </w:p>
    <w:p w:rsidR="00401A60" w:rsidRPr="00C4229B" w:rsidRDefault="00401A60" w:rsidP="00401A60">
      <w:pPr>
        <w:autoSpaceDE w:val="0"/>
        <w:autoSpaceDN w:val="0"/>
        <w:adjustRightInd w:val="0"/>
        <w:spacing w:line="276" w:lineRule="auto"/>
        <w:rPr>
          <w:rFonts w:ascii="Times New Roman" w:hAnsi="Times New Roman"/>
          <w:color w:val="000000"/>
          <w:sz w:val="12"/>
          <w:szCs w:val="12"/>
        </w:rPr>
      </w:pPr>
    </w:p>
    <w:p w:rsidR="00401A60" w:rsidRDefault="00401A60" w:rsidP="00401A60">
      <w:pPr>
        <w:autoSpaceDE w:val="0"/>
        <w:autoSpaceDN w:val="0"/>
        <w:adjustRightInd w:val="0"/>
        <w:spacing w:line="276" w:lineRule="auto"/>
        <w:rPr>
          <w:rFonts w:ascii="Times New Roman" w:hAnsi="Times New Roman"/>
          <w:sz w:val="24"/>
          <w:szCs w:val="24"/>
        </w:rPr>
      </w:pPr>
      <w:r w:rsidRPr="007C4F7C">
        <w:rPr>
          <w:rFonts w:ascii="Times New Roman" w:hAnsi="Times New Roman"/>
          <w:sz w:val="24"/>
          <w:szCs w:val="24"/>
        </w:rPr>
        <w:t xml:space="preserve">Pour </w:t>
      </w:r>
      <w:r>
        <w:rPr>
          <w:rFonts w:ascii="Times New Roman" w:hAnsi="Times New Roman"/>
          <w:sz w:val="24"/>
          <w:szCs w:val="24"/>
        </w:rPr>
        <w:t>éliminer chaque barrière à l’emploi décent et durable identifié,</w:t>
      </w:r>
      <w:r w:rsidRPr="007C4F7C">
        <w:rPr>
          <w:rFonts w:ascii="Times New Roman" w:hAnsi="Times New Roman"/>
          <w:sz w:val="24"/>
          <w:szCs w:val="24"/>
        </w:rPr>
        <w:t xml:space="preserve"> le </w:t>
      </w:r>
      <w:r w:rsidR="004E6B3F">
        <w:rPr>
          <w:rFonts w:ascii="Times New Roman" w:hAnsi="Times New Roman"/>
          <w:sz w:val="24"/>
          <w:szCs w:val="24"/>
        </w:rPr>
        <w:t>G</w:t>
      </w:r>
      <w:r w:rsidR="004E6B3F" w:rsidRPr="007C4F7C">
        <w:rPr>
          <w:rFonts w:ascii="Times New Roman" w:hAnsi="Times New Roman"/>
          <w:sz w:val="24"/>
          <w:szCs w:val="24"/>
        </w:rPr>
        <w:t xml:space="preserve">ouvernement </w:t>
      </w:r>
      <w:r w:rsidRPr="007C4F7C">
        <w:rPr>
          <w:rFonts w:ascii="Times New Roman" w:hAnsi="Times New Roman"/>
          <w:sz w:val="24"/>
          <w:szCs w:val="24"/>
        </w:rPr>
        <w:t xml:space="preserve">béninois a </w:t>
      </w:r>
      <w:r>
        <w:rPr>
          <w:rFonts w:ascii="Times New Roman" w:hAnsi="Times New Roman"/>
          <w:sz w:val="24"/>
          <w:szCs w:val="24"/>
        </w:rPr>
        <w:t>adopté une stratégie basée sur quatre  points :</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Default="00401A60" w:rsidP="00930D19">
      <w:pPr>
        <w:pStyle w:val="Paragraphedeliste"/>
        <w:numPr>
          <w:ilvl w:val="0"/>
          <w:numId w:val="7"/>
        </w:numPr>
        <w:autoSpaceDE w:val="0"/>
        <w:autoSpaceDN w:val="0"/>
        <w:adjustRightInd w:val="0"/>
        <w:spacing w:line="276" w:lineRule="auto"/>
        <w:rPr>
          <w:rFonts w:ascii="Times New Roman" w:hAnsi="Times New Roman"/>
          <w:sz w:val="24"/>
          <w:szCs w:val="24"/>
        </w:rPr>
      </w:pPr>
      <w:r w:rsidRPr="00D107A1">
        <w:rPr>
          <w:rFonts w:ascii="Times New Roman" w:hAnsi="Times New Roman"/>
          <w:sz w:val="24"/>
          <w:szCs w:val="24"/>
        </w:rPr>
        <w:t>La facilitation de l’insertion des jeunes dans le</w:t>
      </w:r>
      <w:r w:rsidR="004E6B3F">
        <w:rPr>
          <w:rFonts w:ascii="Times New Roman" w:hAnsi="Times New Roman"/>
          <w:sz w:val="24"/>
          <w:szCs w:val="24"/>
        </w:rPr>
        <w:t>s</w:t>
      </w:r>
      <w:r w:rsidRPr="00D107A1">
        <w:rPr>
          <w:rFonts w:ascii="Times New Roman" w:hAnsi="Times New Roman"/>
          <w:sz w:val="24"/>
          <w:szCs w:val="24"/>
        </w:rPr>
        <w:t xml:space="preserve"> secteur</w:t>
      </w:r>
      <w:r w:rsidR="004E6B3F">
        <w:rPr>
          <w:rFonts w:ascii="Times New Roman" w:hAnsi="Times New Roman"/>
          <w:sz w:val="24"/>
          <w:szCs w:val="24"/>
        </w:rPr>
        <w:t>s</w:t>
      </w:r>
      <w:r w:rsidRPr="00D107A1">
        <w:rPr>
          <w:rFonts w:ascii="Times New Roman" w:hAnsi="Times New Roman"/>
          <w:sz w:val="24"/>
          <w:szCs w:val="24"/>
        </w:rPr>
        <w:t xml:space="preserve"> public</w:t>
      </w:r>
      <w:r>
        <w:rPr>
          <w:rFonts w:ascii="Times New Roman" w:hAnsi="Times New Roman"/>
          <w:sz w:val="24"/>
          <w:szCs w:val="24"/>
        </w:rPr>
        <w:t>,</w:t>
      </w:r>
      <w:r w:rsidRPr="00D107A1">
        <w:rPr>
          <w:rFonts w:ascii="Times New Roman" w:hAnsi="Times New Roman"/>
          <w:sz w:val="24"/>
          <w:szCs w:val="24"/>
        </w:rPr>
        <w:t xml:space="preserve"> parapublic et privé ;</w:t>
      </w:r>
    </w:p>
    <w:p w:rsidR="00401A60" w:rsidRDefault="00401A60" w:rsidP="00930D19">
      <w:pPr>
        <w:pStyle w:val="Paragraphedeliste"/>
        <w:numPr>
          <w:ilvl w:val="0"/>
          <w:numId w:val="7"/>
        </w:numPr>
        <w:autoSpaceDE w:val="0"/>
        <w:autoSpaceDN w:val="0"/>
        <w:adjustRightInd w:val="0"/>
        <w:spacing w:line="276" w:lineRule="auto"/>
        <w:rPr>
          <w:rFonts w:ascii="Times New Roman" w:hAnsi="Times New Roman"/>
          <w:sz w:val="24"/>
          <w:szCs w:val="24"/>
        </w:rPr>
      </w:pPr>
      <w:r w:rsidRPr="00D107A1">
        <w:rPr>
          <w:rFonts w:ascii="Times New Roman" w:hAnsi="Times New Roman"/>
          <w:sz w:val="24"/>
          <w:szCs w:val="24"/>
        </w:rPr>
        <w:t>L’encadrement et l’assistance technique aux jeunes pour la création et le développement des PME ;</w:t>
      </w:r>
    </w:p>
    <w:p w:rsidR="00401A60" w:rsidRDefault="00401A60" w:rsidP="00930D19">
      <w:pPr>
        <w:pStyle w:val="Paragraphedeliste"/>
        <w:numPr>
          <w:ilvl w:val="0"/>
          <w:numId w:val="7"/>
        </w:numPr>
        <w:autoSpaceDE w:val="0"/>
        <w:autoSpaceDN w:val="0"/>
        <w:adjustRightInd w:val="0"/>
        <w:spacing w:line="276" w:lineRule="auto"/>
        <w:rPr>
          <w:rFonts w:ascii="Times New Roman" w:hAnsi="Times New Roman"/>
          <w:sz w:val="24"/>
          <w:szCs w:val="24"/>
        </w:rPr>
      </w:pPr>
      <w:r w:rsidRPr="00D107A1">
        <w:rPr>
          <w:rFonts w:ascii="Times New Roman" w:hAnsi="Times New Roman"/>
          <w:sz w:val="24"/>
          <w:szCs w:val="24"/>
        </w:rPr>
        <w:t xml:space="preserve"> La facilitation de l’obtention de crédit par les jeunes à travers la mise en place d</w:t>
      </w:r>
      <w:r w:rsidR="004E6B3F">
        <w:rPr>
          <w:rFonts w:ascii="Times New Roman" w:hAnsi="Times New Roman"/>
          <w:sz w:val="24"/>
          <w:szCs w:val="24"/>
        </w:rPr>
        <w:t>’un</w:t>
      </w:r>
      <w:r w:rsidRPr="00D107A1">
        <w:rPr>
          <w:rFonts w:ascii="Times New Roman" w:hAnsi="Times New Roman"/>
          <w:sz w:val="24"/>
          <w:szCs w:val="24"/>
        </w:rPr>
        <w:t xml:space="preserve"> système de garantie approprié ; </w:t>
      </w:r>
    </w:p>
    <w:p w:rsidR="00401A60" w:rsidRDefault="00401A60" w:rsidP="00930D19">
      <w:pPr>
        <w:pStyle w:val="Paragraphedeliste"/>
        <w:numPr>
          <w:ilvl w:val="0"/>
          <w:numId w:val="7"/>
        </w:numPr>
        <w:autoSpaceDE w:val="0"/>
        <w:autoSpaceDN w:val="0"/>
        <w:adjustRightInd w:val="0"/>
        <w:spacing w:line="276" w:lineRule="auto"/>
        <w:rPr>
          <w:rFonts w:ascii="Times New Roman" w:hAnsi="Times New Roman"/>
          <w:sz w:val="24"/>
          <w:szCs w:val="24"/>
        </w:rPr>
      </w:pPr>
      <w:r w:rsidRPr="00D107A1">
        <w:rPr>
          <w:rFonts w:ascii="Times New Roman" w:hAnsi="Times New Roman"/>
          <w:sz w:val="24"/>
          <w:szCs w:val="24"/>
        </w:rPr>
        <w:t xml:space="preserve"> La mise en place d’un fonds pour financer l’acquisition des équipements de production par les très petites entreprises (TPE) et PME créées par les jeunes</w:t>
      </w:r>
      <w:r>
        <w:rPr>
          <w:rFonts w:ascii="Times New Roman" w:hAnsi="Times New Roman"/>
          <w:sz w:val="24"/>
          <w:szCs w:val="24"/>
        </w:rPr>
        <w:t>.</w:t>
      </w:r>
    </w:p>
    <w:p w:rsidR="00401A60" w:rsidRPr="00C4229B" w:rsidRDefault="00401A60" w:rsidP="00401A60">
      <w:pPr>
        <w:pStyle w:val="Paragraphedeliste"/>
        <w:autoSpaceDE w:val="0"/>
        <w:autoSpaceDN w:val="0"/>
        <w:adjustRightInd w:val="0"/>
        <w:spacing w:line="276" w:lineRule="auto"/>
        <w:rPr>
          <w:rFonts w:ascii="Times New Roman" w:hAnsi="Times New Roman"/>
          <w:sz w:val="12"/>
          <w:szCs w:val="12"/>
        </w:rPr>
      </w:pPr>
    </w:p>
    <w:p w:rsidR="00401A60" w:rsidRDefault="00401A60" w:rsidP="00401A60">
      <w:pPr>
        <w:autoSpaceDE w:val="0"/>
        <w:autoSpaceDN w:val="0"/>
        <w:adjustRightInd w:val="0"/>
        <w:spacing w:line="276" w:lineRule="auto"/>
        <w:rPr>
          <w:rFonts w:ascii="Times New Roman" w:hAnsi="Times New Roman"/>
          <w:sz w:val="24"/>
          <w:szCs w:val="24"/>
        </w:rPr>
      </w:pPr>
      <w:r w:rsidRPr="0047478A">
        <w:rPr>
          <w:rFonts w:ascii="Times New Roman" w:hAnsi="Times New Roman"/>
          <w:sz w:val="24"/>
          <w:szCs w:val="24"/>
        </w:rPr>
        <w:t xml:space="preserve">Parmi les  initiatives prises par le Gouvernement pour promouvoir l’emploi des jeunes, on peut citer : </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Default="00401A60" w:rsidP="00930D19">
      <w:pPr>
        <w:pStyle w:val="Paragraphedeliste"/>
        <w:numPr>
          <w:ilvl w:val="0"/>
          <w:numId w:val="8"/>
        </w:numPr>
        <w:autoSpaceDE w:val="0"/>
        <w:autoSpaceDN w:val="0"/>
        <w:adjustRightInd w:val="0"/>
        <w:spacing w:line="276" w:lineRule="auto"/>
        <w:rPr>
          <w:rFonts w:ascii="Times New Roman" w:hAnsi="Times New Roman"/>
          <w:sz w:val="24"/>
          <w:szCs w:val="24"/>
        </w:rPr>
      </w:pPr>
      <w:r w:rsidRPr="004844D6">
        <w:rPr>
          <w:rFonts w:ascii="Times New Roman" w:hAnsi="Times New Roman"/>
          <w:sz w:val="24"/>
          <w:szCs w:val="24"/>
        </w:rPr>
        <w:t>La création en 1995 du</w:t>
      </w:r>
      <w:r w:rsidR="009920CB">
        <w:rPr>
          <w:rFonts w:ascii="Times New Roman" w:hAnsi="Times New Roman"/>
          <w:sz w:val="24"/>
          <w:szCs w:val="24"/>
        </w:rPr>
        <w:t xml:space="preserve"> </w:t>
      </w:r>
      <w:r w:rsidRPr="004844D6">
        <w:rPr>
          <w:rFonts w:ascii="Times New Roman" w:hAnsi="Times New Roman"/>
          <w:b/>
          <w:bCs/>
          <w:sz w:val="24"/>
          <w:szCs w:val="24"/>
        </w:rPr>
        <w:t xml:space="preserve">Fonds de Solidarité Nationale pour l’Emploi (FSNE) </w:t>
      </w:r>
      <w:r w:rsidRPr="004844D6">
        <w:rPr>
          <w:rFonts w:ascii="Times New Roman" w:hAnsi="Times New Roman"/>
          <w:bCs/>
          <w:sz w:val="24"/>
          <w:szCs w:val="24"/>
        </w:rPr>
        <w:t xml:space="preserve">visant à </w:t>
      </w:r>
      <w:r w:rsidRPr="004844D6">
        <w:rPr>
          <w:rFonts w:ascii="Times New Roman" w:hAnsi="Times New Roman"/>
          <w:sz w:val="24"/>
          <w:szCs w:val="24"/>
        </w:rPr>
        <w:t>faciliter l’insertion des jeunes dans la vie active en leur permettant d’avoir la première expérience indispensable pour l’obtention d’emplois dans le secteur moderne. le FSNE a développé un programme de pré-insertion professionnelle dans le secteur public et un programme d’insertion professionnelle dans les secteurs parapublic et privé. Des jeunes diplômés sont recrutés sur dossier à la fin de leurs études universitaires ou professionnel</w:t>
      </w:r>
      <w:r w:rsidR="004E6B3F">
        <w:rPr>
          <w:rFonts w:ascii="Times New Roman" w:hAnsi="Times New Roman"/>
          <w:sz w:val="24"/>
          <w:szCs w:val="24"/>
        </w:rPr>
        <w:t>le</w:t>
      </w:r>
      <w:r w:rsidRPr="004844D6">
        <w:rPr>
          <w:rFonts w:ascii="Times New Roman" w:hAnsi="Times New Roman"/>
          <w:sz w:val="24"/>
          <w:szCs w:val="24"/>
        </w:rPr>
        <w:t>s et mis à la disposition de l’administration publique pour une période d’un an ou du secteur privé pour une période de deux ans. Dans le cas de l’administration publique, les salaires sur les 12 mois sont payés par le FSNE. Pour le secteur privé, dès la seconde année, l’employeur prend progressivement en charge le paiement du salaire et recrute en</w:t>
      </w:r>
      <w:r w:rsidR="005505AE">
        <w:rPr>
          <w:rFonts w:ascii="Times New Roman" w:hAnsi="Times New Roman"/>
          <w:sz w:val="24"/>
          <w:szCs w:val="24"/>
        </w:rPr>
        <w:t xml:space="preserve"> </w:t>
      </w:r>
      <w:r w:rsidRPr="004844D6">
        <w:rPr>
          <w:rFonts w:ascii="Times New Roman" w:hAnsi="Times New Roman"/>
          <w:sz w:val="24"/>
          <w:szCs w:val="24"/>
        </w:rPr>
        <w:t>fin de période le stagiaire. Le FSNE s’assure de l’effectivité de ce recrutement. Le FSNE a aussi développé un programme auto-emploi pour la promotion des micro-entreprises. Ce programme consiste à financer des microprojets dans les secteurs de l’agriculture, de l’élevage, des petites industries de transformation et des prestations de services à un taux compris entre 5% et 10% sur une durée de 5 ans avec un différé d’au plus 1 an. Afin de mobiliser davantage de ressources et optimiser l’impact de ses interventions sur le terrain, le FSNE a été transformé en Agence Nationale Pour l’Emploi (ANPE).</w:t>
      </w:r>
    </w:p>
    <w:p w:rsidR="00401A60" w:rsidRPr="00C4229B" w:rsidRDefault="00401A60" w:rsidP="00401A60">
      <w:pPr>
        <w:pStyle w:val="Paragraphedeliste"/>
        <w:autoSpaceDE w:val="0"/>
        <w:autoSpaceDN w:val="0"/>
        <w:adjustRightInd w:val="0"/>
        <w:spacing w:line="276" w:lineRule="auto"/>
        <w:rPr>
          <w:rFonts w:ascii="Times New Roman" w:hAnsi="Times New Roman"/>
          <w:sz w:val="12"/>
          <w:szCs w:val="12"/>
        </w:rPr>
      </w:pPr>
    </w:p>
    <w:p w:rsidR="00401A60" w:rsidRPr="007F386F" w:rsidRDefault="00401A60" w:rsidP="00930D19">
      <w:pPr>
        <w:pStyle w:val="Paragraphedeliste"/>
        <w:numPr>
          <w:ilvl w:val="0"/>
          <w:numId w:val="8"/>
        </w:numPr>
        <w:autoSpaceDE w:val="0"/>
        <w:autoSpaceDN w:val="0"/>
        <w:adjustRightInd w:val="0"/>
        <w:spacing w:line="276" w:lineRule="auto"/>
        <w:rPr>
          <w:rFonts w:ascii="Times New Roman" w:hAnsi="Times New Roman"/>
          <w:sz w:val="24"/>
          <w:szCs w:val="24"/>
        </w:rPr>
      </w:pPr>
      <w:r w:rsidRPr="007F386F">
        <w:rPr>
          <w:rFonts w:ascii="Times New Roman" w:hAnsi="Times New Roman"/>
          <w:bCs/>
          <w:sz w:val="24"/>
          <w:szCs w:val="24"/>
        </w:rPr>
        <w:t>La création en 1990 du</w:t>
      </w:r>
      <w:r w:rsidRPr="007F386F">
        <w:rPr>
          <w:rFonts w:ascii="Times New Roman" w:hAnsi="Times New Roman"/>
          <w:b/>
          <w:bCs/>
          <w:sz w:val="24"/>
          <w:szCs w:val="24"/>
        </w:rPr>
        <w:t xml:space="preserve"> Centre de Promotion et d’Encadrement des Petites et</w:t>
      </w:r>
      <w:r w:rsidR="009920CB">
        <w:rPr>
          <w:rFonts w:ascii="Times New Roman" w:hAnsi="Times New Roman"/>
          <w:b/>
          <w:bCs/>
          <w:sz w:val="24"/>
          <w:szCs w:val="24"/>
        </w:rPr>
        <w:t xml:space="preserve"> </w:t>
      </w:r>
      <w:r w:rsidRPr="007F386F">
        <w:rPr>
          <w:rFonts w:ascii="Times New Roman" w:hAnsi="Times New Roman"/>
          <w:b/>
          <w:bCs/>
          <w:sz w:val="24"/>
          <w:szCs w:val="24"/>
        </w:rPr>
        <w:t>Moyennes Entreprises (CePEPE)</w:t>
      </w:r>
      <w:r w:rsidR="009920CB">
        <w:rPr>
          <w:rFonts w:ascii="Times New Roman" w:hAnsi="Times New Roman"/>
          <w:b/>
          <w:bCs/>
          <w:sz w:val="24"/>
          <w:szCs w:val="24"/>
        </w:rPr>
        <w:t xml:space="preserve"> </w:t>
      </w:r>
      <w:r w:rsidRPr="007F386F">
        <w:rPr>
          <w:rFonts w:ascii="Times New Roman" w:hAnsi="Times New Roman"/>
          <w:sz w:val="24"/>
          <w:szCs w:val="24"/>
        </w:rPr>
        <w:t>pour promouvoir l’initiative privée et les petites et</w:t>
      </w:r>
      <w:r w:rsidR="009920CB">
        <w:rPr>
          <w:rFonts w:ascii="Times New Roman" w:hAnsi="Times New Roman"/>
          <w:sz w:val="24"/>
          <w:szCs w:val="24"/>
        </w:rPr>
        <w:t xml:space="preserve"> </w:t>
      </w:r>
      <w:r w:rsidRPr="007F386F">
        <w:rPr>
          <w:rFonts w:ascii="Times New Roman" w:hAnsi="Times New Roman"/>
          <w:sz w:val="24"/>
          <w:szCs w:val="24"/>
        </w:rPr>
        <w:t>moyennes entreprises par l’aide à la création de nouvelles entreprises, l’assistance</w:t>
      </w:r>
      <w:r w:rsidR="009920CB">
        <w:rPr>
          <w:rFonts w:ascii="Times New Roman" w:hAnsi="Times New Roman"/>
          <w:sz w:val="24"/>
          <w:szCs w:val="24"/>
        </w:rPr>
        <w:t xml:space="preserve"> </w:t>
      </w:r>
      <w:r w:rsidRPr="007F386F">
        <w:rPr>
          <w:rFonts w:ascii="Times New Roman" w:hAnsi="Times New Roman"/>
          <w:sz w:val="24"/>
          <w:szCs w:val="24"/>
        </w:rPr>
        <w:t>à la réhabilitation et au développement des entreprises existantes. Le</w:t>
      </w:r>
      <w:r w:rsidR="009920CB">
        <w:rPr>
          <w:rFonts w:ascii="Times New Roman" w:hAnsi="Times New Roman"/>
          <w:sz w:val="24"/>
          <w:szCs w:val="24"/>
        </w:rPr>
        <w:t xml:space="preserve"> </w:t>
      </w:r>
      <w:r w:rsidRPr="007F386F">
        <w:rPr>
          <w:rFonts w:ascii="Times New Roman" w:hAnsi="Times New Roman"/>
          <w:sz w:val="24"/>
          <w:szCs w:val="24"/>
        </w:rPr>
        <w:t>CePEPE</w:t>
      </w:r>
      <w:r w:rsidR="00B0794D">
        <w:rPr>
          <w:rFonts w:ascii="Times New Roman" w:hAnsi="Times New Roman"/>
          <w:sz w:val="24"/>
          <w:szCs w:val="24"/>
        </w:rPr>
        <w:t xml:space="preserve"> </w:t>
      </w:r>
      <w:r w:rsidRPr="007F386F">
        <w:rPr>
          <w:rFonts w:ascii="Times New Roman" w:hAnsi="Times New Roman"/>
          <w:sz w:val="24"/>
          <w:szCs w:val="24"/>
        </w:rPr>
        <w:t xml:space="preserve">a pour objectif de fournir aux chefs d’entreprises et jeunes promoteurs de nouvelles entreprises un accompagnement dans les domaines suivants : </w:t>
      </w:r>
      <w:r w:rsidRPr="007D7D4E">
        <w:rPr>
          <w:rFonts w:ascii="Times New Roman" w:hAnsi="Times New Roman"/>
          <w:sz w:val="24"/>
          <w:szCs w:val="24"/>
        </w:rPr>
        <w:t>(i) études de marché et d’opportunités, (ii) études de faisabilité, (iii) audits financiers et/ou opérationnels, (iv) appui à l’exécution des marchés BTP, (v) formation des candidats pour la création d’entreprises, (vi) recherche de partenaires financiers, techniques et commerciaux</w:t>
      </w:r>
      <w:r w:rsidRPr="007F386F">
        <w:rPr>
          <w:rFonts w:ascii="Times New Roman" w:hAnsi="Times New Roman"/>
          <w:i/>
          <w:sz w:val="24"/>
          <w:szCs w:val="24"/>
        </w:rPr>
        <w:t xml:space="preserve">, </w:t>
      </w:r>
      <w:r w:rsidRPr="007D7D4E">
        <w:rPr>
          <w:rFonts w:ascii="Times New Roman" w:hAnsi="Times New Roman"/>
          <w:sz w:val="24"/>
          <w:szCs w:val="24"/>
        </w:rPr>
        <w:t>(vii) recrutement de personnels, (viii) élaboration de dossiers de projets.</w:t>
      </w:r>
    </w:p>
    <w:p w:rsidR="00401A60" w:rsidRPr="00C4229B" w:rsidRDefault="00401A60" w:rsidP="00401A60">
      <w:pPr>
        <w:pStyle w:val="Paragraphedeliste"/>
        <w:spacing w:line="276" w:lineRule="auto"/>
        <w:rPr>
          <w:rFonts w:ascii="Times New Roman" w:hAnsi="Times New Roman"/>
          <w:b/>
          <w:bCs/>
          <w:sz w:val="12"/>
          <w:szCs w:val="12"/>
        </w:rPr>
      </w:pPr>
    </w:p>
    <w:p w:rsidR="00401A60" w:rsidRPr="007F386F" w:rsidRDefault="00401A60" w:rsidP="00930D19">
      <w:pPr>
        <w:pStyle w:val="Paragraphedeliste"/>
        <w:numPr>
          <w:ilvl w:val="0"/>
          <w:numId w:val="8"/>
        </w:numPr>
        <w:autoSpaceDE w:val="0"/>
        <w:autoSpaceDN w:val="0"/>
        <w:adjustRightInd w:val="0"/>
        <w:spacing w:line="276" w:lineRule="auto"/>
        <w:rPr>
          <w:rFonts w:ascii="Times New Roman" w:hAnsi="Times New Roman"/>
          <w:b/>
          <w:bCs/>
          <w:sz w:val="24"/>
          <w:szCs w:val="24"/>
        </w:rPr>
      </w:pPr>
      <w:r w:rsidRPr="007F386F">
        <w:rPr>
          <w:rFonts w:ascii="Times New Roman" w:hAnsi="Times New Roman"/>
          <w:b/>
          <w:bCs/>
          <w:sz w:val="24"/>
          <w:szCs w:val="24"/>
        </w:rPr>
        <w:t>Le Fonds National de Garantie et d’Assistance aux Petites et</w:t>
      </w:r>
      <w:r w:rsidR="009920CB">
        <w:rPr>
          <w:rFonts w:ascii="Times New Roman" w:hAnsi="Times New Roman"/>
          <w:b/>
          <w:bCs/>
          <w:sz w:val="24"/>
          <w:szCs w:val="24"/>
        </w:rPr>
        <w:t xml:space="preserve"> </w:t>
      </w:r>
      <w:r w:rsidRPr="007F386F">
        <w:rPr>
          <w:rFonts w:ascii="Times New Roman" w:hAnsi="Times New Roman"/>
          <w:b/>
          <w:bCs/>
          <w:sz w:val="24"/>
          <w:szCs w:val="24"/>
        </w:rPr>
        <w:t xml:space="preserve">Moyennes Entreprises (FONAGA) : </w:t>
      </w:r>
      <w:r w:rsidRPr="007F386F">
        <w:rPr>
          <w:rFonts w:ascii="Times New Roman" w:hAnsi="Times New Roman"/>
          <w:bCs/>
          <w:sz w:val="24"/>
          <w:szCs w:val="24"/>
        </w:rPr>
        <w:t>initialement appelé</w:t>
      </w:r>
      <w:r w:rsidR="009920CB">
        <w:rPr>
          <w:rFonts w:ascii="Times New Roman" w:hAnsi="Times New Roman"/>
          <w:bCs/>
          <w:sz w:val="24"/>
          <w:szCs w:val="24"/>
        </w:rPr>
        <w:t xml:space="preserve"> </w:t>
      </w:r>
      <w:r w:rsidRPr="007F386F">
        <w:rPr>
          <w:rFonts w:ascii="Times New Roman" w:hAnsi="Times New Roman"/>
          <w:sz w:val="24"/>
          <w:szCs w:val="24"/>
        </w:rPr>
        <w:t xml:space="preserve">FOBAPE (Fonds de Bonification et d'Assistance aux Petites et </w:t>
      </w:r>
      <w:r w:rsidR="005505AE">
        <w:rPr>
          <w:rFonts w:ascii="Times New Roman" w:hAnsi="Times New Roman"/>
          <w:sz w:val="24"/>
          <w:szCs w:val="24"/>
        </w:rPr>
        <w:t>M</w:t>
      </w:r>
      <w:r w:rsidR="005505AE" w:rsidRPr="007F386F">
        <w:rPr>
          <w:rFonts w:ascii="Times New Roman" w:hAnsi="Times New Roman"/>
          <w:sz w:val="24"/>
          <w:szCs w:val="24"/>
        </w:rPr>
        <w:t xml:space="preserve">oyennes </w:t>
      </w:r>
      <w:r w:rsidRPr="007F386F">
        <w:rPr>
          <w:rFonts w:ascii="Times New Roman" w:hAnsi="Times New Roman"/>
          <w:sz w:val="24"/>
          <w:szCs w:val="24"/>
        </w:rPr>
        <w:t xml:space="preserve">Entreprises), le </w:t>
      </w:r>
      <w:r w:rsidRPr="007F386F">
        <w:rPr>
          <w:rFonts w:ascii="Times New Roman" w:hAnsi="Times New Roman"/>
          <w:bCs/>
          <w:sz w:val="24"/>
          <w:szCs w:val="24"/>
        </w:rPr>
        <w:t>FONAGA</w:t>
      </w:r>
      <w:r w:rsidRPr="007F386F">
        <w:rPr>
          <w:rFonts w:ascii="Times New Roman" w:hAnsi="Times New Roman"/>
          <w:sz w:val="24"/>
          <w:szCs w:val="24"/>
        </w:rPr>
        <w:t xml:space="preserve">  a  pour objectif de compléter et consolider les acquis des interventions de la structure d’encadrement technique (CePEPE). Il s’agit d’un fonds pour faciliter le</w:t>
      </w:r>
      <w:r w:rsidR="009920CB">
        <w:rPr>
          <w:rFonts w:ascii="Times New Roman" w:hAnsi="Times New Roman"/>
          <w:sz w:val="24"/>
          <w:szCs w:val="24"/>
        </w:rPr>
        <w:t xml:space="preserve"> </w:t>
      </w:r>
      <w:r w:rsidRPr="007F386F">
        <w:rPr>
          <w:rFonts w:ascii="Times New Roman" w:hAnsi="Times New Roman"/>
          <w:sz w:val="24"/>
          <w:szCs w:val="24"/>
        </w:rPr>
        <w:t>financement des PME par les banques primaires. Le FONAGA délivre des cautions à</w:t>
      </w:r>
      <w:r w:rsidR="009920CB">
        <w:rPr>
          <w:rFonts w:ascii="Times New Roman" w:hAnsi="Times New Roman"/>
          <w:sz w:val="24"/>
          <w:szCs w:val="24"/>
        </w:rPr>
        <w:t xml:space="preserve"> </w:t>
      </w:r>
      <w:r w:rsidRPr="007F386F">
        <w:rPr>
          <w:rFonts w:ascii="Times New Roman" w:hAnsi="Times New Roman"/>
          <w:sz w:val="24"/>
          <w:szCs w:val="24"/>
        </w:rPr>
        <w:t>court terme et à moyen terme au profit des banques et des maîtres d’ouvrages. Il garantit à hauteur de 40 à 60% les prêts consentis par les banques aux</w:t>
      </w:r>
      <w:r w:rsidR="009920CB">
        <w:rPr>
          <w:rFonts w:ascii="Times New Roman" w:hAnsi="Times New Roman"/>
          <w:sz w:val="24"/>
          <w:szCs w:val="24"/>
        </w:rPr>
        <w:t xml:space="preserve"> </w:t>
      </w:r>
      <w:r w:rsidRPr="007F386F">
        <w:rPr>
          <w:rFonts w:ascii="Times New Roman" w:hAnsi="Times New Roman"/>
          <w:sz w:val="24"/>
          <w:szCs w:val="24"/>
        </w:rPr>
        <w:t>PME/PMI nationales et la mise en place de diverses cautions exigées par le maître</w:t>
      </w:r>
      <w:r w:rsidR="009920CB">
        <w:rPr>
          <w:rFonts w:ascii="Times New Roman" w:hAnsi="Times New Roman"/>
          <w:sz w:val="24"/>
          <w:szCs w:val="24"/>
        </w:rPr>
        <w:t xml:space="preserve"> </w:t>
      </w:r>
      <w:r w:rsidRPr="007F386F">
        <w:rPr>
          <w:rFonts w:ascii="Times New Roman" w:hAnsi="Times New Roman"/>
          <w:sz w:val="24"/>
          <w:szCs w:val="24"/>
        </w:rPr>
        <w:t>d’ouvrage des PME notamment dans le secteur des BTP.</w:t>
      </w:r>
    </w:p>
    <w:p w:rsidR="00401A60" w:rsidRPr="00C4229B" w:rsidRDefault="00401A60" w:rsidP="00401A60">
      <w:pPr>
        <w:pStyle w:val="Paragraphedeliste"/>
        <w:spacing w:line="276" w:lineRule="auto"/>
        <w:rPr>
          <w:rFonts w:ascii="Times New Roman" w:hAnsi="Times New Roman"/>
          <w:b/>
          <w:bCs/>
          <w:sz w:val="12"/>
          <w:szCs w:val="12"/>
        </w:rPr>
      </w:pPr>
    </w:p>
    <w:p w:rsidR="00401A60" w:rsidRPr="007D7D4E" w:rsidRDefault="00401A60" w:rsidP="00930D19">
      <w:pPr>
        <w:pStyle w:val="Paragraphedeliste"/>
        <w:numPr>
          <w:ilvl w:val="0"/>
          <w:numId w:val="8"/>
        </w:numPr>
        <w:autoSpaceDE w:val="0"/>
        <w:autoSpaceDN w:val="0"/>
        <w:adjustRightInd w:val="0"/>
        <w:spacing w:line="276" w:lineRule="auto"/>
        <w:rPr>
          <w:rFonts w:ascii="Times New Roman" w:hAnsi="Times New Roman"/>
          <w:sz w:val="24"/>
          <w:szCs w:val="24"/>
        </w:rPr>
      </w:pPr>
      <w:r w:rsidRPr="00850A3F">
        <w:rPr>
          <w:rFonts w:ascii="Times New Roman" w:hAnsi="Times New Roman"/>
          <w:b/>
          <w:bCs/>
          <w:sz w:val="24"/>
          <w:szCs w:val="24"/>
        </w:rPr>
        <w:t>Le Fonds National de Promotion de l’Entreprise et de l’Emploi</w:t>
      </w:r>
      <w:r w:rsidR="009920CB">
        <w:rPr>
          <w:rFonts w:ascii="Times New Roman" w:hAnsi="Times New Roman"/>
          <w:b/>
          <w:bCs/>
          <w:sz w:val="24"/>
          <w:szCs w:val="24"/>
        </w:rPr>
        <w:t xml:space="preserve"> </w:t>
      </w:r>
      <w:r w:rsidRPr="00850A3F">
        <w:rPr>
          <w:rFonts w:ascii="Times New Roman" w:hAnsi="Times New Roman"/>
          <w:b/>
          <w:bCs/>
          <w:sz w:val="24"/>
          <w:szCs w:val="24"/>
        </w:rPr>
        <w:t xml:space="preserve">des Jeunes (FNPEEJ) : </w:t>
      </w:r>
      <w:r w:rsidRPr="00850A3F">
        <w:rPr>
          <w:rFonts w:ascii="Times New Roman" w:hAnsi="Times New Roman"/>
          <w:bCs/>
          <w:sz w:val="24"/>
          <w:szCs w:val="24"/>
        </w:rPr>
        <w:t xml:space="preserve">créé pour faciliter l’accès  au crédit </w:t>
      </w:r>
      <w:r w:rsidRPr="00850A3F">
        <w:rPr>
          <w:rFonts w:ascii="Times New Roman" w:hAnsi="Times New Roman"/>
          <w:sz w:val="24"/>
          <w:szCs w:val="24"/>
        </w:rPr>
        <w:t>des jeunes promoteurs de PME  les activités porteuses de croissance économique et d’emploi ou identifiées comme telle. Il s’agit entre autre</w:t>
      </w:r>
      <w:r w:rsidR="005505AE">
        <w:rPr>
          <w:rFonts w:ascii="Times New Roman" w:hAnsi="Times New Roman"/>
          <w:sz w:val="24"/>
          <w:szCs w:val="24"/>
        </w:rPr>
        <w:t>s</w:t>
      </w:r>
      <w:r w:rsidR="009920CB">
        <w:rPr>
          <w:rFonts w:ascii="Times New Roman" w:hAnsi="Times New Roman"/>
          <w:sz w:val="24"/>
          <w:szCs w:val="24"/>
        </w:rPr>
        <w:t xml:space="preserve"> </w:t>
      </w:r>
      <w:r w:rsidRPr="00850A3F">
        <w:rPr>
          <w:rFonts w:ascii="Times New Roman" w:hAnsi="Times New Roman"/>
          <w:sz w:val="24"/>
          <w:szCs w:val="24"/>
        </w:rPr>
        <w:t xml:space="preserve">de l’agro- alimentaire, </w:t>
      </w:r>
      <w:r w:rsidR="005505AE">
        <w:rPr>
          <w:rFonts w:ascii="Times New Roman" w:hAnsi="Times New Roman"/>
          <w:sz w:val="24"/>
          <w:szCs w:val="24"/>
        </w:rPr>
        <w:t xml:space="preserve">de </w:t>
      </w:r>
      <w:r w:rsidRPr="00850A3F">
        <w:rPr>
          <w:rFonts w:ascii="Times New Roman" w:hAnsi="Times New Roman"/>
          <w:sz w:val="24"/>
          <w:szCs w:val="24"/>
        </w:rPr>
        <w:t xml:space="preserve">l’agro- industrie, </w:t>
      </w:r>
      <w:r w:rsidR="005505AE">
        <w:rPr>
          <w:rFonts w:ascii="Times New Roman" w:hAnsi="Times New Roman"/>
          <w:sz w:val="24"/>
          <w:szCs w:val="24"/>
        </w:rPr>
        <w:t xml:space="preserve">de </w:t>
      </w:r>
      <w:r w:rsidRPr="00850A3F">
        <w:rPr>
          <w:rFonts w:ascii="Times New Roman" w:hAnsi="Times New Roman"/>
          <w:sz w:val="24"/>
          <w:szCs w:val="24"/>
        </w:rPr>
        <w:t xml:space="preserve">l’artisanat, </w:t>
      </w:r>
      <w:r w:rsidR="005505AE">
        <w:rPr>
          <w:rFonts w:ascii="Times New Roman" w:hAnsi="Times New Roman"/>
          <w:sz w:val="24"/>
          <w:szCs w:val="24"/>
        </w:rPr>
        <w:t>du</w:t>
      </w:r>
      <w:r w:rsidR="005505AE" w:rsidRPr="00850A3F">
        <w:rPr>
          <w:rFonts w:ascii="Times New Roman" w:hAnsi="Times New Roman"/>
          <w:sz w:val="24"/>
          <w:szCs w:val="24"/>
        </w:rPr>
        <w:t xml:space="preserve"> </w:t>
      </w:r>
      <w:r w:rsidRPr="00850A3F">
        <w:rPr>
          <w:rFonts w:ascii="Times New Roman" w:hAnsi="Times New Roman"/>
          <w:sz w:val="24"/>
          <w:szCs w:val="24"/>
        </w:rPr>
        <w:t xml:space="preserve">tourisme, </w:t>
      </w:r>
      <w:r w:rsidR="005505AE">
        <w:rPr>
          <w:rFonts w:ascii="Times New Roman" w:hAnsi="Times New Roman"/>
          <w:sz w:val="24"/>
          <w:szCs w:val="24"/>
        </w:rPr>
        <w:t>des</w:t>
      </w:r>
      <w:r w:rsidR="005505AE" w:rsidRPr="00850A3F">
        <w:rPr>
          <w:rFonts w:ascii="Times New Roman" w:hAnsi="Times New Roman"/>
          <w:sz w:val="24"/>
          <w:szCs w:val="24"/>
        </w:rPr>
        <w:t xml:space="preserve"> </w:t>
      </w:r>
      <w:r w:rsidRPr="00850A3F">
        <w:rPr>
          <w:rFonts w:ascii="Times New Roman" w:hAnsi="Times New Roman"/>
          <w:sz w:val="24"/>
          <w:szCs w:val="24"/>
        </w:rPr>
        <w:t xml:space="preserve">BTP, </w:t>
      </w:r>
      <w:r w:rsidR="005505AE">
        <w:rPr>
          <w:rFonts w:ascii="Times New Roman" w:hAnsi="Times New Roman"/>
          <w:sz w:val="24"/>
          <w:szCs w:val="24"/>
        </w:rPr>
        <w:t xml:space="preserve">de </w:t>
      </w:r>
      <w:r w:rsidRPr="00850A3F">
        <w:rPr>
          <w:rFonts w:ascii="Times New Roman" w:hAnsi="Times New Roman"/>
          <w:sz w:val="24"/>
          <w:szCs w:val="24"/>
        </w:rPr>
        <w:t>l’industrie</w:t>
      </w:r>
      <w:r w:rsidR="009920CB">
        <w:rPr>
          <w:rFonts w:ascii="Times New Roman" w:hAnsi="Times New Roman"/>
          <w:sz w:val="24"/>
          <w:szCs w:val="24"/>
        </w:rPr>
        <w:t xml:space="preserve"> </w:t>
      </w:r>
      <w:r w:rsidRPr="00850A3F">
        <w:rPr>
          <w:rFonts w:ascii="Times New Roman" w:hAnsi="Times New Roman"/>
          <w:sz w:val="24"/>
          <w:szCs w:val="24"/>
        </w:rPr>
        <w:t xml:space="preserve">des métaux, </w:t>
      </w:r>
      <w:r w:rsidR="005505AE">
        <w:rPr>
          <w:rFonts w:ascii="Times New Roman" w:hAnsi="Times New Roman"/>
          <w:sz w:val="24"/>
          <w:szCs w:val="24"/>
        </w:rPr>
        <w:t>d</w:t>
      </w:r>
      <w:r w:rsidR="005505AE" w:rsidRPr="00850A3F">
        <w:rPr>
          <w:rFonts w:ascii="Times New Roman" w:hAnsi="Times New Roman"/>
          <w:sz w:val="24"/>
          <w:szCs w:val="24"/>
        </w:rPr>
        <w:t xml:space="preserve">es </w:t>
      </w:r>
      <w:r w:rsidRPr="00850A3F">
        <w:rPr>
          <w:rFonts w:ascii="Times New Roman" w:hAnsi="Times New Roman"/>
          <w:sz w:val="24"/>
          <w:szCs w:val="24"/>
        </w:rPr>
        <w:t xml:space="preserve">TIC… Le FNPEEJ intervient essentiellement </w:t>
      </w:r>
      <w:r w:rsidRPr="007D7D4E">
        <w:rPr>
          <w:rFonts w:ascii="Times New Roman" w:hAnsi="Times New Roman"/>
          <w:sz w:val="24"/>
          <w:szCs w:val="24"/>
        </w:rPr>
        <w:t>(i)</w:t>
      </w:r>
      <w:r w:rsidR="005505AE">
        <w:rPr>
          <w:rFonts w:ascii="Times New Roman" w:hAnsi="Times New Roman"/>
          <w:sz w:val="24"/>
          <w:szCs w:val="24"/>
        </w:rPr>
        <w:t xml:space="preserve"> </w:t>
      </w:r>
      <w:r w:rsidRPr="007D7D4E">
        <w:rPr>
          <w:rFonts w:ascii="Times New Roman" w:hAnsi="Times New Roman"/>
          <w:sz w:val="24"/>
          <w:szCs w:val="24"/>
        </w:rPr>
        <w:t>dans l’octroi de crédits aux PME et aux projets conçus par les jeunes, (ii)</w:t>
      </w:r>
      <w:r w:rsidR="005505AE">
        <w:rPr>
          <w:rFonts w:ascii="Times New Roman" w:hAnsi="Times New Roman"/>
          <w:sz w:val="24"/>
          <w:szCs w:val="24"/>
        </w:rPr>
        <w:t xml:space="preserve"> </w:t>
      </w:r>
      <w:r w:rsidRPr="007D7D4E">
        <w:rPr>
          <w:rFonts w:ascii="Times New Roman" w:hAnsi="Times New Roman"/>
          <w:sz w:val="24"/>
          <w:szCs w:val="24"/>
        </w:rPr>
        <w:t>la prise en charge des programmes conçus et mis en œuvre par les</w:t>
      </w:r>
      <w:r w:rsidR="009920CB">
        <w:rPr>
          <w:rFonts w:ascii="Times New Roman" w:hAnsi="Times New Roman"/>
          <w:sz w:val="24"/>
          <w:szCs w:val="24"/>
        </w:rPr>
        <w:t xml:space="preserve"> </w:t>
      </w:r>
      <w:r w:rsidRPr="007D7D4E">
        <w:rPr>
          <w:rFonts w:ascii="Times New Roman" w:hAnsi="Times New Roman"/>
          <w:sz w:val="24"/>
          <w:szCs w:val="24"/>
        </w:rPr>
        <w:t>demandeurs d’emploi dûment suivi</w:t>
      </w:r>
      <w:r w:rsidR="005505AE">
        <w:rPr>
          <w:rFonts w:ascii="Times New Roman" w:hAnsi="Times New Roman"/>
          <w:sz w:val="24"/>
          <w:szCs w:val="24"/>
        </w:rPr>
        <w:t>s</w:t>
      </w:r>
      <w:r w:rsidRPr="007D7D4E">
        <w:rPr>
          <w:rFonts w:ascii="Times New Roman" w:hAnsi="Times New Roman"/>
          <w:sz w:val="24"/>
          <w:szCs w:val="24"/>
        </w:rPr>
        <w:t xml:space="preserve"> par l’ANPE, (iii) la</w:t>
      </w:r>
      <w:r w:rsidR="009920CB">
        <w:rPr>
          <w:rFonts w:ascii="Times New Roman" w:hAnsi="Times New Roman"/>
          <w:sz w:val="24"/>
          <w:szCs w:val="24"/>
        </w:rPr>
        <w:t xml:space="preserve"> </w:t>
      </w:r>
      <w:r w:rsidRPr="007D7D4E">
        <w:rPr>
          <w:rFonts w:ascii="Times New Roman" w:hAnsi="Times New Roman"/>
          <w:sz w:val="24"/>
          <w:szCs w:val="24"/>
        </w:rPr>
        <w:t>constitution et le renforcement des fonds propres des jeunes promoteurs, (iv) la prise en charge de l’encadrement / suivi des bénéficiaires de crédits de</w:t>
      </w:r>
      <w:r w:rsidR="009920CB">
        <w:rPr>
          <w:rFonts w:ascii="Times New Roman" w:hAnsi="Times New Roman"/>
          <w:sz w:val="24"/>
          <w:szCs w:val="24"/>
        </w:rPr>
        <w:t xml:space="preserve"> </w:t>
      </w:r>
      <w:r w:rsidRPr="007D7D4E">
        <w:rPr>
          <w:rFonts w:ascii="Times New Roman" w:hAnsi="Times New Roman"/>
          <w:sz w:val="24"/>
          <w:szCs w:val="24"/>
        </w:rPr>
        <w:t>fonds, (v) la facilitation de l’accès des bénéficiaires aux crédits de FNPEEJ ainsi que</w:t>
      </w:r>
      <w:r w:rsidR="009920CB">
        <w:rPr>
          <w:rFonts w:ascii="Times New Roman" w:hAnsi="Times New Roman"/>
          <w:sz w:val="24"/>
          <w:szCs w:val="24"/>
        </w:rPr>
        <w:t xml:space="preserve"> </w:t>
      </w:r>
      <w:r w:rsidRPr="007D7D4E">
        <w:rPr>
          <w:rFonts w:ascii="Times New Roman" w:hAnsi="Times New Roman"/>
          <w:sz w:val="24"/>
          <w:szCs w:val="24"/>
        </w:rPr>
        <w:t>l’accès au FONAGA pour la couverture des risques</w:t>
      </w:r>
    </w:p>
    <w:p w:rsidR="00401A60" w:rsidRPr="00C4229B" w:rsidRDefault="00401A60" w:rsidP="00401A60">
      <w:pPr>
        <w:pStyle w:val="Paragraphedeliste"/>
        <w:spacing w:line="276" w:lineRule="auto"/>
        <w:rPr>
          <w:rFonts w:ascii="Times New Roman" w:hAnsi="Times New Roman"/>
          <w:b/>
          <w:bCs/>
          <w:sz w:val="12"/>
          <w:szCs w:val="12"/>
        </w:rPr>
      </w:pPr>
    </w:p>
    <w:p w:rsidR="00401A60" w:rsidRPr="007D7D4E" w:rsidRDefault="00401A60" w:rsidP="00930D19">
      <w:pPr>
        <w:pStyle w:val="Paragraphedeliste"/>
        <w:numPr>
          <w:ilvl w:val="0"/>
          <w:numId w:val="8"/>
        </w:numPr>
        <w:autoSpaceDE w:val="0"/>
        <w:autoSpaceDN w:val="0"/>
        <w:adjustRightInd w:val="0"/>
        <w:spacing w:line="276" w:lineRule="auto"/>
        <w:rPr>
          <w:rFonts w:ascii="Times New Roman" w:hAnsi="Times New Roman"/>
          <w:sz w:val="24"/>
          <w:szCs w:val="24"/>
        </w:rPr>
      </w:pPr>
      <w:r>
        <w:rPr>
          <w:rFonts w:ascii="Times New Roman" w:hAnsi="Times New Roman"/>
          <w:b/>
          <w:bCs/>
          <w:sz w:val="24"/>
          <w:szCs w:val="24"/>
        </w:rPr>
        <w:t>L</w:t>
      </w:r>
      <w:r w:rsidRPr="00850A3F">
        <w:rPr>
          <w:rFonts w:ascii="Times New Roman" w:hAnsi="Times New Roman"/>
          <w:b/>
          <w:bCs/>
          <w:sz w:val="24"/>
          <w:szCs w:val="24"/>
        </w:rPr>
        <w:t xml:space="preserve">e programme </w:t>
      </w:r>
      <w:r w:rsidR="005505AE">
        <w:rPr>
          <w:rFonts w:ascii="Times New Roman" w:hAnsi="Times New Roman"/>
          <w:b/>
          <w:bCs/>
          <w:sz w:val="24"/>
          <w:szCs w:val="24"/>
        </w:rPr>
        <w:t>M</w:t>
      </w:r>
      <w:r w:rsidR="005505AE" w:rsidRPr="00850A3F">
        <w:rPr>
          <w:rFonts w:ascii="Times New Roman" w:hAnsi="Times New Roman"/>
          <w:b/>
          <w:bCs/>
          <w:sz w:val="24"/>
          <w:szCs w:val="24"/>
        </w:rPr>
        <w:t xml:space="preserve">icrocrédit </w:t>
      </w:r>
      <w:r w:rsidRPr="00850A3F">
        <w:rPr>
          <w:rFonts w:ascii="Times New Roman" w:hAnsi="Times New Roman"/>
          <w:b/>
          <w:bCs/>
          <w:sz w:val="24"/>
          <w:szCs w:val="24"/>
        </w:rPr>
        <w:t xml:space="preserve">aux </w:t>
      </w:r>
      <w:r w:rsidR="005505AE">
        <w:rPr>
          <w:rFonts w:ascii="Times New Roman" w:hAnsi="Times New Roman"/>
          <w:b/>
          <w:bCs/>
          <w:sz w:val="24"/>
          <w:szCs w:val="24"/>
        </w:rPr>
        <w:t>P</w:t>
      </w:r>
      <w:r w:rsidR="005505AE" w:rsidRPr="00850A3F">
        <w:rPr>
          <w:rFonts w:ascii="Times New Roman" w:hAnsi="Times New Roman"/>
          <w:b/>
          <w:bCs/>
          <w:sz w:val="24"/>
          <w:szCs w:val="24"/>
        </w:rPr>
        <w:t>lus</w:t>
      </w:r>
      <w:r w:rsidR="005505AE">
        <w:rPr>
          <w:rFonts w:ascii="Times New Roman" w:hAnsi="Times New Roman"/>
          <w:b/>
          <w:bCs/>
          <w:sz w:val="24"/>
          <w:szCs w:val="24"/>
        </w:rPr>
        <w:t xml:space="preserve"> P</w:t>
      </w:r>
      <w:r w:rsidR="005505AE" w:rsidRPr="00850A3F">
        <w:rPr>
          <w:rFonts w:ascii="Times New Roman" w:hAnsi="Times New Roman"/>
          <w:b/>
          <w:bCs/>
          <w:sz w:val="24"/>
          <w:szCs w:val="24"/>
        </w:rPr>
        <w:t xml:space="preserve">auvres </w:t>
      </w:r>
      <w:r w:rsidRPr="00850A3F">
        <w:rPr>
          <w:rFonts w:ascii="Times New Roman" w:hAnsi="Times New Roman"/>
          <w:b/>
          <w:bCs/>
          <w:sz w:val="24"/>
          <w:szCs w:val="24"/>
        </w:rPr>
        <w:t xml:space="preserve">(MCPP) : </w:t>
      </w:r>
      <w:r w:rsidRPr="00850A3F">
        <w:rPr>
          <w:rFonts w:ascii="Times New Roman" w:hAnsi="Times New Roman"/>
          <w:bCs/>
          <w:sz w:val="24"/>
          <w:szCs w:val="24"/>
        </w:rPr>
        <w:t>ce</w:t>
      </w:r>
      <w:r w:rsidR="009920CB">
        <w:rPr>
          <w:rFonts w:ascii="Times New Roman" w:hAnsi="Times New Roman"/>
          <w:bCs/>
          <w:sz w:val="24"/>
          <w:szCs w:val="24"/>
        </w:rPr>
        <w:t xml:space="preserve"> </w:t>
      </w:r>
      <w:r w:rsidRPr="00850A3F">
        <w:rPr>
          <w:rFonts w:ascii="Times New Roman" w:hAnsi="Times New Roman"/>
          <w:sz w:val="24"/>
          <w:szCs w:val="24"/>
        </w:rPr>
        <w:t>programme vise à rendre économiquement actives, à</w:t>
      </w:r>
      <w:r w:rsidR="009920CB">
        <w:rPr>
          <w:rFonts w:ascii="Times New Roman" w:hAnsi="Times New Roman"/>
          <w:sz w:val="24"/>
          <w:szCs w:val="24"/>
        </w:rPr>
        <w:t xml:space="preserve"> </w:t>
      </w:r>
      <w:r w:rsidRPr="00850A3F">
        <w:rPr>
          <w:rFonts w:ascii="Times New Roman" w:hAnsi="Times New Roman"/>
          <w:sz w:val="24"/>
          <w:szCs w:val="24"/>
        </w:rPr>
        <w:t>travers la mise en place de microcrédit</w:t>
      </w:r>
      <w:r w:rsidR="005505AE">
        <w:rPr>
          <w:rFonts w:ascii="Times New Roman" w:hAnsi="Times New Roman"/>
          <w:sz w:val="24"/>
          <w:szCs w:val="24"/>
        </w:rPr>
        <w:t>s</w:t>
      </w:r>
      <w:r w:rsidRPr="00850A3F">
        <w:rPr>
          <w:rFonts w:ascii="Times New Roman" w:hAnsi="Times New Roman"/>
          <w:sz w:val="24"/>
          <w:szCs w:val="24"/>
        </w:rPr>
        <w:t xml:space="preserve"> et de divers services d’accompagnement,</w:t>
      </w:r>
      <w:r w:rsidR="009920CB">
        <w:rPr>
          <w:rFonts w:ascii="Times New Roman" w:hAnsi="Times New Roman"/>
          <w:sz w:val="24"/>
          <w:szCs w:val="24"/>
        </w:rPr>
        <w:t xml:space="preserve"> </w:t>
      </w:r>
      <w:r w:rsidRPr="00850A3F">
        <w:rPr>
          <w:rFonts w:ascii="Times New Roman" w:hAnsi="Times New Roman"/>
          <w:sz w:val="24"/>
          <w:szCs w:val="24"/>
        </w:rPr>
        <w:t>les populations les plus pauvres notamment des femmes. L’emploi des femmes permet de sortir les ménages de la dépendance des prestations sociale</w:t>
      </w:r>
      <w:r w:rsidR="005505AE">
        <w:rPr>
          <w:rFonts w:ascii="Times New Roman" w:hAnsi="Times New Roman"/>
          <w:sz w:val="24"/>
          <w:szCs w:val="24"/>
        </w:rPr>
        <w:t>s</w:t>
      </w:r>
      <w:r w:rsidRPr="00850A3F">
        <w:rPr>
          <w:rFonts w:ascii="Times New Roman" w:hAnsi="Times New Roman"/>
          <w:sz w:val="24"/>
          <w:szCs w:val="24"/>
        </w:rPr>
        <w:t xml:space="preserve"> et  de les sortir de la pauvreté. De plus, l’autonomie de la femme constitue </w:t>
      </w:r>
      <w:r w:rsidR="005505AE">
        <w:rPr>
          <w:rFonts w:ascii="Times New Roman" w:hAnsi="Times New Roman"/>
          <w:sz w:val="24"/>
          <w:szCs w:val="24"/>
        </w:rPr>
        <w:t xml:space="preserve">un moyen pour </w:t>
      </w:r>
      <w:r w:rsidRPr="00850A3F">
        <w:rPr>
          <w:rFonts w:ascii="Times New Roman" w:hAnsi="Times New Roman"/>
          <w:sz w:val="24"/>
          <w:szCs w:val="24"/>
        </w:rPr>
        <w:t>accroît</w:t>
      </w:r>
      <w:r w:rsidR="005505AE">
        <w:rPr>
          <w:rFonts w:ascii="Times New Roman" w:hAnsi="Times New Roman"/>
          <w:sz w:val="24"/>
          <w:szCs w:val="24"/>
        </w:rPr>
        <w:t>re</w:t>
      </w:r>
      <w:r w:rsidRPr="00850A3F">
        <w:rPr>
          <w:rFonts w:ascii="Times New Roman" w:hAnsi="Times New Roman"/>
          <w:sz w:val="24"/>
          <w:szCs w:val="24"/>
        </w:rPr>
        <w:t xml:space="preserve"> le bien</w:t>
      </w:r>
      <w:r w:rsidR="005505AE">
        <w:rPr>
          <w:rFonts w:ascii="Times New Roman" w:hAnsi="Times New Roman"/>
          <w:sz w:val="24"/>
          <w:szCs w:val="24"/>
        </w:rPr>
        <w:t>-</w:t>
      </w:r>
      <w:r w:rsidRPr="00850A3F">
        <w:rPr>
          <w:rFonts w:ascii="Times New Roman" w:hAnsi="Times New Roman"/>
          <w:sz w:val="24"/>
          <w:szCs w:val="24"/>
        </w:rPr>
        <w:t xml:space="preserve">être des enfants. Le programme a pour but de </w:t>
      </w:r>
      <w:r w:rsidRPr="007D7D4E">
        <w:rPr>
          <w:rFonts w:ascii="Times New Roman" w:hAnsi="Times New Roman"/>
          <w:sz w:val="24"/>
          <w:szCs w:val="24"/>
        </w:rPr>
        <w:t>(i) fournir</w:t>
      </w:r>
      <w:r w:rsidR="009920CB">
        <w:rPr>
          <w:rFonts w:ascii="Times New Roman" w:hAnsi="Times New Roman"/>
          <w:sz w:val="24"/>
          <w:szCs w:val="24"/>
        </w:rPr>
        <w:t xml:space="preserve"> </w:t>
      </w:r>
      <w:r w:rsidRPr="007D7D4E">
        <w:rPr>
          <w:rFonts w:ascii="Times New Roman" w:hAnsi="Times New Roman"/>
          <w:sz w:val="24"/>
          <w:szCs w:val="24"/>
        </w:rPr>
        <w:t>aux femmes, des services d’encadrement susceptibles de développer en elles une</w:t>
      </w:r>
      <w:r w:rsidR="009920CB">
        <w:rPr>
          <w:rFonts w:ascii="Times New Roman" w:hAnsi="Times New Roman"/>
          <w:sz w:val="24"/>
          <w:szCs w:val="24"/>
        </w:rPr>
        <w:t xml:space="preserve"> </w:t>
      </w:r>
      <w:r w:rsidRPr="007D7D4E">
        <w:rPr>
          <w:rFonts w:ascii="Times New Roman" w:hAnsi="Times New Roman"/>
          <w:sz w:val="24"/>
          <w:szCs w:val="24"/>
        </w:rPr>
        <w:t>capacité de gestion d’activités génératrices de revenus et (ii) mettre à leur disposition de</w:t>
      </w:r>
      <w:r w:rsidR="005505AE">
        <w:rPr>
          <w:rFonts w:ascii="Times New Roman" w:hAnsi="Times New Roman"/>
          <w:sz w:val="24"/>
          <w:szCs w:val="24"/>
        </w:rPr>
        <w:t>s</w:t>
      </w:r>
      <w:r w:rsidRPr="007D7D4E">
        <w:rPr>
          <w:rFonts w:ascii="Times New Roman" w:hAnsi="Times New Roman"/>
          <w:sz w:val="24"/>
          <w:szCs w:val="24"/>
        </w:rPr>
        <w:t xml:space="preserve"> microcrédit</w:t>
      </w:r>
      <w:r w:rsidR="005505AE">
        <w:rPr>
          <w:rFonts w:ascii="Times New Roman" w:hAnsi="Times New Roman"/>
          <w:sz w:val="24"/>
          <w:szCs w:val="24"/>
        </w:rPr>
        <w:t>s</w:t>
      </w:r>
      <w:r w:rsidRPr="007D7D4E">
        <w:rPr>
          <w:rFonts w:ascii="Times New Roman" w:hAnsi="Times New Roman"/>
          <w:sz w:val="24"/>
          <w:szCs w:val="24"/>
        </w:rPr>
        <w:t xml:space="preserve"> destiné</w:t>
      </w:r>
      <w:r w:rsidR="005505AE">
        <w:rPr>
          <w:rFonts w:ascii="Times New Roman" w:hAnsi="Times New Roman"/>
          <w:sz w:val="24"/>
          <w:szCs w:val="24"/>
        </w:rPr>
        <w:t>s</w:t>
      </w:r>
      <w:r w:rsidRPr="007D7D4E">
        <w:rPr>
          <w:rFonts w:ascii="Times New Roman" w:hAnsi="Times New Roman"/>
          <w:sz w:val="24"/>
          <w:szCs w:val="24"/>
        </w:rPr>
        <w:t xml:space="preserve"> au développement d’activités</w:t>
      </w:r>
      <w:r w:rsidR="009920CB">
        <w:rPr>
          <w:rFonts w:ascii="Times New Roman" w:hAnsi="Times New Roman"/>
          <w:sz w:val="24"/>
          <w:szCs w:val="24"/>
        </w:rPr>
        <w:t xml:space="preserve"> </w:t>
      </w:r>
      <w:r w:rsidRPr="007D7D4E">
        <w:rPr>
          <w:rFonts w:ascii="Times New Roman" w:hAnsi="Times New Roman"/>
          <w:sz w:val="24"/>
          <w:szCs w:val="24"/>
        </w:rPr>
        <w:t>génératrices de revenus.</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Pr="00433AB8" w:rsidRDefault="00401A60" w:rsidP="00401A60">
      <w:pPr>
        <w:spacing w:line="276" w:lineRule="auto"/>
        <w:rPr>
          <w:rFonts w:ascii="Times New Roman" w:hAnsi="Times New Roman"/>
          <w:sz w:val="24"/>
          <w:szCs w:val="24"/>
        </w:rPr>
      </w:pPr>
      <w:r w:rsidRPr="00B87BDC">
        <w:rPr>
          <w:rFonts w:ascii="Times New Roman" w:hAnsi="Times New Roman"/>
          <w:sz w:val="24"/>
          <w:szCs w:val="24"/>
        </w:rPr>
        <w:t>Malgré toutes ces mesures</w:t>
      </w:r>
      <w:r w:rsidR="005505AE">
        <w:rPr>
          <w:rFonts w:ascii="Times New Roman" w:hAnsi="Times New Roman"/>
          <w:sz w:val="24"/>
          <w:szCs w:val="24"/>
        </w:rPr>
        <w:t>,</w:t>
      </w:r>
      <w:r w:rsidRPr="00B87BDC">
        <w:rPr>
          <w:rFonts w:ascii="Times New Roman" w:hAnsi="Times New Roman"/>
          <w:sz w:val="24"/>
          <w:szCs w:val="24"/>
        </w:rPr>
        <w:t xml:space="preserve"> le niveau de pauvreté monétaire des actifs béninois reste très élevé (31,1%). Contrairement aux prédictions de la théorie économique, le travail ne semble pas protéger contre la pauvreté au Bénin. Les femmes actives avec un taux de pauvreté de  32,1 % sont plus touchées que les hommes actifs (30,1%).</w:t>
      </w:r>
      <w:r w:rsidR="00C27923">
        <w:rPr>
          <w:rFonts w:ascii="Times New Roman" w:hAnsi="Times New Roman"/>
          <w:sz w:val="24"/>
          <w:szCs w:val="24"/>
        </w:rPr>
        <w:t xml:space="preserve"> </w:t>
      </w:r>
      <w:r w:rsidRPr="00B87BDC">
        <w:rPr>
          <w:rFonts w:ascii="Times New Roman" w:hAnsi="Times New Roman"/>
          <w:sz w:val="24"/>
          <w:szCs w:val="24"/>
        </w:rPr>
        <w:t>Les taux de pauvreté les plus élevés s’observent dans l’informel. L</w:t>
      </w:r>
      <w:r w:rsidR="005505AE">
        <w:rPr>
          <w:rFonts w:ascii="Times New Roman" w:hAnsi="Times New Roman"/>
          <w:sz w:val="24"/>
          <w:szCs w:val="24"/>
        </w:rPr>
        <w:t>’</w:t>
      </w:r>
      <w:r w:rsidRPr="00B87BDC">
        <w:rPr>
          <w:rFonts w:ascii="Times New Roman" w:hAnsi="Times New Roman"/>
          <w:sz w:val="24"/>
          <w:szCs w:val="24"/>
        </w:rPr>
        <w:t>absence de salaire minimum dans l’informel génère de fortes inégalités salariales, source probable de la pauvreté chronique (Gaiha (1992), Drèse et al. (1992)). Les services et les BTP sont les domaines qui emploient plus de pauvres dans ce secteur.</w:t>
      </w:r>
    </w:p>
    <w:p w:rsidR="00401A60" w:rsidRPr="00C4229B" w:rsidRDefault="00401A60" w:rsidP="00401A60">
      <w:pPr>
        <w:spacing w:line="276" w:lineRule="auto"/>
        <w:rPr>
          <w:rFonts w:ascii="Times New Roman" w:hAnsi="Times New Roman"/>
          <w:sz w:val="12"/>
          <w:szCs w:val="12"/>
        </w:rPr>
      </w:pPr>
    </w:p>
    <w:p w:rsidR="00401A60" w:rsidRPr="00433AB8" w:rsidRDefault="00401A60" w:rsidP="00401A60">
      <w:pPr>
        <w:spacing w:line="276" w:lineRule="auto"/>
        <w:rPr>
          <w:rFonts w:ascii="Times New Roman" w:hAnsi="Times New Roman"/>
          <w:sz w:val="24"/>
          <w:szCs w:val="24"/>
        </w:rPr>
      </w:pPr>
      <w:r w:rsidRPr="008E0495">
        <w:rPr>
          <w:rFonts w:ascii="Times New Roman" w:hAnsi="Times New Roman"/>
          <w:sz w:val="24"/>
          <w:szCs w:val="24"/>
        </w:rPr>
        <w:t>Quant au secteur formel, c’est dans le BTP</w:t>
      </w:r>
      <w:r w:rsidR="009920CB">
        <w:rPr>
          <w:rFonts w:ascii="Times New Roman" w:hAnsi="Times New Roman"/>
          <w:sz w:val="24"/>
          <w:szCs w:val="24"/>
        </w:rPr>
        <w:t xml:space="preserve"> </w:t>
      </w:r>
      <w:r w:rsidRPr="008E0495">
        <w:rPr>
          <w:rFonts w:ascii="Times New Roman" w:hAnsi="Times New Roman"/>
          <w:sz w:val="24"/>
          <w:szCs w:val="24"/>
        </w:rPr>
        <w:t xml:space="preserve">qui emploie plus de pauvres avec un taux de </w:t>
      </w:r>
      <w:r>
        <w:rPr>
          <w:rFonts w:ascii="Times New Roman" w:hAnsi="Times New Roman"/>
          <w:sz w:val="24"/>
          <w:szCs w:val="24"/>
        </w:rPr>
        <w:t>non-</w:t>
      </w:r>
      <w:r w:rsidRPr="008E0495">
        <w:rPr>
          <w:rFonts w:ascii="Times New Roman" w:hAnsi="Times New Roman"/>
          <w:sz w:val="24"/>
          <w:szCs w:val="24"/>
        </w:rPr>
        <w:t xml:space="preserve">pauvreté national de 93%. </w:t>
      </w:r>
      <w:r w:rsidRPr="00433AB8">
        <w:rPr>
          <w:rFonts w:ascii="Times New Roman" w:hAnsi="Times New Roman"/>
          <w:sz w:val="24"/>
          <w:szCs w:val="24"/>
        </w:rPr>
        <w:t>Ce résultat reflète l’insécurité de l’emploi du secteur. En effet, l’Etat est le premier employeur du BTP grâce aux travaux de haute inten</w:t>
      </w:r>
      <w:r>
        <w:rPr>
          <w:rFonts w:ascii="Times New Roman" w:hAnsi="Times New Roman"/>
          <w:sz w:val="24"/>
          <w:szCs w:val="24"/>
        </w:rPr>
        <w:t>sité de main-d’œuvre. Mais ces</w:t>
      </w:r>
      <w:r w:rsidRPr="00433AB8">
        <w:rPr>
          <w:rFonts w:ascii="Times New Roman" w:hAnsi="Times New Roman"/>
          <w:sz w:val="24"/>
          <w:szCs w:val="24"/>
        </w:rPr>
        <w:t xml:space="preserve"> emploi</w:t>
      </w:r>
      <w:r>
        <w:rPr>
          <w:rFonts w:ascii="Times New Roman" w:hAnsi="Times New Roman"/>
          <w:sz w:val="24"/>
          <w:szCs w:val="24"/>
        </w:rPr>
        <w:t>s</w:t>
      </w:r>
      <w:r w:rsidRPr="00433AB8">
        <w:rPr>
          <w:rFonts w:ascii="Times New Roman" w:hAnsi="Times New Roman"/>
          <w:sz w:val="24"/>
          <w:szCs w:val="24"/>
        </w:rPr>
        <w:t xml:space="preserve"> son</w:t>
      </w:r>
      <w:r>
        <w:rPr>
          <w:rFonts w:ascii="Times New Roman" w:hAnsi="Times New Roman"/>
          <w:sz w:val="24"/>
          <w:szCs w:val="24"/>
        </w:rPr>
        <w:t>t</w:t>
      </w:r>
      <w:r w:rsidRPr="00433AB8">
        <w:rPr>
          <w:rFonts w:ascii="Times New Roman" w:hAnsi="Times New Roman"/>
          <w:sz w:val="24"/>
          <w:szCs w:val="24"/>
        </w:rPr>
        <w:t xml:space="preserve"> transitoire</w:t>
      </w:r>
      <w:r>
        <w:rPr>
          <w:rFonts w:ascii="Times New Roman" w:hAnsi="Times New Roman"/>
          <w:sz w:val="24"/>
          <w:szCs w:val="24"/>
        </w:rPr>
        <w:t>s</w:t>
      </w:r>
      <w:r w:rsidRPr="00433AB8">
        <w:rPr>
          <w:rFonts w:ascii="Times New Roman" w:hAnsi="Times New Roman"/>
          <w:sz w:val="24"/>
          <w:szCs w:val="24"/>
        </w:rPr>
        <w:t xml:space="preserve"> car leur durée de vie est celle du chantier. Par exemple, sur </w:t>
      </w:r>
      <w:r w:rsidRPr="00433AB8">
        <w:rPr>
          <w:rFonts w:ascii="Times New Roman" w:hAnsi="Times New Roman"/>
          <w:color w:val="333333"/>
          <w:sz w:val="24"/>
          <w:szCs w:val="24"/>
        </w:rPr>
        <w:t>427</w:t>
      </w:r>
      <w:r w:rsidR="005505AE">
        <w:rPr>
          <w:rFonts w:ascii="Times New Roman" w:hAnsi="Times New Roman"/>
          <w:color w:val="333333"/>
          <w:sz w:val="24"/>
          <w:szCs w:val="24"/>
        </w:rPr>
        <w:t> </w:t>
      </w:r>
      <w:r w:rsidRPr="00433AB8">
        <w:rPr>
          <w:rFonts w:ascii="Times New Roman" w:hAnsi="Times New Roman"/>
          <w:color w:val="333333"/>
          <w:sz w:val="24"/>
          <w:szCs w:val="24"/>
        </w:rPr>
        <w:t>944 emploi</w:t>
      </w:r>
      <w:r w:rsidR="00C27923">
        <w:rPr>
          <w:rFonts w:ascii="Times New Roman" w:hAnsi="Times New Roman"/>
          <w:color w:val="333333"/>
          <w:sz w:val="24"/>
          <w:szCs w:val="24"/>
        </w:rPr>
        <w:t>s</w:t>
      </w:r>
      <w:r w:rsidRPr="00433AB8">
        <w:rPr>
          <w:rFonts w:ascii="Times New Roman" w:hAnsi="Times New Roman"/>
          <w:color w:val="333333"/>
          <w:sz w:val="24"/>
          <w:szCs w:val="24"/>
        </w:rPr>
        <w:t xml:space="preserve"> formel</w:t>
      </w:r>
      <w:r w:rsidR="00C27923">
        <w:rPr>
          <w:rFonts w:ascii="Times New Roman" w:hAnsi="Times New Roman"/>
          <w:color w:val="333333"/>
          <w:sz w:val="24"/>
          <w:szCs w:val="24"/>
        </w:rPr>
        <w:t>s</w:t>
      </w:r>
      <w:r w:rsidRPr="00433AB8">
        <w:rPr>
          <w:rFonts w:ascii="Times New Roman" w:hAnsi="Times New Roman"/>
          <w:color w:val="333333"/>
          <w:sz w:val="24"/>
          <w:szCs w:val="24"/>
        </w:rPr>
        <w:t xml:space="preserve"> </w:t>
      </w:r>
      <w:r>
        <w:rPr>
          <w:rFonts w:ascii="Times New Roman" w:hAnsi="Times New Roman"/>
          <w:color w:val="333333"/>
          <w:sz w:val="24"/>
          <w:szCs w:val="24"/>
        </w:rPr>
        <w:t>dénombrés</w:t>
      </w:r>
      <w:r w:rsidR="009920CB">
        <w:rPr>
          <w:rFonts w:ascii="Times New Roman" w:hAnsi="Times New Roman"/>
          <w:color w:val="333333"/>
          <w:sz w:val="24"/>
          <w:szCs w:val="24"/>
        </w:rPr>
        <w:t xml:space="preserve"> </w:t>
      </w:r>
      <w:r w:rsidRPr="00433AB8">
        <w:rPr>
          <w:rFonts w:ascii="Times New Roman" w:hAnsi="Times New Roman"/>
          <w:sz w:val="24"/>
          <w:szCs w:val="24"/>
        </w:rPr>
        <w:t>en 2010, 96% l’ont été</w:t>
      </w:r>
      <w:r w:rsidR="009920CB">
        <w:rPr>
          <w:rFonts w:ascii="Times New Roman" w:hAnsi="Times New Roman"/>
          <w:sz w:val="24"/>
          <w:szCs w:val="24"/>
        </w:rPr>
        <w:t xml:space="preserve"> </w:t>
      </w:r>
      <w:r w:rsidRPr="00433AB8">
        <w:rPr>
          <w:rFonts w:ascii="Times New Roman" w:hAnsi="Times New Roman"/>
          <w:sz w:val="24"/>
          <w:szCs w:val="24"/>
        </w:rPr>
        <w:t>pour les travaux à hau</w:t>
      </w:r>
      <w:r>
        <w:rPr>
          <w:rFonts w:ascii="Times New Roman" w:hAnsi="Times New Roman"/>
          <w:sz w:val="24"/>
          <w:szCs w:val="24"/>
        </w:rPr>
        <w:t>te intensité de main-d’œuvre, 2,8</w:t>
      </w:r>
      <w:r w:rsidRPr="00433AB8">
        <w:rPr>
          <w:rFonts w:ascii="Times New Roman" w:hAnsi="Times New Roman"/>
          <w:sz w:val="24"/>
          <w:szCs w:val="24"/>
        </w:rPr>
        <w:t>% pa</w:t>
      </w:r>
      <w:r>
        <w:rPr>
          <w:rFonts w:ascii="Times New Roman" w:hAnsi="Times New Roman"/>
          <w:sz w:val="24"/>
          <w:szCs w:val="24"/>
        </w:rPr>
        <w:t>r les ministères et seulement 0,3</w:t>
      </w:r>
      <w:r w:rsidRPr="00433AB8">
        <w:rPr>
          <w:rFonts w:ascii="Times New Roman" w:hAnsi="Times New Roman"/>
          <w:sz w:val="24"/>
          <w:szCs w:val="24"/>
        </w:rPr>
        <w:t>% par les entreprises privées formelles (cf. rapport CNE 2012). Le caractère éphémère des travaux à haute intensité de mai</w:t>
      </w:r>
      <w:r>
        <w:rPr>
          <w:rFonts w:ascii="Times New Roman" w:hAnsi="Times New Roman"/>
          <w:sz w:val="24"/>
          <w:szCs w:val="24"/>
        </w:rPr>
        <w:t>n-d’œuvre explique pourquoi 97,1</w:t>
      </w:r>
      <w:r w:rsidRPr="00433AB8">
        <w:rPr>
          <w:rFonts w:ascii="Times New Roman" w:hAnsi="Times New Roman"/>
          <w:sz w:val="24"/>
          <w:szCs w:val="24"/>
        </w:rPr>
        <w:t xml:space="preserve">% des emplois créés en 2010 ont été occasionnels. Ceci traduit la vulnérabilité des travailleurs du BTP vis-à-vis </w:t>
      </w:r>
      <w:r w:rsidR="005505AE">
        <w:rPr>
          <w:rFonts w:ascii="Times New Roman" w:hAnsi="Times New Roman"/>
          <w:sz w:val="24"/>
          <w:szCs w:val="24"/>
        </w:rPr>
        <w:t>de</w:t>
      </w:r>
      <w:r w:rsidR="005505AE" w:rsidRPr="00433AB8">
        <w:rPr>
          <w:rFonts w:ascii="Times New Roman" w:hAnsi="Times New Roman"/>
          <w:sz w:val="24"/>
          <w:szCs w:val="24"/>
        </w:rPr>
        <w:t xml:space="preserve"> </w:t>
      </w:r>
      <w:r w:rsidRPr="00433AB8">
        <w:rPr>
          <w:rFonts w:ascii="Times New Roman" w:hAnsi="Times New Roman"/>
          <w:sz w:val="24"/>
          <w:szCs w:val="24"/>
        </w:rPr>
        <w:t xml:space="preserve">la pauvreté. </w:t>
      </w:r>
    </w:p>
    <w:p w:rsidR="00401A60" w:rsidRPr="00C4229B" w:rsidRDefault="00401A60" w:rsidP="00401A60">
      <w:pPr>
        <w:spacing w:line="276" w:lineRule="auto"/>
        <w:rPr>
          <w:rFonts w:ascii="Times New Roman" w:hAnsi="Times New Roman"/>
          <w:sz w:val="12"/>
          <w:szCs w:val="12"/>
        </w:rPr>
      </w:pPr>
    </w:p>
    <w:p w:rsidR="00401A60" w:rsidRPr="00BE3543" w:rsidRDefault="00401A60" w:rsidP="00401A60">
      <w:pPr>
        <w:spacing w:line="276" w:lineRule="auto"/>
        <w:rPr>
          <w:rFonts w:ascii="Times New Roman" w:hAnsi="Times New Roman"/>
          <w:sz w:val="24"/>
          <w:szCs w:val="24"/>
        </w:rPr>
      </w:pPr>
      <w:r w:rsidRPr="00BE3543">
        <w:rPr>
          <w:rFonts w:ascii="Times New Roman" w:hAnsi="Times New Roman"/>
          <w:sz w:val="24"/>
          <w:szCs w:val="24"/>
        </w:rPr>
        <w:t xml:space="preserve">Le peu d’efficacité des politiques d’emploi et de lute contre la pauvreté au </w:t>
      </w:r>
      <w:r>
        <w:rPr>
          <w:rFonts w:ascii="Times New Roman" w:hAnsi="Times New Roman"/>
          <w:sz w:val="24"/>
          <w:szCs w:val="24"/>
        </w:rPr>
        <w:t>B</w:t>
      </w:r>
      <w:r w:rsidRPr="00BE3543">
        <w:rPr>
          <w:rFonts w:ascii="Times New Roman" w:hAnsi="Times New Roman"/>
          <w:sz w:val="24"/>
          <w:szCs w:val="24"/>
        </w:rPr>
        <w:t>énin</w:t>
      </w:r>
      <w:r>
        <w:rPr>
          <w:rFonts w:ascii="Times New Roman" w:hAnsi="Times New Roman"/>
          <w:sz w:val="24"/>
          <w:szCs w:val="24"/>
        </w:rPr>
        <w:t xml:space="preserve"> peut s’expliquer par la structure même de son économie. En effet, l’économie béninoise est dominée par le secteur primaire suivi du tertiaire. </w:t>
      </w:r>
      <w:r w:rsidRPr="00BE3543">
        <w:rPr>
          <w:rFonts w:ascii="Times New Roman" w:hAnsi="Times New Roman"/>
          <w:sz w:val="24"/>
          <w:szCs w:val="24"/>
        </w:rPr>
        <w:t xml:space="preserve">Prenons par exemple le cas de l’agriculture qui est la première source de revenu de la majorité des pauvres. Une croissance qui y est fortement déterminée par la productivité réduit sensiblement la fréquence de la pauvreté tandis qu’une croissance à forte intensité d’emplois dans l’agriculture et à faible productivité exerce l’effet contraire.  </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Default="00401A60" w:rsidP="00401A60">
      <w:pPr>
        <w:autoSpaceDE w:val="0"/>
        <w:autoSpaceDN w:val="0"/>
        <w:adjustRightInd w:val="0"/>
        <w:spacing w:line="276" w:lineRule="auto"/>
        <w:rPr>
          <w:rFonts w:ascii="Times New Roman" w:hAnsi="Times New Roman"/>
          <w:sz w:val="24"/>
          <w:szCs w:val="24"/>
        </w:rPr>
      </w:pPr>
      <w:r w:rsidRPr="00BE3543">
        <w:rPr>
          <w:rFonts w:ascii="Times New Roman" w:hAnsi="Times New Roman"/>
          <w:sz w:val="24"/>
          <w:szCs w:val="24"/>
        </w:rPr>
        <w:t xml:space="preserve">En réalité, c’est l’augmentation de la productivité dans les activités situées aux échelons supérieurs de la chaîne de valeur et la croissance à forte intensité d’emplois dans le secteur secondaire (industrie manufacturière, construction et services d’intérêt public) accompagnée d’une hausse de la productivité agricole  qui induit une réduction significative de la pauvreté. Par exemple, l’essor des secteurs utilisant beaucoup de main-d’œuvre, comme l’industrie manufacturière et le tourisme, est souvent plus profitable aux pauvres. En effet, dans le secteur tertiaire, l’emploi à forte productivité peut progresser lorsque les niveaux d’instruction sont relativement élevés, comme en Inde ou en Amérique </w:t>
      </w:r>
      <w:r w:rsidR="006F3886">
        <w:rPr>
          <w:rFonts w:ascii="Times New Roman" w:hAnsi="Times New Roman"/>
          <w:sz w:val="24"/>
          <w:szCs w:val="24"/>
        </w:rPr>
        <w:t>L</w:t>
      </w:r>
      <w:r w:rsidR="006F3886" w:rsidRPr="00BE3543">
        <w:rPr>
          <w:rFonts w:ascii="Times New Roman" w:hAnsi="Times New Roman"/>
          <w:sz w:val="24"/>
          <w:szCs w:val="24"/>
        </w:rPr>
        <w:t>atine</w:t>
      </w:r>
      <w:r w:rsidRPr="00BE3543">
        <w:rPr>
          <w:rFonts w:ascii="Times New Roman" w:hAnsi="Times New Roman"/>
          <w:sz w:val="24"/>
          <w:szCs w:val="24"/>
        </w:rPr>
        <w:t>.</w:t>
      </w:r>
    </w:p>
    <w:p w:rsidR="00401A60" w:rsidRPr="00C4229B" w:rsidRDefault="00401A60" w:rsidP="00401A60">
      <w:pPr>
        <w:autoSpaceDE w:val="0"/>
        <w:autoSpaceDN w:val="0"/>
        <w:adjustRightInd w:val="0"/>
        <w:spacing w:line="276" w:lineRule="auto"/>
        <w:rPr>
          <w:rFonts w:ascii="Times New Roman" w:hAnsi="Times New Roman"/>
          <w:sz w:val="12"/>
          <w:szCs w:val="12"/>
        </w:rPr>
      </w:pPr>
    </w:p>
    <w:p w:rsidR="00401A60" w:rsidRPr="00BE3543" w:rsidRDefault="00401A60" w:rsidP="00401A60">
      <w:pPr>
        <w:autoSpaceDE w:val="0"/>
        <w:autoSpaceDN w:val="0"/>
        <w:adjustRightInd w:val="0"/>
        <w:spacing w:line="276" w:lineRule="auto"/>
        <w:rPr>
          <w:rFonts w:ascii="Times New Roman" w:hAnsi="Times New Roman"/>
          <w:sz w:val="24"/>
          <w:szCs w:val="24"/>
        </w:rPr>
      </w:pPr>
      <w:r w:rsidRPr="00BE3543">
        <w:rPr>
          <w:rFonts w:ascii="Times New Roman" w:hAnsi="Times New Roman"/>
          <w:sz w:val="24"/>
          <w:szCs w:val="24"/>
        </w:rPr>
        <w:t>L’évolution de la structure sectorielle de la croissance est donc nécessaire pour la lutte contre la pauvreté. Au fur et à mesure que l’économie se développe, les activités à faible productivité baissent progressivement au profit d’activités à forte productivité</w:t>
      </w:r>
      <w:r>
        <w:rPr>
          <w:rFonts w:ascii="Times New Roman" w:hAnsi="Times New Roman"/>
          <w:sz w:val="24"/>
          <w:szCs w:val="24"/>
        </w:rPr>
        <w:t xml:space="preserve">, ce </w:t>
      </w:r>
      <w:r w:rsidRPr="00BE3543">
        <w:rPr>
          <w:rFonts w:ascii="Times New Roman" w:hAnsi="Times New Roman"/>
          <w:sz w:val="24"/>
          <w:szCs w:val="24"/>
        </w:rPr>
        <w:t xml:space="preserve">qui </w:t>
      </w:r>
      <w:r w:rsidR="006F3886" w:rsidRPr="00BE3543">
        <w:rPr>
          <w:rFonts w:ascii="Times New Roman" w:hAnsi="Times New Roman"/>
          <w:sz w:val="24"/>
          <w:szCs w:val="24"/>
        </w:rPr>
        <w:t>entra</w:t>
      </w:r>
      <w:r w:rsidR="006F3886">
        <w:rPr>
          <w:rFonts w:ascii="Times New Roman" w:hAnsi="Times New Roman"/>
          <w:sz w:val="24"/>
          <w:szCs w:val="24"/>
        </w:rPr>
        <w:t>î</w:t>
      </w:r>
      <w:r w:rsidR="006F3886" w:rsidRPr="00BE3543">
        <w:rPr>
          <w:rFonts w:ascii="Times New Roman" w:hAnsi="Times New Roman"/>
          <w:sz w:val="24"/>
          <w:szCs w:val="24"/>
        </w:rPr>
        <w:t xml:space="preserve">ne </w:t>
      </w:r>
      <w:r w:rsidRPr="00BE3543">
        <w:rPr>
          <w:rFonts w:ascii="Times New Roman" w:hAnsi="Times New Roman"/>
          <w:sz w:val="24"/>
          <w:szCs w:val="24"/>
        </w:rPr>
        <w:t>le passage progressif de la main-d’œuvre du secteur primaire vers les secteurs secondaire et tertiaire.</w:t>
      </w:r>
    </w:p>
    <w:p w:rsidR="00401A60" w:rsidRDefault="00401A60" w:rsidP="00401A60">
      <w:pPr>
        <w:pStyle w:val="Paragraphedeliste"/>
        <w:spacing w:line="240" w:lineRule="auto"/>
        <w:ind w:left="360"/>
        <w:rPr>
          <w:rFonts w:ascii="Times New Roman" w:hAnsi="Times New Roman"/>
          <w:sz w:val="24"/>
          <w:szCs w:val="24"/>
        </w:rPr>
      </w:pPr>
    </w:p>
    <w:tbl>
      <w:tblPr>
        <w:tblW w:w="9760" w:type="dxa"/>
        <w:tblInd w:w="93" w:type="dxa"/>
        <w:tblLayout w:type="fixed"/>
        <w:tblCellMar>
          <w:left w:w="70" w:type="dxa"/>
          <w:right w:w="70" w:type="dxa"/>
        </w:tblCellMar>
        <w:tblLook w:val="04A0" w:firstRow="1" w:lastRow="0" w:firstColumn="1" w:lastColumn="0" w:noHBand="0" w:noVBand="1"/>
      </w:tblPr>
      <w:tblGrid>
        <w:gridCol w:w="1764"/>
        <w:gridCol w:w="933"/>
        <w:gridCol w:w="778"/>
        <w:gridCol w:w="989"/>
        <w:gridCol w:w="928"/>
        <w:gridCol w:w="754"/>
        <w:gridCol w:w="958"/>
        <w:gridCol w:w="959"/>
        <w:gridCol w:w="747"/>
        <w:gridCol w:w="950"/>
      </w:tblGrid>
      <w:tr w:rsidR="00354A0B" w:rsidRPr="00D433D8" w:rsidTr="008B24EA">
        <w:trPr>
          <w:trHeight w:val="421"/>
        </w:trPr>
        <w:tc>
          <w:tcPr>
            <w:tcW w:w="9760" w:type="dxa"/>
            <w:gridSpan w:val="10"/>
            <w:shd w:val="clear" w:color="auto" w:fill="92CDDC" w:themeFill="accent5" w:themeFillTint="99"/>
            <w:vAlign w:val="center"/>
            <w:hideMark/>
          </w:tcPr>
          <w:p w:rsidR="00354A0B" w:rsidRPr="00D433D8" w:rsidRDefault="00D433D8" w:rsidP="00354A0B">
            <w:pPr>
              <w:autoSpaceDE w:val="0"/>
              <w:autoSpaceDN w:val="0"/>
              <w:adjustRightInd w:val="0"/>
              <w:spacing w:line="276" w:lineRule="auto"/>
              <w:rPr>
                <w:rFonts w:ascii="Times New Roman" w:hAnsi="Times New Roman"/>
                <w:sz w:val="24"/>
                <w:szCs w:val="24"/>
              </w:rPr>
            </w:pPr>
            <w:bookmarkStart w:id="182" w:name="_Toc369714527"/>
            <w:bookmarkStart w:id="183" w:name="_Toc373430452"/>
            <w:r w:rsidRPr="00D433D8">
              <w:rPr>
                <w:rFonts w:ascii="Times New Roman" w:hAnsi="Times New Roman"/>
                <w:sz w:val="24"/>
                <w:szCs w:val="24"/>
              </w:rPr>
              <w:t xml:space="preserve">Tableau 5. </w:t>
            </w:r>
            <w:r w:rsidR="00182C97" w:rsidRPr="00D433D8">
              <w:rPr>
                <w:rFonts w:ascii="Times New Roman" w:hAnsi="Times New Roman"/>
                <w:sz w:val="24"/>
                <w:szCs w:val="24"/>
              </w:rPr>
              <w:fldChar w:fldCharType="begin"/>
            </w:r>
            <w:r w:rsidRPr="00D433D8">
              <w:rPr>
                <w:rFonts w:ascii="Times New Roman" w:hAnsi="Times New Roman"/>
                <w:sz w:val="24"/>
                <w:szCs w:val="24"/>
              </w:rPr>
              <w:instrText xml:space="preserve"> SEQ Tableau_5. \* ARABIC </w:instrText>
            </w:r>
            <w:r w:rsidR="00182C97" w:rsidRPr="00D433D8">
              <w:rPr>
                <w:rFonts w:ascii="Times New Roman" w:hAnsi="Times New Roman"/>
                <w:sz w:val="24"/>
                <w:szCs w:val="24"/>
              </w:rPr>
              <w:fldChar w:fldCharType="separate"/>
            </w:r>
            <w:r w:rsidR="00AB1967">
              <w:rPr>
                <w:rFonts w:ascii="Times New Roman" w:hAnsi="Times New Roman"/>
                <w:noProof/>
                <w:sz w:val="24"/>
                <w:szCs w:val="24"/>
              </w:rPr>
              <w:t>13</w:t>
            </w:r>
            <w:r w:rsidR="00182C97" w:rsidRPr="00D433D8">
              <w:rPr>
                <w:rFonts w:ascii="Times New Roman" w:hAnsi="Times New Roman"/>
                <w:sz w:val="24"/>
                <w:szCs w:val="24"/>
              </w:rPr>
              <w:fldChar w:fldCharType="end"/>
            </w:r>
            <w:r w:rsidR="00354A0B" w:rsidRPr="00D433D8">
              <w:rPr>
                <w:rFonts w:ascii="Times New Roman" w:hAnsi="Times New Roman"/>
                <w:sz w:val="24"/>
                <w:szCs w:val="24"/>
              </w:rPr>
              <w:t>: Répartition des actifs occupés selon le sexe, la branche d'activité et la pauvreté</w:t>
            </w:r>
            <w:bookmarkEnd w:id="182"/>
            <w:bookmarkEnd w:id="183"/>
          </w:p>
        </w:tc>
      </w:tr>
      <w:tr w:rsidR="00354A0B" w:rsidRPr="00A2747E" w:rsidTr="00062673">
        <w:trPr>
          <w:trHeight w:val="315"/>
        </w:trPr>
        <w:tc>
          <w:tcPr>
            <w:tcW w:w="1764" w:type="dxa"/>
            <w:shd w:val="clear" w:color="auto" w:fill="DAEEF3" w:themeFill="accent5" w:themeFillTint="33"/>
            <w:vAlign w:val="bottom"/>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 </w:t>
            </w:r>
          </w:p>
        </w:tc>
        <w:tc>
          <w:tcPr>
            <w:tcW w:w="2700" w:type="dxa"/>
            <w:gridSpan w:val="3"/>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b/>
                <w:bCs/>
                <w:color w:val="000000"/>
                <w:lang w:eastAsia="fr-FR"/>
              </w:rPr>
            </w:pPr>
            <w:r w:rsidRPr="00A2747E">
              <w:rPr>
                <w:rFonts w:ascii="Times New Roman" w:eastAsia="Times New Roman" w:hAnsi="Times New Roman"/>
                <w:b/>
                <w:bCs/>
                <w:color w:val="000000"/>
                <w:lang w:eastAsia="fr-FR"/>
              </w:rPr>
              <w:t>Masculin</w:t>
            </w:r>
          </w:p>
        </w:tc>
        <w:tc>
          <w:tcPr>
            <w:tcW w:w="2640" w:type="dxa"/>
            <w:gridSpan w:val="3"/>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b/>
                <w:bCs/>
                <w:color w:val="000000"/>
                <w:lang w:eastAsia="fr-FR"/>
              </w:rPr>
            </w:pPr>
            <w:r w:rsidRPr="00A2747E">
              <w:rPr>
                <w:rFonts w:ascii="Times New Roman" w:eastAsia="Times New Roman" w:hAnsi="Times New Roman"/>
                <w:b/>
                <w:bCs/>
                <w:color w:val="000000"/>
                <w:lang w:eastAsia="fr-FR"/>
              </w:rPr>
              <w:t>Féminin</w:t>
            </w:r>
          </w:p>
        </w:tc>
        <w:tc>
          <w:tcPr>
            <w:tcW w:w="2656" w:type="dxa"/>
            <w:gridSpan w:val="3"/>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b/>
                <w:bCs/>
                <w:color w:val="000000"/>
                <w:lang w:eastAsia="fr-FR"/>
              </w:rPr>
            </w:pPr>
            <w:r w:rsidRPr="00A2747E">
              <w:rPr>
                <w:rFonts w:ascii="Times New Roman" w:eastAsia="Times New Roman" w:hAnsi="Times New Roman"/>
                <w:b/>
                <w:bCs/>
                <w:color w:val="000000"/>
                <w:lang w:eastAsia="fr-FR"/>
              </w:rPr>
              <w:t>B</w:t>
            </w:r>
            <w:r w:rsidR="00D362F5">
              <w:rPr>
                <w:rFonts w:ascii="Times New Roman" w:eastAsia="Times New Roman" w:hAnsi="Times New Roman"/>
                <w:b/>
                <w:bCs/>
                <w:color w:val="000000"/>
                <w:lang w:eastAsia="fr-FR"/>
              </w:rPr>
              <w:t>é</w:t>
            </w:r>
            <w:r w:rsidR="00D362F5" w:rsidRPr="00A2747E">
              <w:rPr>
                <w:rFonts w:ascii="Times New Roman" w:eastAsia="Times New Roman" w:hAnsi="Times New Roman"/>
                <w:b/>
                <w:bCs/>
                <w:color w:val="000000"/>
                <w:lang w:eastAsia="fr-FR"/>
              </w:rPr>
              <w:t>nin</w:t>
            </w:r>
          </w:p>
        </w:tc>
      </w:tr>
      <w:tr w:rsidR="00354A0B" w:rsidRPr="00A2747E" w:rsidTr="008B24EA">
        <w:trPr>
          <w:trHeight w:val="615"/>
        </w:trPr>
        <w:tc>
          <w:tcPr>
            <w:tcW w:w="1764" w:type="dxa"/>
            <w:shd w:val="clear" w:color="auto" w:fill="DAEEF3" w:themeFill="accent5" w:themeFillTint="33"/>
            <w:vAlign w:val="bottom"/>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 </w:t>
            </w:r>
          </w:p>
        </w:tc>
        <w:tc>
          <w:tcPr>
            <w:tcW w:w="933" w:type="dxa"/>
            <w:tcBorders>
              <w:bottom w:val="single" w:sz="4" w:space="0" w:color="auto"/>
            </w:tcBorders>
            <w:shd w:val="clear" w:color="auto" w:fill="DAEEF3" w:themeFill="accent5" w:themeFillTint="33"/>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Non pauvre</w:t>
            </w:r>
          </w:p>
        </w:tc>
        <w:tc>
          <w:tcPr>
            <w:tcW w:w="778" w:type="dxa"/>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pauvre</w:t>
            </w:r>
          </w:p>
        </w:tc>
        <w:tc>
          <w:tcPr>
            <w:tcW w:w="989" w:type="dxa"/>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Total</w:t>
            </w:r>
          </w:p>
        </w:tc>
        <w:tc>
          <w:tcPr>
            <w:tcW w:w="928" w:type="dxa"/>
            <w:tcBorders>
              <w:bottom w:val="single" w:sz="4" w:space="0" w:color="auto"/>
            </w:tcBorders>
            <w:shd w:val="clear" w:color="auto" w:fill="DAEEF3" w:themeFill="accent5" w:themeFillTint="33"/>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Non pauvre</w:t>
            </w:r>
          </w:p>
        </w:tc>
        <w:tc>
          <w:tcPr>
            <w:tcW w:w="754" w:type="dxa"/>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pauvre</w:t>
            </w:r>
          </w:p>
        </w:tc>
        <w:tc>
          <w:tcPr>
            <w:tcW w:w="958" w:type="dxa"/>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Total</w:t>
            </w:r>
          </w:p>
        </w:tc>
        <w:tc>
          <w:tcPr>
            <w:tcW w:w="959" w:type="dxa"/>
            <w:tcBorders>
              <w:bottom w:val="single" w:sz="4" w:space="0" w:color="auto"/>
            </w:tcBorders>
            <w:shd w:val="clear" w:color="auto" w:fill="DAEEF3" w:themeFill="accent5" w:themeFillTint="33"/>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Non pauvre</w:t>
            </w:r>
          </w:p>
        </w:tc>
        <w:tc>
          <w:tcPr>
            <w:tcW w:w="747" w:type="dxa"/>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pauvre</w:t>
            </w:r>
          </w:p>
        </w:tc>
        <w:tc>
          <w:tcPr>
            <w:tcW w:w="950" w:type="dxa"/>
            <w:tcBorders>
              <w:bottom w:val="single" w:sz="4" w:space="0" w:color="auto"/>
            </w:tcBorders>
            <w:shd w:val="clear" w:color="auto" w:fill="DAEEF3" w:themeFill="accent5" w:themeFillTint="33"/>
            <w:noWrap/>
            <w:vAlign w:val="bottom"/>
            <w:hideMark/>
          </w:tcPr>
          <w:p w:rsidR="00354A0B" w:rsidRPr="00A2747E" w:rsidRDefault="00354A0B" w:rsidP="00744E9A">
            <w:pPr>
              <w:spacing w:line="240" w:lineRule="auto"/>
              <w:jc w:val="center"/>
              <w:rPr>
                <w:rFonts w:ascii="Times New Roman" w:eastAsia="Times New Roman" w:hAnsi="Times New Roman"/>
                <w:color w:val="000000"/>
                <w:lang w:eastAsia="fr-FR"/>
              </w:rPr>
            </w:pPr>
            <w:r w:rsidRPr="00A2747E">
              <w:rPr>
                <w:rFonts w:ascii="Times New Roman" w:eastAsia="Times New Roman" w:hAnsi="Times New Roman"/>
                <w:color w:val="000000"/>
                <w:lang w:eastAsia="fr-FR"/>
              </w:rPr>
              <w:t>Total</w:t>
            </w:r>
          </w:p>
        </w:tc>
      </w:tr>
      <w:tr w:rsidR="00354A0B" w:rsidRPr="00A2747E" w:rsidTr="008B24EA">
        <w:trPr>
          <w:trHeight w:val="315"/>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Agriculture</w:t>
            </w:r>
          </w:p>
        </w:tc>
        <w:tc>
          <w:tcPr>
            <w:tcW w:w="933"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778"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989"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643973</w:t>
            </w:r>
          </w:p>
        </w:tc>
        <w:tc>
          <w:tcPr>
            <w:tcW w:w="928"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58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7</w:t>
            </w:r>
          </w:p>
        </w:tc>
        <w:tc>
          <w:tcPr>
            <w:tcW w:w="754"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3</w:t>
            </w:r>
          </w:p>
        </w:tc>
        <w:tc>
          <w:tcPr>
            <w:tcW w:w="958"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478129</w:t>
            </w:r>
          </w:p>
        </w:tc>
        <w:tc>
          <w:tcPr>
            <w:tcW w:w="959"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747"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950" w:type="dxa"/>
            <w:tcBorders>
              <w:top w:val="sing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1122103</w:t>
            </w:r>
          </w:p>
        </w:tc>
      </w:tr>
      <w:tr w:rsidR="00354A0B" w:rsidRPr="00A2747E" w:rsidTr="00744E9A">
        <w:trPr>
          <w:trHeight w:val="300"/>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Coton-Textile</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48617</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57077</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105695</w:t>
            </w:r>
          </w:p>
        </w:tc>
      </w:tr>
      <w:tr w:rsidR="00354A0B" w:rsidRPr="00A2747E" w:rsidTr="00744E9A">
        <w:trPr>
          <w:trHeight w:val="615"/>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Commerce-logistique</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7</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3</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937</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1884</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2821</w:t>
            </w:r>
          </w:p>
        </w:tc>
      </w:tr>
      <w:tr w:rsidR="00354A0B" w:rsidRPr="00A2747E" w:rsidTr="00744E9A">
        <w:trPr>
          <w:trHeight w:val="330"/>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Agroalimentaire</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8547</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31632</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40179</w:t>
            </w:r>
          </w:p>
        </w:tc>
      </w:tr>
      <w:tr w:rsidR="00354A0B" w:rsidRPr="00A2747E" w:rsidTr="00744E9A">
        <w:trPr>
          <w:trHeight w:val="528"/>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BTP - matériaux de construction</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419</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0</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0</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0</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419</w:t>
            </w:r>
          </w:p>
        </w:tc>
      </w:tr>
      <w:tr w:rsidR="00354A0B" w:rsidRPr="00A2747E" w:rsidTr="00744E9A">
        <w:trPr>
          <w:trHeight w:val="450"/>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Culture et tourisme</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34607</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155487</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190094</w:t>
            </w:r>
          </w:p>
        </w:tc>
      </w:tr>
      <w:tr w:rsidR="00354A0B" w:rsidRPr="00A2747E" w:rsidTr="00744E9A">
        <w:trPr>
          <w:trHeight w:val="713"/>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Autres activités industrielles et artisanales</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57035</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7</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3</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7176</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5</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5</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64212</w:t>
            </w:r>
          </w:p>
        </w:tc>
      </w:tr>
      <w:tr w:rsidR="00354A0B" w:rsidRPr="00A2747E" w:rsidTr="00744E9A">
        <w:trPr>
          <w:trHeight w:val="370"/>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Autres services</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7</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3</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118472</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62688</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181160</w:t>
            </w:r>
          </w:p>
        </w:tc>
      </w:tr>
      <w:tr w:rsidR="00354A0B" w:rsidRPr="00A2747E" w:rsidTr="00744E9A">
        <w:trPr>
          <w:trHeight w:val="677"/>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Commerce-logistique secteur formel</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22156</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7858</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30013</w:t>
            </w:r>
          </w:p>
        </w:tc>
      </w:tr>
      <w:tr w:rsidR="00354A0B" w:rsidRPr="00A2747E" w:rsidTr="00744E9A">
        <w:trPr>
          <w:trHeight w:val="628"/>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Commerce-logistique secteur informel</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174983</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3</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7</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454047</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629030</w:t>
            </w:r>
          </w:p>
        </w:tc>
      </w:tr>
      <w:tr w:rsidR="00354A0B" w:rsidRPr="00A2747E" w:rsidTr="00744E9A">
        <w:trPr>
          <w:trHeight w:val="681"/>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BTP-matériaux de construction secteur formel</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91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4187</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100</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0</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458</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92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4644</w:t>
            </w:r>
          </w:p>
        </w:tc>
      </w:tr>
      <w:tr w:rsidR="00354A0B" w:rsidRPr="00A2747E" w:rsidTr="00744E9A">
        <w:trPr>
          <w:trHeight w:val="764"/>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BTP-matériaux de construction secteur informel</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4</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6</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57182</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3864</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72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0</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61046</w:t>
            </w:r>
          </w:p>
        </w:tc>
      </w:tr>
      <w:tr w:rsidR="00354A0B" w:rsidRPr="00A2747E" w:rsidTr="00744E9A">
        <w:trPr>
          <w:trHeight w:val="315"/>
        </w:trPr>
        <w:tc>
          <w:tcPr>
            <w:tcW w:w="1764" w:type="dxa"/>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color w:val="000000"/>
                <w:lang w:eastAsia="fr-FR"/>
              </w:rPr>
            </w:pPr>
            <w:r w:rsidRPr="00A2747E">
              <w:rPr>
                <w:rFonts w:ascii="Times New Roman" w:eastAsia="Times New Roman" w:hAnsi="Times New Roman"/>
                <w:color w:val="000000"/>
                <w:lang w:eastAsia="fr-FR"/>
              </w:rPr>
              <w:t>Non déclaré</w:t>
            </w:r>
          </w:p>
        </w:tc>
        <w:tc>
          <w:tcPr>
            <w:tcW w:w="933"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5</w:t>
            </w:r>
          </w:p>
        </w:tc>
        <w:tc>
          <w:tcPr>
            <w:tcW w:w="77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5</w:t>
            </w:r>
          </w:p>
        </w:tc>
        <w:tc>
          <w:tcPr>
            <w:tcW w:w="98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19650</w:t>
            </w:r>
          </w:p>
        </w:tc>
        <w:tc>
          <w:tcPr>
            <w:tcW w:w="92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66</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2</w:t>
            </w:r>
          </w:p>
        </w:tc>
        <w:tc>
          <w:tcPr>
            <w:tcW w:w="754"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33</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8</w:t>
            </w:r>
          </w:p>
        </w:tc>
        <w:tc>
          <w:tcPr>
            <w:tcW w:w="958"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15360</w:t>
            </w:r>
          </w:p>
        </w:tc>
        <w:tc>
          <w:tcPr>
            <w:tcW w:w="959"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65</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3</w:t>
            </w:r>
          </w:p>
        </w:tc>
        <w:tc>
          <w:tcPr>
            <w:tcW w:w="747"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34</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7</w:t>
            </w:r>
          </w:p>
        </w:tc>
        <w:tc>
          <w:tcPr>
            <w:tcW w:w="950" w:type="dxa"/>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35010</w:t>
            </w:r>
          </w:p>
        </w:tc>
      </w:tr>
      <w:tr w:rsidR="00354A0B" w:rsidRPr="00A2747E" w:rsidTr="00744E9A">
        <w:trPr>
          <w:trHeight w:val="315"/>
        </w:trPr>
        <w:tc>
          <w:tcPr>
            <w:tcW w:w="1764" w:type="dxa"/>
            <w:tcBorders>
              <w:bottom w:val="double" w:sz="4" w:space="0" w:color="auto"/>
            </w:tcBorders>
            <w:shd w:val="clear" w:color="auto" w:fill="DAEEF3" w:themeFill="accent5" w:themeFillTint="33"/>
            <w:vAlign w:val="center"/>
            <w:hideMark/>
          </w:tcPr>
          <w:p w:rsidR="00354A0B" w:rsidRPr="00A2747E" w:rsidRDefault="00354A0B" w:rsidP="00744E9A">
            <w:pPr>
              <w:spacing w:line="240" w:lineRule="auto"/>
              <w:jc w:val="left"/>
              <w:rPr>
                <w:rFonts w:ascii="Times New Roman" w:eastAsia="Times New Roman" w:hAnsi="Times New Roman"/>
                <w:b/>
                <w:bCs/>
                <w:color w:val="000000"/>
                <w:lang w:eastAsia="fr-FR"/>
              </w:rPr>
            </w:pPr>
            <w:r w:rsidRPr="00A2747E">
              <w:rPr>
                <w:rFonts w:ascii="Times New Roman" w:eastAsia="Times New Roman" w:hAnsi="Times New Roman"/>
                <w:b/>
                <w:bCs/>
                <w:color w:val="000000"/>
                <w:lang w:eastAsia="fr-FR"/>
              </w:rPr>
              <w:t>Total</w:t>
            </w:r>
          </w:p>
        </w:tc>
        <w:tc>
          <w:tcPr>
            <w:tcW w:w="933"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69</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778"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30</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989"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highlight w:val="yellow"/>
                <w:lang w:eastAsia="fr-FR"/>
              </w:rPr>
            </w:pPr>
            <w:r w:rsidRPr="00A044E1">
              <w:rPr>
                <w:rFonts w:ascii="Times New Roman" w:eastAsia="Times New Roman" w:hAnsi="Times New Roman"/>
                <w:color w:val="000000"/>
                <w:lang w:eastAsia="fr-FR"/>
              </w:rPr>
              <w:t>1000000</w:t>
            </w:r>
          </w:p>
        </w:tc>
        <w:tc>
          <w:tcPr>
            <w:tcW w:w="928"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67</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754"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32</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958"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1275661</w:t>
            </w:r>
          </w:p>
        </w:tc>
        <w:tc>
          <w:tcPr>
            <w:tcW w:w="959"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68</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9</w:t>
            </w:r>
          </w:p>
        </w:tc>
        <w:tc>
          <w:tcPr>
            <w:tcW w:w="747"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31</w:t>
            </w:r>
            <w:r>
              <w:rPr>
                <w:rFonts w:ascii="Times New Roman" w:eastAsia="Times New Roman" w:hAnsi="Times New Roman"/>
                <w:color w:val="000000"/>
                <w:lang w:eastAsia="fr-FR"/>
              </w:rPr>
              <w:t>,</w:t>
            </w:r>
            <w:r w:rsidRPr="00A2747E">
              <w:rPr>
                <w:rFonts w:ascii="Times New Roman" w:eastAsia="Times New Roman" w:hAnsi="Times New Roman"/>
                <w:color w:val="000000"/>
                <w:lang w:eastAsia="fr-FR"/>
              </w:rPr>
              <w:t>1</w:t>
            </w:r>
          </w:p>
        </w:tc>
        <w:tc>
          <w:tcPr>
            <w:tcW w:w="950" w:type="dxa"/>
            <w:tcBorders>
              <w:bottom w:val="double" w:sz="4" w:space="0" w:color="auto"/>
            </w:tcBorders>
            <w:shd w:val="clear" w:color="auto" w:fill="DAEEF3" w:themeFill="accent5" w:themeFillTint="33"/>
            <w:noWrap/>
            <w:vAlign w:val="center"/>
            <w:hideMark/>
          </w:tcPr>
          <w:p w:rsidR="00354A0B" w:rsidRPr="00A2747E" w:rsidRDefault="00354A0B" w:rsidP="00744E9A">
            <w:pPr>
              <w:spacing w:line="240" w:lineRule="auto"/>
              <w:jc w:val="right"/>
              <w:rPr>
                <w:rFonts w:ascii="Times New Roman" w:eastAsia="Times New Roman" w:hAnsi="Times New Roman"/>
                <w:color w:val="000000"/>
                <w:lang w:eastAsia="fr-FR"/>
              </w:rPr>
            </w:pPr>
            <w:r w:rsidRPr="00A2747E">
              <w:rPr>
                <w:rFonts w:ascii="Times New Roman" w:eastAsia="Times New Roman" w:hAnsi="Times New Roman"/>
                <w:color w:val="000000"/>
                <w:lang w:eastAsia="fr-FR"/>
              </w:rPr>
              <w:t>2466425</w:t>
            </w:r>
          </w:p>
        </w:tc>
      </w:tr>
      <w:tr w:rsidR="00354A0B" w:rsidRPr="00A2747E" w:rsidTr="00744E9A">
        <w:trPr>
          <w:trHeight w:val="315"/>
        </w:trPr>
        <w:tc>
          <w:tcPr>
            <w:tcW w:w="9760" w:type="dxa"/>
            <w:gridSpan w:val="10"/>
            <w:tcBorders>
              <w:top w:val="double" w:sz="4" w:space="0" w:color="auto"/>
            </w:tcBorders>
            <w:shd w:val="clear" w:color="auto" w:fill="DAEEF3" w:themeFill="accent5" w:themeFillTint="33"/>
            <w:vAlign w:val="center"/>
            <w:hideMark/>
          </w:tcPr>
          <w:p w:rsidR="00354A0B" w:rsidRPr="00B265AD" w:rsidRDefault="00354A0B" w:rsidP="00744E9A">
            <w:pPr>
              <w:spacing w:line="240" w:lineRule="auto"/>
              <w:rPr>
                <w:rFonts w:ascii="Times New Roman" w:hAnsi="Times New Roman"/>
                <w:sz w:val="20"/>
                <w:szCs w:val="20"/>
              </w:rPr>
            </w:pPr>
            <w:r w:rsidRPr="004946E5">
              <w:rPr>
                <w:rFonts w:ascii="Times New Roman" w:hAnsi="Times New Roman"/>
                <w:sz w:val="20"/>
                <w:szCs w:val="20"/>
              </w:rPr>
              <w:t>Source : INSAE, EMICoV 2010</w:t>
            </w:r>
          </w:p>
        </w:tc>
      </w:tr>
    </w:tbl>
    <w:p w:rsidR="00354A0B" w:rsidRDefault="00354A0B" w:rsidP="00354A0B">
      <w:pPr>
        <w:spacing w:line="240" w:lineRule="auto"/>
        <w:rPr>
          <w:rFonts w:ascii="Times New Roman" w:hAnsi="Times New Roman"/>
          <w:sz w:val="20"/>
          <w:szCs w:val="20"/>
        </w:rPr>
      </w:pPr>
    </w:p>
    <w:p w:rsidR="00401A60" w:rsidRDefault="00401A60" w:rsidP="00401A60">
      <w:pPr>
        <w:pStyle w:val="Paragraphedeliste"/>
        <w:spacing w:line="240" w:lineRule="auto"/>
        <w:ind w:left="360"/>
        <w:rPr>
          <w:rFonts w:ascii="Times New Roman" w:hAnsi="Times New Roman"/>
          <w:sz w:val="24"/>
          <w:szCs w:val="24"/>
        </w:rPr>
      </w:pPr>
    </w:p>
    <w:p w:rsidR="00401A60" w:rsidRPr="003B5123" w:rsidRDefault="00C27923" w:rsidP="00F305E5">
      <w:pPr>
        <w:spacing w:line="240" w:lineRule="auto"/>
        <w:rPr>
          <w:rFonts w:ascii="Times New Roman" w:hAnsi="Times New Roman"/>
          <w:b/>
          <w:sz w:val="24"/>
          <w:szCs w:val="24"/>
        </w:rPr>
      </w:pPr>
      <w:r>
        <w:rPr>
          <w:rFonts w:ascii="Times New Roman" w:hAnsi="Times New Roman"/>
          <w:b/>
          <w:sz w:val="24"/>
          <w:szCs w:val="24"/>
        </w:rPr>
        <w:t>5</w:t>
      </w:r>
      <w:r w:rsidR="00401A60" w:rsidRPr="003B5123">
        <w:rPr>
          <w:rFonts w:ascii="Times New Roman" w:hAnsi="Times New Roman"/>
          <w:b/>
          <w:sz w:val="24"/>
          <w:szCs w:val="24"/>
        </w:rPr>
        <w:t>.7.</w:t>
      </w:r>
      <w:r w:rsidR="00401A60">
        <w:rPr>
          <w:rFonts w:ascii="Times New Roman" w:hAnsi="Times New Roman"/>
          <w:b/>
          <w:sz w:val="24"/>
          <w:szCs w:val="24"/>
        </w:rPr>
        <w:t>3</w:t>
      </w:r>
      <w:r w:rsidR="006929BB">
        <w:rPr>
          <w:rFonts w:ascii="Times New Roman" w:hAnsi="Times New Roman"/>
          <w:b/>
          <w:sz w:val="24"/>
          <w:szCs w:val="24"/>
        </w:rPr>
        <w:t xml:space="preserve"> </w:t>
      </w:r>
      <w:r w:rsidR="00401A60" w:rsidRPr="003B5123">
        <w:rPr>
          <w:rFonts w:ascii="Times New Roman" w:hAnsi="Times New Roman"/>
          <w:b/>
          <w:sz w:val="24"/>
          <w:szCs w:val="24"/>
        </w:rPr>
        <w:t>Enjeux et perspectives des politiques de l’emploi au Bénin</w:t>
      </w:r>
    </w:p>
    <w:p w:rsidR="00F305E5" w:rsidRDefault="00F305E5" w:rsidP="00F305E5">
      <w:pPr>
        <w:spacing w:line="240" w:lineRule="auto"/>
        <w:rPr>
          <w:rFonts w:ascii="Times New Roman" w:hAnsi="Times New Roman"/>
          <w:color w:val="333333"/>
          <w:sz w:val="24"/>
          <w:szCs w:val="24"/>
        </w:rPr>
      </w:pPr>
    </w:p>
    <w:p w:rsidR="00401A60" w:rsidRDefault="00401A60" w:rsidP="00F305E5">
      <w:pPr>
        <w:spacing w:line="276" w:lineRule="auto"/>
        <w:rPr>
          <w:rFonts w:ascii="Times New Roman" w:hAnsi="Times New Roman"/>
          <w:color w:val="333333"/>
          <w:sz w:val="24"/>
          <w:szCs w:val="24"/>
        </w:rPr>
      </w:pPr>
      <w:r>
        <w:rPr>
          <w:rFonts w:ascii="Times New Roman" w:hAnsi="Times New Roman"/>
          <w:color w:val="333333"/>
          <w:sz w:val="24"/>
          <w:szCs w:val="24"/>
        </w:rPr>
        <w:t>Selon les prédictions de la théorie économique, l’emploi est le moyen le plus efficace de sortir de la pauvreté. Mais nos analyses du marché du travail et de la pauvreté révèlent un paradoxe béninois.  En effet, nous observons au Bénin en 2010, un faible taux de chômage (0,5%) selon le BIT et un taux relativement élevé de pauvreté monétaire</w:t>
      </w:r>
      <w:r w:rsidR="009920CB">
        <w:rPr>
          <w:rFonts w:ascii="Times New Roman" w:hAnsi="Times New Roman"/>
          <w:color w:val="333333"/>
          <w:sz w:val="24"/>
          <w:szCs w:val="24"/>
        </w:rPr>
        <w:t xml:space="preserve"> </w:t>
      </w:r>
      <w:r>
        <w:rPr>
          <w:rFonts w:ascii="Times New Roman" w:hAnsi="Times New Roman"/>
          <w:color w:val="333333"/>
          <w:sz w:val="24"/>
          <w:szCs w:val="24"/>
        </w:rPr>
        <w:t>des actifs occupés (30,1%). Ce qui montre que le marché du travail ne joue pas pleinement son rôle de réduction de pauvreté. Ceci est sans doute le résultat d’un secteur informel prépondérant et du fort taux de sous-emploi. Les enjeux de la politique d’emploi au Bénin sont donc nombreux. Il s’agit de :</w:t>
      </w:r>
    </w:p>
    <w:p w:rsidR="00062673" w:rsidRDefault="00062673" w:rsidP="00F305E5">
      <w:pPr>
        <w:spacing w:line="276" w:lineRule="auto"/>
        <w:rPr>
          <w:rFonts w:ascii="Times New Roman" w:hAnsi="Times New Roman"/>
          <w:color w:val="333333"/>
          <w:sz w:val="24"/>
          <w:szCs w:val="24"/>
        </w:rPr>
      </w:pPr>
    </w:p>
    <w:p w:rsidR="00401A60" w:rsidRDefault="00401A60" w:rsidP="00C4229B">
      <w:pPr>
        <w:pStyle w:val="Paragraphedeliste"/>
        <w:numPr>
          <w:ilvl w:val="0"/>
          <w:numId w:val="12"/>
        </w:numPr>
        <w:spacing w:before="120" w:line="276" w:lineRule="auto"/>
        <w:ind w:left="714" w:hanging="357"/>
        <w:rPr>
          <w:rFonts w:ascii="Times New Roman" w:hAnsi="Times New Roman"/>
          <w:color w:val="333333"/>
          <w:sz w:val="24"/>
          <w:szCs w:val="24"/>
        </w:rPr>
      </w:pPr>
      <w:r>
        <w:rPr>
          <w:rFonts w:ascii="Times New Roman" w:hAnsi="Times New Roman"/>
          <w:color w:val="333333"/>
          <w:sz w:val="24"/>
          <w:szCs w:val="24"/>
        </w:rPr>
        <w:t>Gara</w:t>
      </w:r>
      <w:r w:rsidRPr="005D14FD">
        <w:rPr>
          <w:rFonts w:ascii="Times New Roman" w:hAnsi="Times New Roman"/>
          <w:color w:val="333333"/>
          <w:sz w:val="24"/>
          <w:szCs w:val="24"/>
        </w:rPr>
        <w:t xml:space="preserve">ntir un emploi décent et stable aux </w:t>
      </w:r>
      <w:r w:rsidR="006F3886">
        <w:rPr>
          <w:rFonts w:ascii="Times New Roman" w:hAnsi="Times New Roman"/>
          <w:color w:val="333333"/>
          <w:sz w:val="24"/>
          <w:szCs w:val="24"/>
        </w:rPr>
        <w:t>B</w:t>
      </w:r>
      <w:r w:rsidR="006F3886" w:rsidRPr="005D14FD">
        <w:rPr>
          <w:rFonts w:ascii="Times New Roman" w:hAnsi="Times New Roman"/>
          <w:color w:val="333333"/>
          <w:sz w:val="24"/>
          <w:szCs w:val="24"/>
        </w:rPr>
        <w:t>éninois</w:t>
      </w:r>
      <w:r w:rsidRPr="005D14FD">
        <w:rPr>
          <w:rFonts w:ascii="Times New Roman" w:hAnsi="Times New Roman"/>
          <w:color w:val="333333"/>
          <w:sz w:val="24"/>
          <w:szCs w:val="24"/>
        </w:rPr>
        <w:t>,</w:t>
      </w:r>
    </w:p>
    <w:p w:rsidR="00401A60" w:rsidRPr="005D14FD" w:rsidRDefault="00401A60" w:rsidP="00930D19">
      <w:pPr>
        <w:pStyle w:val="Paragraphedeliste"/>
        <w:numPr>
          <w:ilvl w:val="0"/>
          <w:numId w:val="12"/>
        </w:numPr>
        <w:spacing w:before="100" w:beforeAutospacing="1" w:after="100" w:afterAutospacing="1" w:line="276" w:lineRule="auto"/>
        <w:rPr>
          <w:rFonts w:ascii="Times New Roman" w:hAnsi="Times New Roman"/>
          <w:color w:val="333333"/>
          <w:sz w:val="24"/>
          <w:szCs w:val="24"/>
        </w:rPr>
      </w:pPr>
      <w:r>
        <w:rPr>
          <w:rFonts w:ascii="Times New Roman" w:hAnsi="Times New Roman"/>
          <w:color w:val="333333"/>
          <w:sz w:val="24"/>
          <w:szCs w:val="24"/>
        </w:rPr>
        <w:t>Réduire le secteur informel,</w:t>
      </w:r>
    </w:p>
    <w:p w:rsidR="00401A60" w:rsidRDefault="00401A60" w:rsidP="00930D19">
      <w:pPr>
        <w:pStyle w:val="Paragraphedeliste"/>
        <w:numPr>
          <w:ilvl w:val="0"/>
          <w:numId w:val="11"/>
        </w:numPr>
        <w:spacing w:before="100" w:beforeAutospacing="1" w:after="100" w:afterAutospacing="1" w:line="276" w:lineRule="auto"/>
        <w:rPr>
          <w:rFonts w:ascii="Times New Roman" w:hAnsi="Times New Roman"/>
          <w:color w:val="333333"/>
          <w:sz w:val="24"/>
          <w:szCs w:val="24"/>
        </w:rPr>
      </w:pPr>
      <w:r>
        <w:rPr>
          <w:rFonts w:ascii="Times New Roman" w:hAnsi="Times New Roman"/>
          <w:color w:val="333333"/>
          <w:sz w:val="24"/>
          <w:szCs w:val="24"/>
        </w:rPr>
        <w:t>Favoriser la croissance inclusive,</w:t>
      </w:r>
    </w:p>
    <w:p w:rsidR="00401A60" w:rsidRPr="005D14FD" w:rsidRDefault="00401A60" w:rsidP="00930D19">
      <w:pPr>
        <w:pStyle w:val="Paragraphedeliste"/>
        <w:numPr>
          <w:ilvl w:val="0"/>
          <w:numId w:val="11"/>
        </w:numPr>
        <w:spacing w:before="100" w:beforeAutospacing="1" w:after="100" w:afterAutospacing="1" w:line="276" w:lineRule="auto"/>
        <w:rPr>
          <w:rFonts w:ascii="Times New Roman" w:hAnsi="Times New Roman"/>
          <w:color w:val="333333"/>
          <w:sz w:val="24"/>
          <w:szCs w:val="24"/>
        </w:rPr>
      </w:pPr>
      <w:r w:rsidRPr="005D14FD">
        <w:rPr>
          <w:rFonts w:ascii="Times New Roman" w:hAnsi="Times New Roman"/>
          <w:color w:val="333333"/>
          <w:sz w:val="24"/>
          <w:szCs w:val="24"/>
        </w:rPr>
        <w:t xml:space="preserve">Atteindre les objectifs des OMD en matière de pauvreté. </w:t>
      </w:r>
    </w:p>
    <w:p w:rsidR="00401A60" w:rsidRDefault="00401A60" w:rsidP="00401A60">
      <w:pPr>
        <w:spacing w:before="100" w:beforeAutospacing="1" w:after="100" w:afterAutospacing="1" w:line="276" w:lineRule="auto"/>
        <w:rPr>
          <w:rFonts w:ascii="Times New Roman" w:hAnsi="Times New Roman"/>
          <w:color w:val="333333"/>
          <w:sz w:val="24"/>
          <w:szCs w:val="24"/>
        </w:rPr>
      </w:pPr>
      <w:r>
        <w:rPr>
          <w:rFonts w:ascii="Times New Roman" w:hAnsi="Times New Roman"/>
          <w:color w:val="333333"/>
          <w:sz w:val="24"/>
          <w:szCs w:val="24"/>
        </w:rPr>
        <w:t>Pour y parvenir, il faut une politique qui permet de :</w:t>
      </w:r>
    </w:p>
    <w:p w:rsidR="00401A60" w:rsidRPr="005D14FD" w:rsidRDefault="00401A60" w:rsidP="00930D19">
      <w:pPr>
        <w:pStyle w:val="Paragraphedeliste"/>
        <w:numPr>
          <w:ilvl w:val="0"/>
          <w:numId w:val="13"/>
        </w:numPr>
        <w:spacing w:before="100" w:beforeAutospacing="1" w:after="100" w:afterAutospacing="1" w:line="276" w:lineRule="auto"/>
        <w:rPr>
          <w:rFonts w:ascii="Times New Roman" w:hAnsi="Times New Roman"/>
          <w:color w:val="333333"/>
          <w:sz w:val="24"/>
          <w:szCs w:val="24"/>
        </w:rPr>
      </w:pPr>
      <w:r w:rsidRPr="005D14FD">
        <w:rPr>
          <w:rFonts w:ascii="Times New Roman" w:hAnsi="Times New Roman"/>
          <w:color w:val="333333"/>
          <w:sz w:val="24"/>
          <w:szCs w:val="24"/>
        </w:rPr>
        <w:t xml:space="preserve">Renforcer la collaboration entre les entreprises privées et le système éducatif afin de  résoudre le problème de l’inadéquation des formations aux besoins des entreprises et de  l'économie. </w:t>
      </w:r>
    </w:p>
    <w:p w:rsidR="00401A60" w:rsidRPr="003964FE" w:rsidRDefault="00401A60" w:rsidP="00930D19">
      <w:pPr>
        <w:pStyle w:val="Paragraphedeliste"/>
        <w:numPr>
          <w:ilvl w:val="0"/>
          <w:numId w:val="10"/>
        </w:numPr>
        <w:spacing w:before="100" w:beforeAutospacing="1" w:after="100" w:afterAutospacing="1" w:line="276" w:lineRule="auto"/>
        <w:rPr>
          <w:rFonts w:ascii="Times New Roman" w:hAnsi="Times New Roman"/>
          <w:color w:val="333333"/>
          <w:sz w:val="24"/>
          <w:szCs w:val="24"/>
        </w:rPr>
      </w:pPr>
      <w:r>
        <w:rPr>
          <w:rFonts w:ascii="Times New Roman" w:hAnsi="Times New Roman"/>
          <w:color w:val="333333"/>
          <w:sz w:val="24"/>
          <w:szCs w:val="24"/>
        </w:rPr>
        <w:t>Instaurer et encourager la formation continue afin de consolider, valider et valoriser les acquis. Ce qui permettra de réduire le déficit de  main-d’œuvre qualifié</w:t>
      </w:r>
      <w:r w:rsidR="006F3886">
        <w:rPr>
          <w:rFonts w:ascii="Times New Roman" w:hAnsi="Times New Roman"/>
          <w:color w:val="333333"/>
          <w:sz w:val="24"/>
          <w:szCs w:val="24"/>
        </w:rPr>
        <w:t>e</w:t>
      </w:r>
      <w:r>
        <w:rPr>
          <w:rFonts w:ascii="Times New Roman" w:hAnsi="Times New Roman"/>
          <w:color w:val="333333"/>
          <w:sz w:val="24"/>
          <w:szCs w:val="24"/>
        </w:rPr>
        <w:t>.</w:t>
      </w:r>
    </w:p>
    <w:p w:rsidR="00401A60" w:rsidRDefault="00401A60" w:rsidP="00930D19">
      <w:pPr>
        <w:pStyle w:val="Paragraphedeliste"/>
        <w:numPr>
          <w:ilvl w:val="0"/>
          <w:numId w:val="9"/>
        </w:numPr>
        <w:spacing w:before="100" w:beforeAutospacing="1" w:after="100" w:afterAutospacing="1" w:line="276" w:lineRule="auto"/>
        <w:ind w:left="720"/>
        <w:rPr>
          <w:rFonts w:ascii="Times New Roman" w:hAnsi="Times New Roman"/>
          <w:color w:val="333333"/>
          <w:sz w:val="24"/>
          <w:szCs w:val="24"/>
        </w:rPr>
      </w:pPr>
      <w:r>
        <w:rPr>
          <w:rFonts w:ascii="Times New Roman" w:hAnsi="Times New Roman"/>
          <w:color w:val="333333"/>
          <w:sz w:val="24"/>
          <w:szCs w:val="24"/>
        </w:rPr>
        <w:t>Poursuivre l’action de renforcement de capacité des jeunes diplômés pour mieux les p</w:t>
      </w:r>
      <w:r w:rsidRPr="003303CD">
        <w:rPr>
          <w:rFonts w:ascii="Times New Roman" w:hAnsi="Times New Roman"/>
          <w:color w:val="333333"/>
          <w:sz w:val="24"/>
          <w:szCs w:val="24"/>
        </w:rPr>
        <w:t>répar</w:t>
      </w:r>
      <w:r>
        <w:rPr>
          <w:rFonts w:ascii="Times New Roman" w:hAnsi="Times New Roman"/>
          <w:color w:val="333333"/>
          <w:sz w:val="24"/>
          <w:szCs w:val="24"/>
        </w:rPr>
        <w:t xml:space="preserve">er </w:t>
      </w:r>
      <w:r w:rsidRPr="003303CD">
        <w:rPr>
          <w:rFonts w:ascii="Times New Roman" w:hAnsi="Times New Roman"/>
          <w:color w:val="333333"/>
          <w:sz w:val="24"/>
          <w:szCs w:val="24"/>
        </w:rPr>
        <w:t>à occuper des emplois modernes</w:t>
      </w:r>
      <w:r>
        <w:rPr>
          <w:rFonts w:ascii="Times New Roman" w:hAnsi="Times New Roman"/>
          <w:color w:val="333333"/>
          <w:sz w:val="24"/>
          <w:szCs w:val="24"/>
        </w:rPr>
        <w:t>.</w:t>
      </w:r>
    </w:p>
    <w:p w:rsidR="00401A60" w:rsidRPr="003303CD" w:rsidRDefault="006F3886" w:rsidP="00930D19">
      <w:pPr>
        <w:pStyle w:val="Paragraphedeliste"/>
        <w:numPr>
          <w:ilvl w:val="0"/>
          <w:numId w:val="9"/>
        </w:numPr>
        <w:spacing w:before="100" w:beforeAutospacing="1" w:after="100" w:afterAutospacing="1" w:line="276" w:lineRule="auto"/>
        <w:ind w:left="720"/>
        <w:rPr>
          <w:rFonts w:ascii="Times New Roman" w:hAnsi="Times New Roman"/>
          <w:color w:val="333333"/>
          <w:sz w:val="24"/>
          <w:szCs w:val="24"/>
        </w:rPr>
      </w:pPr>
      <w:r>
        <w:rPr>
          <w:rFonts w:ascii="Times New Roman" w:hAnsi="Times New Roman"/>
          <w:color w:val="333333"/>
          <w:sz w:val="24"/>
          <w:szCs w:val="24"/>
        </w:rPr>
        <w:t xml:space="preserve">Accroître </w:t>
      </w:r>
      <w:r w:rsidR="00401A60">
        <w:rPr>
          <w:rFonts w:ascii="Times New Roman" w:hAnsi="Times New Roman"/>
          <w:color w:val="333333"/>
          <w:sz w:val="24"/>
          <w:szCs w:val="24"/>
        </w:rPr>
        <w:t xml:space="preserve">la demande de travail par l’encouragement de l’auto-emploi formel. </w:t>
      </w:r>
    </w:p>
    <w:p w:rsidR="00401A60" w:rsidRPr="00BD0E3C" w:rsidRDefault="00401A60" w:rsidP="00930D19">
      <w:pPr>
        <w:pStyle w:val="Paragraphedeliste"/>
        <w:numPr>
          <w:ilvl w:val="0"/>
          <w:numId w:val="9"/>
        </w:numPr>
        <w:spacing w:before="100" w:beforeAutospacing="1" w:after="100" w:afterAutospacing="1" w:line="276" w:lineRule="auto"/>
        <w:ind w:left="720"/>
        <w:rPr>
          <w:rFonts w:ascii="Times New Roman" w:hAnsi="Times New Roman"/>
          <w:color w:val="333333"/>
          <w:sz w:val="24"/>
          <w:szCs w:val="24"/>
        </w:rPr>
      </w:pPr>
      <w:r>
        <w:rPr>
          <w:rFonts w:ascii="Times New Roman" w:hAnsi="Times New Roman"/>
          <w:color w:val="333333"/>
          <w:sz w:val="24"/>
          <w:szCs w:val="24"/>
        </w:rPr>
        <w:t>Accélérer la  tr</w:t>
      </w:r>
      <w:r w:rsidRPr="003303CD">
        <w:rPr>
          <w:rFonts w:ascii="Times New Roman" w:hAnsi="Times New Roman"/>
          <w:color w:val="333333"/>
          <w:sz w:val="24"/>
          <w:szCs w:val="24"/>
        </w:rPr>
        <w:t xml:space="preserve">ansformation de l’économie </w:t>
      </w:r>
      <w:r>
        <w:rPr>
          <w:rFonts w:ascii="Times New Roman" w:hAnsi="Times New Roman"/>
          <w:color w:val="333333"/>
          <w:sz w:val="24"/>
          <w:szCs w:val="24"/>
        </w:rPr>
        <w:t>par l’accroissement du secteur secondaire et le professionnalisme de l’agriculture.</w:t>
      </w:r>
    </w:p>
    <w:p w:rsidR="00DE27D2" w:rsidRPr="00BD0E3C" w:rsidRDefault="00DE27D2" w:rsidP="00DE27D2">
      <w:pPr>
        <w:pStyle w:val="Paragraphedeliste"/>
        <w:numPr>
          <w:ilvl w:val="0"/>
          <w:numId w:val="9"/>
        </w:numPr>
        <w:spacing w:before="100" w:beforeAutospacing="1" w:after="100" w:afterAutospacing="1" w:line="276" w:lineRule="auto"/>
        <w:ind w:left="720"/>
        <w:rPr>
          <w:rFonts w:ascii="Times New Roman" w:hAnsi="Times New Roman"/>
          <w:color w:val="333333"/>
          <w:sz w:val="24"/>
          <w:szCs w:val="24"/>
        </w:rPr>
      </w:pPr>
      <w:r>
        <w:rPr>
          <w:rFonts w:ascii="Times New Roman" w:hAnsi="Times New Roman"/>
          <w:color w:val="333333"/>
          <w:sz w:val="24"/>
          <w:szCs w:val="24"/>
        </w:rPr>
        <w:t>Améliorer la productivité agricole.</w:t>
      </w:r>
    </w:p>
    <w:p w:rsidR="00401A60" w:rsidRDefault="00401A60" w:rsidP="00F305E5">
      <w:pPr>
        <w:pStyle w:val="Paragraphedeliste"/>
        <w:spacing w:before="100" w:beforeAutospacing="1" w:after="100" w:afterAutospacing="1" w:line="240" w:lineRule="auto"/>
        <w:rPr>
          <w:rFonts w:ascii="Times New Roman" w:hAnsi="Times New Roman"/>
          <w:color w:val="333333"/>
          <w:sz w:val="24"/>
          <w:szCs w:val="24"/>
        </w:rPr>
      </w:pPr>
    </w:p>
    <w:p w:rsidR="006013EE" w:rsidRDefault="006013EE" w:rsidP="00F305E5">
      <w:pPr>
        <w:pStyle w:val="Paragraphedeliste"/>
        <w:spacing w:before="100" w:beforeAutospacing="1" w:after="100" w:afterAutospacing="1" w:line="240" w:lineRule="auto"/>
        <w:rPr>
          <w:rFonts w:ascii="Times New Roman" w:hAnsi="Times New Roman"/>
          <w:color w:val="333333"/>
          <w:sz w:val="24"/>
          <w:szCs w:val="24"/>
        </w:rPr>
      </w:pPr>
    </w:p>
    <w:p w:rsidR="00401A60" w:rsidRPr="00F305E5" w:rsidRDefault="000B5203" w:rsidP="00F305E5">
      <w:pPr>
        <w:pStyle w:val="Titre2"/>
        <w:spacing w:before="120" w:after="0" w:line="240" w:lineRule="auto"/>
        <w:rPr>
          <w:rFonts w:ascii="Times New Roman" w:hAnsi="Times New Roman" w:cs="Times New Roman"/>
          <w:i w:val="0"/>
          <w:color w:val="31849B" w:themeColor="accent5" w:themeShade="BF"/>
        </w:rPr>
      </w:pPr>
      <w:bookmarkStart w:id="184" w:name="_Toc382322951"/>
      <w:r w:rsidRPr="00F305E5">
        <w:rPr>
          <w:rFonts w:ascii="Times New Roman" w:hAnsi="Times New Roman" w:cs="Times New Roman"/>
          <w:i w:val="0"/>
          <w:color w:val="31849B" w:themeColor="accent5" w:themeShade="BF"/>
        </w:rPr>
        <w:t>5</w:t>
      </w:r>
      <w:r w:rsidR="00401A60" w:rsidRPr="00F305E5">
        <w:rPr>
          <w:rFonts w:ascii="Times New Roman" w:hAnsi="Times New Roman" w:cs="Times New Roman"/>
          <w:i w:val="0"/>
          <w:color w:val="31849B" w:themeColor="accent5" w:themeShade="BF"/>
        </w:rPr>
        <w:t>.8</w:t>
      </w:r>
      <w:r w:rsidR="009920CB">
        <w:rPr>
          <w:rFonts w:ascii="Times New Roman" w:hAnsi="Times New Roman" w:cs="Times New Roman"/>
          <w:i w:val="0"/>
          <w:color w:val="31849B" w:themeColor="accent5" w:themeShade="BF"/>
        </w:rPr>
        <w:t xml:space="preserve"> </w:t>
      </w:r>
      <w:r w:rsidR="00401A60" w:rsidRPr="00F305E5">
        <w:rPr>
          <w:rFonts w:ascii="Times New Roman" w:hAnsi="Times New Roman" w:cs="Times New Roman"/>
          <w:i w:val="0"/>
          <w:color w:val="31849B" w:themeColor="accent5" w:themeShade="BF"/>
        </w:rPr>
        <w:t>Conclusion</w:t>
      </w:r>
      <w:bookmarkEnd w:id="184"/>
    </w:p>
    <w:p w:rsidR="00F305E5" w:rsidRDefault="00F305E5" w:rsidP="00401A60">
      <w:pPr>
        <w:spacing w:line="276" w:lineRule="auto"/>
        <w:rPr>
          <w:rFonts w:ascii="Times New Roman" w:hAnsi="Times New Roman"/>
          <w:sz w:val="24"/>
          <w:szCs w:val="24"/>
        </w:rPr>
      </w:pPr>
    </w:p>
    <w:p w:rsidR="00401A60" w:rsidRDefault="00401A60" w:rsidP="00401A60">
      <w:pPr>
        <w:spacing w:line="276" w:lineRule="auto"/>
        <w:rPr>
          <w:rFonts w:ascii="Times New Roman" w:hAnsi="Times New Roman"/>
          <w:sz w:val="24"/>
          <w:szCs w:val="24"/>
        </w:rPr>
      </w:pPr>
      <w:r>
        <w:rPr>
          <w:rFonts w:ascii="Times New Roman" w:hAnsi="Times New Roman"/>
          <w:sz w:val="24"/>
          <w:szCs w:val="24"/>
        </w:rPr>
        <w:t>L’analyse du marché du travail béninois révèle un taux de chômage faible (0.5%) au sens BIT en 2010. Cette situation à priori reluisante cache en réalité deux problèmes majeurs :</w:t>
      </w:r>
    </w:p>
    <w:p w:rsidR="00401A60" w:rsidRDefault="00401A60" w:rsidP="00401A60">
      <w:pPr>
        <w:spacing w:line="276" w:lineRule="auto"/>
        <w:rPr>
          <w:rFonts w:ascii="Times New Roman" w:hAnsi="Times New Roman"/>
          <w:sz w:val="24"/>
          <w:szCs w:val="24"/>
        </w:rPr>
      </w:pPr>
    </w:p>
    <w:p w:rsidR="00401A60" w:rsidRDefault="00401A60" w:rsidP="00930D19">
      <w:pPr>
        <w:pStyle w:val="Paragraphedeliste"/>
        <w:numPr>
          <w:ilvl w:val="0"/>
          <w:numId w:val="14"/>
        </w:numPr>
        <w:spacing w:line="276" w:lineRule="auto"/>
        <w:rPr>
          <w:rFonts w:ascii="Times New Roman" w:hAnsi="Times New Roman"/>
          <w:sz w:val="24"/>
          <w:szCs w:val="24"/>
        </w:rPr>
      </w:pPr>
      <w:r>
        <w:rPr>
          <w:rFonts w:ascii="Times New Roman" w:hAnsi="Times New Roman"/>
          <w:sz w:val="24"/>
          <w:szCs w:val="24"/>
        </w:rPr>
        <w:t>inadéquation de la formation au marché du travail : le chômage augmente avec le niveau d’instruction contrairement aux prédictions de la théorie économique.</w:t>
      </w:r>
    </w:p>
    <w:p w:rsidR="00CE79B0" w:rsidRDefault="00CE79B0">
      <w:pPr>
        <w:pStyle w:val="Paragraphedeliste"/>
        <w:spacing w:line="276" w:lineRule="auto"/>
        <w:rPr>
          <w:rFonts w:ascii="Times New Roman" w:hAnsi="Times New Roman"/>
          <w:sz w:val="24"/>
          <w:szCs w:val="24"/>
        </w:rPr>
      </w:pPr>
    </w:p>
    <w:p w:rsidR="00401A60" w:rsidRPr="006F0BDB" w:rsidRDefault="00401A60" w:rsidP="00930D19">
      <w:pPr>
        <w:pStyle w:val="Paragraphedeliste"/>
        <w:numPr>
          <w:ilvl w:val="0"/>
          <w:numId w:val="14"/>
        </w:numPr>
        <w:spacing w:line="276" w:lineRule="auto"/>
        <w:rPr>
          <w:rFonts w:ascii="Times New Roman" w:hAnsi="Times New Roman"/>
          <w:sz w:val="24"/>
          <w:szCs w:val="24"/>
        </w:rPr>
      </w:pPr>
      <w:r>
        <w:rPr>
          <w:rFonts w:ascii="Times New Roman" w:hAnsi="Times New Roman"/>
          <w:sz w:val="24"/>
          <w:szCs w:val="24"/>
        </w:rPr>
        <w:t xml:space="preserve">un sous-emploi visible et invisible élevé : les actifs occupés béninois sont rationnés en </w:t>
      </w:r>
      <w:r w:rsidR="006013EE">
        <w:rPr>
          <w:rFonts w:ascii="Times New Roman" w:hAnsi="Times New Roman"/>
          <w:sz w:val="24"/>
          <w:szCs w:val="24"/>
        </w:rPr>
        <w:t>termes d’heure</w:t>
      </w:r>
      <w:r>
        <w:rPr>
          <w:rFonts w:ascii="Times New Roman" w:hAnsi="Times New Roman"/>
          <w:sz w:val="24"/>
          <w:szCs w:val="24"/>
        </w:rPr>
        <w:t xml:space="preserve"> de travail et occupe</w:t>
      </w:r>
      <w:r w:rsidR="006F3886">
        <w:rPr>
          <w:rFonts w:ascii="Times New Roman" w:hAnsi="Times New Roman"/>
          <w:sz w:val="24"/>
          <w:szCs w:val="24"/>
        </w:rPr>
        <w:t>nt</w:t>
      </w:r>
      <w:r>
        <w:rPr>
          <w:rFonts w:ascii="Times New Roman" w:hAnsi="Times New Roman"/>
          <w:sz w:val="24"/>
          <w:szCs w:val="24"/>
        </w:rPr>
        <w:t xml:space="preserve"> le plus souvent des activités de subsistance.</w:t>
      </w:r>
    </w:p>
    <w:p w:rsidR="00401A60" w:rsidRPr="00F31609" w:rsidRDefault="00401A60" w:rsidP="00F305E5">
      <w:pPr>
        <w:pStyle w:val="Paragraphedeliste"/>
        <w:spacing w:line="240" w:lineRule="auto"/>
        <w:rPr>
          <w:rFonts w:ascii="Times New Roman" w:hAnsi="Times New Roman"/>
          <w:sz w:val="24"/>
          <w:szCs w:val="24"/>
        </w:rPr>
      </w:pPr>
    </w:p>
    <w:p w:rsidR="00CE79B0" w:rsidRDefault="00401A60">
      <w:pPr>
        <w:spacing w:line="276" w:lineRule="auto"/>
        <w:rPr>
          <w:rFonts w:ascii="Times New Roman" w:hAnsi="Times New Roman"/>
          <w:sz w:val="24"/>
          <w:szCs w:val="24"/>
        </w:rPr>
      </w:pPr>
      <w:r>
        <w:rPr>
          <w:rFonts w:ascii="Times New Roman" w:hAnsi="Times New Roman"/>
          <w:sz w:val="24"/>
          <w:szCs w:val="24"/>
        </w:rPr>
        <w:t>La combinaison de ces paradoxes du marché du travail béninois a pour conséquence la difficulté d’insertion des jeunes diplômés d’une part, et une forte inégalité sociale limitant ainsi la réduction de la pauvreté par la force du travail, d’autre part. Une solution serait de r</w:t>
      </w:r>
      <w:r w:rsidRPr="005A378F">
        <w:rPr>
          <w:rFonts w:ascii="Times New Roman" w:hAnsi="Times New Roman"/>
          <w:sz w:val="24"/>
          <w:szCs w:val="24"/>
        </w:rPr>
        <w:t>enforcer la collaboration entre les entreprises privées</w:t>
      </w:r>
      <w:r>
        <w:rPr>
          <w:rFonts w:ascii="Times New Roman" w:hAnsi="Times New Roman"/>
          <w:sz w:val="24"/>
          <w:szCs w:val="24"/>
        </w:rPr>
        <w:t xml:space="preserve"> et le système éducatif</w:t>
      </w:r>
      <w:r w:rsidR="00DE27D2">
        <w:rPr>
          <w:rFonts w:ascii="Times New Roman" w:hAnsi="Times New Roman"/>
          <w:sz w:val="24"/>
          <w:szCs w:val="24"/>
        </w:rPr>
        <w:t xml:space="preserve"> </w:t>
      </w:r>
      <w:r>
        <w:rPr>
          <w:rFonts w:ascii="Times New Roman" w:hAnsi="Times New Roman"/>
          <w:sz w:val="24"/>
          <w:szCs w:val="24"/>
        </w:rPr>
        <w:t xml:space="preserve">tout en </w:t>
      </w:r>
      <w:r w:rsidRPr="005A378F">
        <w:rPr>
          <w:rFonts w:ascii="Times New Roman" w:hAnsi="Times New Roman"/>
          <w:sz w:val="24"/>
          <w:szCs w:val="24"/>
        </w:rPr>
        <w:t>accélér</w:t>
      </w:r>
      <w:r>
        <w:rPr>
          <w:rFonts w:ascii="Times New Roman" w:hAnsi="Times New Roman"/>
          <w:sz w:val="24"/>
          <w:szCs w:val="24"/>
        </w:rPr>
        <w:t>ant</w:t>
      </w:r>
      <w:r w:rsidR="00DE27D2">
        <w:rPr>
          <w:rFonts w:ascii="Times New Roman" w:hAnsi="Times New Roman"/>
          <w:sz w:val="24"/>
          <w:szCs w:val="24"/>
        </w:rPr>
        <w:t xml:space="preserve"> </w:t>
      </w:r>
      <w:r>
        <w:rPr>
          <w:rFonts w:ascii="Times New Roman" w:hAnsi="Times New Roman"/>
          <w:sz w:val="24"/>
          <w:szCs w:val="24"/>
        </w:rPr>
        <w:t>la</w:t>
      </w:r>
      <w:r w:rsidR="00DE27D2">
        <w:rPr>
          <w:rFonts w:ascii="Times New Roman" w:hAnsi="Times New Roman"/>
          <w:sz w:val="24"/>
          <w:szCs w:val="24"/>
        </w:rPr>
        <w:t xml:space="preserve"> </w:t>
      </w:r>
      <w:r w:rsidRPr="005A378F">
        <w:rPr>
          <w:rFonts w:ascii="Times New Roman" w:hAnsi="Times New Roman"/>
          <w:sz w:val="24"/>
          <w:szCs w:val="24"/>
        </w:rPr>
        <w:t xml:space="preserve">transformation de l’économie par l’accroissement du secteur secondaire et </w:t>
      </w:r>
      <w:r w:rsidR="006F3886">
        <w:rPr>
          <w:rFonts w:ascii="Times New Roman" w:hAnsi="Times New Roman"/>
          <w:sz w:val="24"/>
          <w:szCs w:val="24"/>
        </w:rPr>
        <w:t>la</w:t>
      </w:r>
      <w:r w:rsidR="006F3886" w:rsidRPr="005A378F">
        <w:rPr>
          <w:rFonts w:ascii="Times New Roman" w:hAnsi="Times New Roman"/>
          <w:sz w:val="24"/>
          <w:szCs w:val="24"/>
        </w:rPr>
        <w:t xml:space="preserve"> professionnalis</w:t>
      </w:r>
      <w:r w:rsidR="006F3886">
        <w:rPr>
          <w:rFonts w:ascii="Times New Roman" w:hAnsi="Times New Roman"/>
          <w:sz w:val="24"/>
          <w:szCs w:val="24"/>
        </w:rPr>
        <w:t>ation</w:t>
      </w:r>
      <w:r w:rsidR="006F3886" w:rsidRPr="005A378F">
        <w:rPr>
          <w:rFonts w:ascii="Times New Roman" w:hAnsi="Times New Roman"/>
          <w:sz w:val="24"/>
          <w:szCs w:val="24"/>
        </w:rPr>
        <w:t xml:space="preserve"> </w:t>
      </w:r>
      <w:r w:rsidRPr="005A378F">
        <w:rPr>
          <w:rFonts w:ascii="Times New Roman" w:hAnsi="Times New Roman"/>
          <w:sz w:val="24"/>
          <w:szCs w:val="24"/>
        </w:rPr>
        <w:t>de l’agriculture</w:t>
      </w:r>
      <w:r>
        <w:rPr>
          <w:rFonts w:ascii="Times New Roman" w:hAnsi="Times New Roman"/>
          <w:sz w:val="24"/>
          <w:szCs w:val="24"/>
        </w:rPr>
        <w:t xml:space="preserve">. Le rapprochement de la formation des entreprises facilitera l’insertion des diplômés sur le marché du travail d’une part, et permettra au secteur privé de disposer d’une main-d’œuvre efficace et opérationnelle d’autre part. La transformation de l’économie à travers le développement du secteur secondaire intégré à l’agriculture permettra </w:t>
      </w:r>
      <w:r w:rsidR="006F3886">
        <w:rPr>
          <w:rFonts w:ascii="Times New Roman" w:hAnsi="Times New Roman"/>
          <w:sz w:val="24"/>
          <w:szCs w:val="24"/>
        </w:rPr>
        <w:t xml:space="preserve">d’accroître </w:t>
      </w:r>
      <w:r>
        <w:rPr>
          <w:rFonts w:ascii="Times New Roman" w:hAnsi="Times New Roman"/>
          <w:sz w:val="24"/>
          <w:szCs w:val="24"/>
        </w:rPr>
        <w:t>la productivité dans le secteur agricole créant ainsi une croissance inclusive. Ce qui sera plus efficace à la réduction de la pauvreté.</w:t>
      </w:r>
    </w:p>
    <w:p w:rsidR="00516018" w:rsidRDefault="00516018">
      <w:pPr>
        <w:spacing w:line="276" w:lineRule="auto"/>
        <w:rPr>
          <w:rFonts w:ascii="Times New Roman" w:hAnsi="Times New Roman"/>
          <w:sz w:val="24"/>
          <w:szCs w:val="24"/>
        </w:rPr>
        <w:sectPr w:rsidR="00516018" w:rsidSect="00977A02">
          <w:headerReference w:type="default" r:id="rId74"/>
          <w:footerReference w:type="default" r:id="rId75"/>
          <w:pgSz w:w="11906" w:h="16838"/>
          <w:pgMar w:top="1219" w:right="1418" w:bottom="1418" w:left="1418" w:header="284" w:footer="708" w:gutter="0"/>
          <w:cols w:space="708"/>
          <w:docGrid w:linePitch="360"/>
        </w:sectPr>
      </w:pPr>
    </w:p>
    <w:p w:rsidR="006013EE" w:rsidRPr="00516018" w:rsidRDefault="006013EE">
      <w:pPr>
        <w:spacing w:line="276" w:lineRule="auto"/>
        <w:rPr>
          <w:rFonts w:ascii="Times New Roman" w:hAnsi="Times New Roman"/>
          <w:sz w:val="6"/>
          <w:szCs w:val="6"/>
        </w:r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744E9A" w:rsidTr="00744E9A">
        <w:trPr>
          <w:trHeight w:val="1696"/>
        </w:trPr>
        <w:tc>
          <w:tcPr>
            <w:tcW w:w="1418" w:type="dxa"/>
            <w:tcBorders>
              <w:right w:val="thinThickSmallGap" w:sz="24" w:space="0" w:color="FFFFFF" w:themeColor="background1"/>
            </w:tcBorders>
            <w:shd w:val="clear" w:color="auto" w:fill="92CDDC" w:themeFill="accent5" w:themeFillTint="99"/>
          </w:tcPr>
          <w:p w:rsidR="00744E9A" w:rsidRPr="00494CC8" w:rsidRDefault="00744E9A" w:rsidP="00744E9A">
            <w:pPr>
              <w:pStyle w:val="Titre1"/>
              <w:jc w:val="center"/>
              <w:outlineLvl w:val="0"/>
              <w:rPr>
                <w:rFonts w:ascii="Times New Roman" w:hAnsi="Times New Roman" w:cs="Times New Roman"/>
                <w:sz w:val="28"/>
                <w:szCs w:val="28"/>
              </w:rPr>
            </w:pP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744E9A" w:rsidRPr="00E04E53" w:rsidRDefault="00744E9A" w:rsidP="00744E9A">
            <w:pPr>
              <w:pStyle w:val="Titre1"/>
              <w:spacing w:before="120" w:after="0" w:line="240" w:lineRule="auto"/>
              <w:jc w:val="center"/>
              <w:outlineLvl w:val="0"/>
              <w:rPr>
                <w:rFonts w:ascii="Times New Roman" w:hAnsi="Times New Roman" w:cs="Times New Roman"/>
                <w:sz w:val="52"/>
                <w:szCs w:val="52"/>
              </w:rPr>
            </w:pPr>
            <w:bookmarkStart w:id="185" w:name="_Toc382322952"/>
            <w:r w:rsidRPr="00E04E53">
              <w:rPr>
                <w:rFonts w:ascii="Times New Roman" w:hAnsi="Times New Roman" w:cs="Times New Roman"/>
                <w:sz w:val="52"/>
                <w:szCs w:val="52"/>
              </w:rPr>
              <w:t>CHAPITRE</w:t>
            </w:r>
            <w:bookmarkEnd w:id="185"/>
          </w:p>
          <w:p w:rsidR="00744E9A" w:rsidRPr="00E04E53" w:rsidRDefault="00744E9A" w:rsidP="00744E9A">
            <w:pPr>
              <w:pStyle w:val="Titre1"/>
              <w:spacing w:before="0" w:after="0" w:line="240" w:lineRule="auto"/>
              <w:jc w:val="center"/>
              <w:outlineLvl w:val="0"/>
              <w:rPr>
                <w:rFonts w:ascii="Times New Roman" w:hAnsi="Times New Roman" w:cs="Times New Roman"/>
                <w:sz w:val="96"/>
                <w:szCs w:val="96"/>
              </w:rPr>
            </w:pPr>
            <w:bookmarkStart w:id="186" w:name="_Toc382322953"/>
            <w:r>
              <w:rPr>
                <w:rFonts w:ascii="Times New Roman" w:hAnsi="Times New Roman" w:cs="Times New Roman"/>
                <w:sz w:val="96"/>
                <w:szCs w:val="96"/>
              </w:rPr>
              <w:t>6</w:t>
            </w:r>
            <w:bookmarkEnd w:id="186"/>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744E9A" w:rsidRDefault="00744E9A" w:rsidP="00744E9A">
            <w:pPr>
              <w:pStyle w:val="Titre1"/>
              <w:spacing w:line="240" w:lineRule="auto"/>
              <w:jc w:val="left"/>
              <w:outlineLvl w:val="0"/>
              <w:rPr>
                <w:rFonts w:ascii="Times New Roman" w:hAnsi="Times New Roman" w:cs="Times New Roman"/>
                <w:sz w:val="52"/>
                <w:szCs w:val="52"/>
              </w:rPr>
            </w:pPr>
            <w:bookmarkStart w:id="187" w:name="_Toc382322954"/>
            <w:r w:rsidRPr="00013983">
              <w:rPr>
                <w:rFonts w:ascii="Times New Roman" w:hAnsi="Times New Roman" w:cs="Times New Roman"/>
                <w:sz w:val="52"/>
                <w:szCs w:val="52"/>
              </w:rPr>
              <w:t>Inégalités d’accès</w:t>
            </w:r>
            <w:r>
              <w:rPr>
                <w:rFonts w:ascii="Times New Roman" w:hAnsi="Times New Roman" w:cs="Times New Roman"/>
                <w:sz w:val="52"/>
                <w:szCs w:val="52"/>
              </w:rPr>
              <w:t xml:space="preserve"> et de bénéfices entre sexe</w:t>
            </w:r>
            <w:r w:rsidR="00921FDA">
              <w:rPr>
                <w:rFonts w:ascii="Times New Roman" w:hAnsi="Times New Roman" w:cs="Times New Roman"/>
                <w:sz w:val="52"/>
                <w:szCs w:val="52"/>
              </w:rPr>
              <w:t>s</w:t>
            </w:r>
            <w:bookmarkEnd w:id="187"/>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744E9A" w:rsidRPr="00E04E53" w:rsidRDefault="00744E9A" w:rsidP="00744E9A">
            <w:pPr>
              <w:pStyle w:val="Titre1"/>
              <w:spacing w:line="240" w:lineRule="auto"/>
              <w:jc w:val="center"/>
              <w:outlineLvl w:val="0"/>
              <w:rPr>
                <w:rFonts w:ascii="Times New Roman" w:hAnsi="Times New Roman" w:cs="Times New Roman"/>
                <w:sz w:val="52"/>
                <w:szCs w:val="52"/>
              </w:rPr>
            </w:pPr>
          </w:p>
        </w:tc>
      </w:tr>
    </w:tbl>
    <w:p w:rsidR="00554AF3" w:rsidRPr="00670743" w:rsidRDefault="00554AF3" w:rsidP="00AB68B9">
      <w:pPr>
        <w:spacing w:line="276" w:lineRule="auto"/>
        <w:jc w:val="center"/>
        <w:rPr>
          <w:rFonts w:ascii="Times New Roman" w:hAnsi="Times New Roman"/>
          <w:b/>
          <w:sz w:val="12"/>
          <w:szCs w:val="12"/>
        </w:rPr>
      </w:pPr>
    </w:p>
    <w:p w:rsidR="00767C6D" w:rsidRDefault="00767C6D" w:rsidP="00744E9A">
      <w:pPr>
        <w:spacing w:line="276" w:lineRule="auto"/>
        <w:rPr>
          <w:rFonts w:ascii="Times New Roman" w:hAnsi="Times New Roman"/>
          <w:b/>
          <w:sz w:val="24"/>
          <w:szCs w:val="24"/>
        </w:rPr>
      </w:pPr>
    </w:p>
    <w:p w:rsidR="00E00AD9" w:rsidRPr="00670743" w:rsidRDefault="00E00AD9" w:rsidP="00670743">
      <w:pPr>
        <w:pStyle w:val="Titre2"/>
        <w:spacing w:before="0" w:after="0"/>
        <w:rPr>
          <w:rFonts w:ascii="Times New Roman" w:hAnsi="Times New Roman" w:cs="Times New Roman"/>
          <w:i w:val="0"/>
          <w:color w:val="31849B" w:themeColor="accent5" w:themeShade="BF"/>
        </w:rPr>
      </w:pPr>
      <w:bookmarkStart w:id="188" w:name="_Toc382322955"/>
      <w:r w:rsidRPr="00670743">
        <w:rPr>
          <w:rFonts w:ascii="Times New Roman" w:hAnsi="Times New Roman" w:cs="Times New Roman"/>
          <w:i w:val="0"/>
          <w:color w:val="31849B" w:themeColor="accent5" w:themeShade="BF"/>
        </w:rPr>
        <w:t>6.1</w:t>
      </w:r>
      <w:r w:rsidR="0090796E">
        <w:rPr>
          <w:rFonts w:ascii="Times New Roman" w:hAnsi="Times New Roman" w:cs="Times New Roman"/>
          <w:i w:val="0"/>
          <w:color w:val="31849B" w:themeColor="accent5" w:themeShade="BF"/>
        </w:rPr>
        <w:t xml:space="preserve"> </w:t>
      </w:r>
      <w:r w:rsidRPr="00670743">
        <w:rPr>
          <w:rFonts w:ascii="Times New Roman" w:hAnsi="Times New Roman" w:cs="Times New Roman"/>
          <w:i w:val="0"/>
          <w:color w:val="31849B" w:themeColor="accent5" w:themeShade="BF"/>
        </w:rPr>
        <w:t>Introduction</w:t>
      </w:r>
      <w:bookmarkEnd w:id="188"/>
    </w:p>
    <w:p w:rsidR="00A044E1" w:rsidRPr="00670743" w:rsidRDefault="00A044E1" w:rsidP="00744E9A">
      <w:pPr>
        <w:pStyle w:val="Corpsdetexte"/>
        <w:spacing w:after="0" w:line="240" w:lineRule="auto"/>
        <w:rPr>
          <w:rFonts w:ascii="Times New Roman" w:eastAsia="Arial Unicode MS" w:hAnsi="Times New Roman"/>
          <w:b/>
          <w:sz w:val="24"/>
          <w:szCs w:val="24"/>
        </w:rPr>
      </w:pPr>
    </w:p>
    <w:p w:rsidR="00E00AD9" w:rsidRDefault="00E00AD9" w:rsidP="00F305E5">
      <w:pPr>
        <w:pStyle w:val="Corpsdetexte"/>
        <w:spacing w:after="0" w:line="276" w:lineRule="auto"/>
        <w:rPr>
          <w:rFonts w:ascii="Times New Roman" w:eastAsia="Arial Unicode MS" w:hAnsi="Times New Roman"/>
          <w:sz w:val="24"/>
          <w:szCs w:val="24"/>
        </w:rPr>
      </w:pPr>
      <w:r>
        <w:rPr>
          <w:rFonts w:ascii="Times New Roman" w:eastAsia="Arial Unicode MS" w:hAnsi="Times New Roman"/>
          <w:sz w:val="24"/>
          <w:szCs w:val="24"/>
        </w:rPr>
        <w:t>Comme par le passé, les résultats obtenus  de l’analyse du profil et de la dynamique de la pauvreté montrent que les ménages dirigés par les femmes sont moins pauvres que ceux dirigés par les hommes. Cependant, les ménages dirigés par les femmes semblent relativement plus vulnérables</w:t>
      </w:r>
      <w:r w:rsidR="0041521E">
        <w:rPr>
          <w:rFonts w:ascii="Times New Roman" w:eastAsia="Arial Unicode MS" w:hAnsi="Times New Roman"/>
          <w:sz w:val="24"/>
          <w:szCs w:val="24"/>
        </w:rPr>
        <w:t xml:space="preserve"> à la pauvreté</w:t>
      </w:r>
      <w:r>
        <w:rPr>
          <w:rFonts w:ascii="Times New Roman" w:eastAsia="Arial Unicode MS" w:hAnsi="Times New Roman"/>
          <w:sz w:val="24"/>
          <w:szCs w:val="24"/>
        </w:rPr>
        <w:t xml:space="preserve"> que ceux dirigés  par les hommes et leur niveau de pauvreté monétaire actuel s’expliquerait par la taille réduite et la composition de leur ménage. En effet à taille égale, la proportion de </w:t>
      </w:r>
      <w:r w:rsidR="00356C9A">
        <w:rPr>
          <w:rFonts w:ascii="Times New Roman" w:eastAsia="Arial Unicode MS" w:hAnsi="Times New Roman"/>
          <w:sz w:val="24"/>
          <w:szCs w:val="24"/>
        </w:rPr>
        <w:t xml:space="preserve">ménages </w:t>
      </w:r>
      <w:r>
        <w:rPr>
          <w:rFonts w:ascii="Times New Roman" w:eastAsia="Arial Unicode MS" w:hAnsi="Times New Roman"/>
          <w:sz w:val="24"/>
          <w:szCs w:val="24"/>
        </w:rPr>
        <w:t xml:space="preserve">pauvres dirigés par les femmes est plus élevée que ceux dirigés par les hommes. Au regard des résultats issus de l’analyse de la relation </w:t>
      </w:r>
      <w:r w:rsidR="00921FDA">
        <w:rPr>
          <w:rFonts w:ascii="Times New Roman" w:eastAsia="Arial Unicode MS" w:hAnsi="Times New Roman"/>
          <w:sz w:val="24"/>
          <w:szCs w:val="24"/>
        </w:rPr>
        <w:t xml:space="preserve">entre </w:t>
      </w:r>
      <w:r>
        <w:rPr>
          <w:rFonts w:ascii="Times New Roman" w:eastAsia="Arial Unicode MS" w:hAnsi="Times New Roman"/>
          <w:sz w:val="24"/>
          <w:szCs w:val="24"/>
        </w:rPr>
        <w:t xml:space="preserve">la pauvreté et l’emploi, tout laisse à croire que la vulnérabilité économique </w:t>
      </w:r>
      <w:r w:rsidRPr="001064B7">
        <w:rPr>
          <w:rFonts w:ascii="Times New Roman" w:eastAsia="Arial Unicode MS" w:hAnsi="Times New Roman"/>
          <w:sz w:val="24"/>
          <w:szCs w:val="24"/>
        </w:rPr>
        <w:t xml:space="preserve">est en partie liée </w:t>
      </w:r>
      <w:r>
        <w:rPr>
          <w:rFonts w:ascii="Times New Roman" w:eastAsia="Arial Unicode MS" w:hAnsi="Times New Roman"/>
          <w:sz w:val="24"/>
          <w:szCs w:val="24"/>
        </w:rPr>
        <w:t xml:space="preserve">à </w:t>
      </w:r>
      <w:r w:rsidRPr="001064B7">
        <w:rPr>
          <w:rFonts w:ascii="Times New Roman" w:eastAsia="Arial Unicode MS" w:hAnsi="Times New Roman"/>
          <w:sz w:val="24"/>
          <w:szCs w:val="24"/>
        </w:rPr>
        <w:t>la</w:t>
      </w:r>
      <w:r>
        <w:rPr>
          <w:rFonts w:ascii="Times New Roman" w:eastAsia="Arial Unicode MS" w:hAnsi="Times New Roman"/>
          <w:sz w:val="24"/>
          <w:szCs w:val="24"/>
        </w:rPr>
        <w:t xml:space="preserve"> situation</w:t>
      </w:r>
      <w:r w:rsidRPr="001064B7">
        <w:rPr>
          <w:rFonts w:ascii="Times New Roman" w:eastAsia="Arial Unicode MS" w:hAnsi="Times New Roman"/>
          <w:sz w:val="24"/>
          <w:szCs w:val="24"/>
        </w:rPr>
        <w:t xml:space="preserve"> des femmes </w:t>
      </w:r>
      <w:r>
        <w:rPr>
          <w:rFonts w:ascii="Times New Roman" w:eastAsia="Arial Unicode MS" w:hAnsi="Times New Roman"/>
          <w:sz w:val="24"/>
          <w:szCs w:val="24"/>
        </w:rPr>
        <w:t xml:space="preserve"> sur le marché du travail et à la qualité de l’emploi occupé. </w:t>
      </w:r>
      <w:r w:rsidRPr="001064B7">
        <w:rPr>
          <w:rFonts w:ascii="Times New Roman" w:eastAsia="Arial Unicode MS" w:hAnsi="Times New Roman"/>
          <w:sz w:val="24"/>
          <w:szCs w:val="24"/>
        </w:rPr>
        <w:t xml:space="preserve">Ce constat est aussi valable pour les ménages dirigés par les hommes. </w:t>
      </w:r>
      <w:r>
        <w:rPr>
          <w:rFonts w:ascii="Times New Roman" w:eastAsia="Arial Unicode MS" w:hAnsi="Times New Roman"/>
          <w:sz w:val="24"/>
          <w:szCs w:val="24"/>
        </w:rPr>
        <w:t>En effet,</w:t>
      </w:r>
      <w:r w:rsidRPr="001064B7">
        <w:rPr>
          <w:rFonts w:ascii="Times New Roman" w:eastAsia="Arial Unicode MS" w:hAnsi="Times New Roman"/>
          <w:sz w:val="24"/>
          <w:szCs w:val="24"/>
        </w:rPr>
        <w:t xml:space="preserve"> les résultats montrent que </w:t>
      </w:r>
      <w:r>
        <w:rPr>
          <w:rFonts w:ascii="Times New Roman" w:eastAsia="Arial Unicode MS" w:hAnsi="Times New Roman"/>
          <w:sz w:val="24"/>
          <w:szCs w:val="24"/>
        </w:rPr>
        <w:t xml:space="preserve">les femmes sont </w:t>
      </w:r>
      <w:r w:rsidRPr="001064B7">
        <w:rPr>
          <w:rFonts w:ascii="Times New Roman" w:eastAsia="Arial Unicode MS" w:hAnsi="Times New Roman"/>
          <w:sz w:val="24"/>
          <w:szCs w:val="24"/>
        </w:rPr>
        <w:t xml:space="preserve">globalement </w:t>
      </w:r>
      <w:r>
        <w:rPr>
          <w:rFonts w:ascii="Times New Roman" w:eastAsia="Arial Unicode MS" w:hAnsi="Times New Roman"/>
          <w:sz w:val="24"/>
          <w:szCs w:val="24"/>
        </w:rPr>
        <w:t>plus touchées pa</w:t>
      </w:r>
      <w:r w:rsidRPr="001064B7">
        <w:rPr>
          <w:rFonts w:ascii="Times New Roman" w:eastAsia="Arial Unicode MS" w:hAnsi="Times New Roman"/>
          <w:sz w:val="24"/>
          <w:szCs w:val="24"/>
        </w:rPr>
        <w:t>r le sous-emploi que les hommes</w:t>
      </w:r>
      <w:r w:rsidR="0041521E">
        <w:rPr>
          <w:rFonts w:ascii="Times New Roman" w:eastAsia="Arial Unicode MS" w:hAnsi="Times New Roman"/>
          <w:sz w:val="24"/>
          <w:szCs w:val="24"/>
        </w:rPr>
        <w:t xml:space="preserve"> </w:t>
      </w:r>
      <w:r w:rsidRPr="001064B7">
        <w:rPr>
          <w:rFonts w:ascii="Times New Roman" w:eastAsia="Arial Unicode MS" w:hAnsi="Times New Roman"/>
          <w:sz w:val="24"/>
          <w:szCs w:val="24"/>
        </w:rPr>
        <w:t>avec une nette discrimination en ce qui concerne le sous-emploi lié au revenu de l’activité principale</w:t>
      </w:r>
      <w:r>
        <w:rPr>
          <w:rFonts w:ascii="Times New Roman" w:eastAsia="Arial Unicode MS" w:hAnsi="Times New Roman"/>
          <w:sz w:val="24"/>
          <w:szCs w:val="24"/>
        </w:rPr>
        <w:t xml:space="preserve">. </w:t>
      </w:r>
      <w:r w:rsidRPr="001064B7">
        <w:rPr>
          <w:rFonts w:ascii="Times New Roman" w:eastAsia="Arial Unicode MS" w:hAnsi="Times New Roman"/>
          <w:sz w:val="24"/>
          <w:szCs w:val="24"/>
        </w:rPr>
        <w:t xml:space="preserve">S’il n’existe pas </w:t>
      </w:r>
      <w:r w:rsidR="00921FDA">
        <w:rPr>
          <w:rFonts w:ascii="Times New Roman" w:eastAsia="Arial Unicode MS" w:hAnsi="Times New Roman"/>
          <w:sz w:val="24"/>
          <w:szCs w:val="24"/>
        </w:rPr>
        <w:t>de</w:t>
      </w:r>
      <w:r>
        <w:rPr>
          <w:rFonts w:ascii="Times New Roman" w:eastAsia="Arial Unicode MS" w:hAnsi="Times New Roman"/>
          <w:sz w:val="24"/>
          <w:szCs w:val="24"/>
        </w:rPr>
        <w:t xml:space="preserve"> différence significative en matière de sous-emploi lié à la durée du travail entre les individus vivant dans des ménages dirigés par un homme et ceux vivant dans de</w:t>
      </w:r>
      <w:r w:rsidRPr="001064B7">
        <w:rPr>
          <w:rFonts w:ascii="Times New Roman" w:eastAsia="Arial Unicode MS" w:hAnsi="Times New Roman"/>
          <w:sz w:val="24"/>
          <w:szCs w:val="24"/>
        </w:rPr>
        <w:t xml:space="preserve">s ménages dirigés par une femme, </w:t>
      </w:r>
      <w:r>
        <w:rPr>
          <w:rFonts w:ascii="Times New Roman" w:eastAsia="Arial Unicode MS" w:hAnsi="Times New Roman"/>
          <w:sz w:val="24"/>
          <w:szCs w:val="24"/>
        </w:rPr>
        <w:t xml:space="preserve"> le sous-emploi emploi lié au revenu discrimine ces deux catégories.</w:t>
      </w:r>
      <w:r w:rsidR="0041521E">
        <w:rPr>
          <w:rFonts w:ascii="Times New Roman" w:eastAsia="Arial Unicode MS" w:hAnsi="Times New Roman"/>
          <w:sz w:val="24"/>
          <w:szCs w:val="24"/>
        </w:rPr>
        <w:t xml:space="preserve"> </w:t>
      </w:r>
      <w:r>
        <w:rPr>
          <w:rFonts w:ascii="Times New Roman" w:eastAsia="Arial Unicode MS" w:hAnsi="Times New Roman"/>
          <w:sz w:val="24"/>
          <w:szCs w:val="24"/>
        </w:rPr>
        <w:t>Par ailleurs, 84,4% des actifs vivent dans des ménages dirigés par un homme contre 15,6% pour les ménages dirigés par une femme.</w:t>
      </w:r>
    </w:p>
    <w:p w:rsidR="00E00AD9" w:rsidRDefault="00E00AD9" w:rsidP="00F305E5">
      <w:pPr>
        <w:spacing w:line="240" w:lineRule="auto"/>
        <w:rPr>
          <w:rFonts w:ascii="Times New Roman" w:eastAsia="Arial Unicode MS" w:hAnsi="Times New Roman"/>
          <w:sz w:val="24"/>
          <w:szCs w:val="24"/>
        </w:rPr>
      </w:pPr>
    </w:p>
    <w:p w:rsidR="00E00AD9" w:rsidRDefault="00E00AD9" w:rsidP="00F305E5">
      <w:pPr>
        <w:spacing w:line="276" w:lineRule="auto"/>
        <w:rPr>
          <w:rFonts w:ascii="Times New Roman" w:eastAsia="Arial Unicode MS" w:hAnsi="Times New Roman"/>
          <w:sz w:val="24"/>
          <w:szCs w:val="24"/>
        </w:rPr>
      </w:pPr>
      <w:r>
        <w:rPr>
          <w:rFonts w:ascii="Times New Roman" w:eastAsia="Arial Unicode MS" w:hAnsi="Times New Roman"/>
          <w:sz w:val="24"/>
          <w:szCs w:val="24"/>
        </w:rPr>
        <w:t>Ce chapitre vise à apporter un éclairage sur l</w:t>
      </w:r>
      <w:r w:rsidRPr="001064B7">
        <w:rPr>
          <w:rFonts w:ascii="Times New Roman" w:eastAsia="Arial Unicode MS" w:hAnsi="Times New Roman"/>
          <w:sz w:val="24"/>
          <w:szCs w:val="24"/>
        </w:rPr>
        <w:t>e niveau et les</w:t>
      </w:r>
      <w:r>
        <w:rPr>
          <w:rFonts w:ascii="Times New Roman" w:eastAsia="Arial Unicode MS" w:hAnsi="Times New Roman"/>
          <w:sz w:val="24"/>
          <w:szCs w:val="24"/>
        </w:rPr>
        <w:t xml:space="preserve"> facteurs qui conditionnent </w:t>
      </w:r>
      <w:r w:rsidRPr="001064B7">
        <w:rPr>
          <w:rFonts w:ascii="Times New Roman" w:eastAsia="Arial Unicode MS" w:hAnsi="Times New Roman"/>
          <w:sz w:val="24"/>
          <w:szCs w:val="24"/>
        </w:rPr>
        <w:t>l’inégalité d’accès des ménages selon le genre</w:t>
      </w:r>
      <w:r>
        <w:rPr>
          <w:rFonts w:ascii="Times New Roman" w:eastAsia="Arial Unicode MS" w:hAnsi="Times New Roman"/>
          <w:sz w:val="24"/>
          <w:szCs w:val="24"/>
        </w:rPr>
        <w:t>.</w:t>
      </w:r>
    </w:p>
    <w:p w:rsidR="00E00AD9" w:rsidRDefault="00E00AD9" w:rsidP="00F305E5">
      <w:pPr>
        <w:spacing w:line="240" w:lineRule="auto"/>
        <w:rPr>
          <w:rFonts w:ascii="Times New Roman" w:eastAsia="Arial Unicode MS" w:hAnsi="Times New Roman"/>
          <w:sz w:val="24"/>
          <w:szCs w:val="24"/>
        </w:rPr>
      </w:pPr>
    </w:p>
    <w:p w:rsidR="00E00AD9" w:rsidRDefault="00E00AD9" w:rsidP="00E00AD9">
      <w:pPr>
        <w:spacing w:line="276" w:lineRule="auto"/>
        <w:rPr>
          <w:rFonts w:ascii="Times New Roman" w:eastAsia="Arial Unicode MS" w:hAnsi="Times New Roman"/>
          <w:sz w:val="24"/>
          <w:szCs w:val="24"/>
        </w:rPr>
      </w:pPr>
      <w:r w:rsidRPr="001064B7">
        <w:rPr>
          <w:rFonts w:ascii="Times New Roman" w:eastAsia="Arial Unicode MS" w:hAnsi="Times New Roman"/>
          <w:sz w:val="24"/>
          <w:szCs w:val="24"/>
        </w:rPr>
        <w:t xml:space="preserve">Il est organisé autour de trois principaux points. Le premier point porte sur l’analyse des indicateurs d’accès. Le second point traite de la relation entre les inégalités d’accès et le statut de pauvreté. Enfin le troisième présente </w:t>
      </w:r>
      <w:r w:rsidR="00921FDA">
        <w:rPr>
          <w:rFonts w:ascii="Times New Roman" w:eastAsia="Arial Unicode MS" w:hAnsi="Times New Roman"/>
          <w:sz w:val="24"/>
          <w:szCs w:val="24"/>
        </w:rPr>
        <w:t xml:space="preserve">les </w:t>
      </w:r>
      <w:r w:rsidRPr="001064B7">
        <w:rPr>
          <w:rFonts w:ascii="Times New Roman" w:eastAsia="Arial Unicode MS" w:hAnsi="Times New Roman"/>
          <w:sz w:val="24"/>
          <w:szCs w:val="24"/>
        </w:rPr>
        <w:t>obstacles liés aux inégalités d’accès entre sexe</w:t>
      </w:r>
      <w:r w:rsidR="00921FDA">
        <w:rPr>
          <w:rFonts w:ascii="Times New Roman" w:eastAsia="Arial Unicode MS" w:hAnsi="Times New Roman"/>
          <w:sz w:val="24"/>
          <w:szCs w:val="24"/>
        </w:rPr>
        <w:t>s.</w:t>
      </w:r>
    </w:p>
    <w:p w:rsidR="00E00AD9" w:rsidRDefault="00E00AD9" w:rsidP="00E00AD9">
      <w:pPr>
        <w:spacing w:line="276" w:lineRule="auto"/>
        <w:rPr>
          <w:rFonts w:ascii="Times New Roman" w:eastAsia="Arial Unicode MS" w:hAnsi="Times New Roman"/>
          <w:sz w:val="24"/>
          <w:szCs w:val="24"/>
        </w:rPr>
      </w:pPr>
    </w:p>
    <w:p w:rsidR="00E00AD9" w:rsidRPr="00670743" w:rsidRDefault="00744E9A" w:rsidP="00670743">
      <w:pPr>
        <w:pStyle w:val="Titre2"/>
        <w:spacing w:before="0" w:after="0"/>
        <w:rPr>
          <w:rFonts w:ascii="Times New Roman" w:hAnsi="Times New Roman" w:cs="Times New Roman"/>
          <w:i w:val="0"/>
          <w:color w:val="31849B" w:themeColor="accent5" w:themeShade="BF"/>
        </w:rPr>
      </w:pPr>
      <w:bookmarkStart w:id="189" w:name="_Toc382322956"/>
      <w:r w:rsidRPr="00670743">
        <w:rPr>
          <w:rFonts w:ascii="Times New Roman" w:hAnsi="Times New Roman" w:cs="Times New Roman"/>
          <w:i w:val="0"/>
          <w:color w:val="31849B" w:themeColor="accent5" w:themeShade="BF"/>
        </w:rPr>
        <w:t xml:space="preserve">6.2  </w:t>
      </w:r>
      <w:r w:rsidR="00E00AD9" w:rsidRPr="00670743">
        <w:rPr>
          <w:rFonts w:ascii="Times New Roman" w:hAnsi="Times New Roman" w:cs="Times New Roman"/>
          <w:i w:val="0"/>
          <w:color w:val="31849B" w:themeColor="accent5" w:themeShade="BF"/>
        </w:rPr>
        <w:t>Inégalité d’accès entre sexe</w:t>
      </w:r>
      <w:r w:rsidR="00921FDA">
        <w:rPr>
          <w:rFonts w:ascii="Times New Roman" w:hAnsi="Times New Roman" w:cs="Times New Roman"/>
          <w:i w:val="0"/>
          <w:color w:val="31849B" w:themeColor="accent5" w:themeShade="BF"/>
        </w:rPr>
        <w:t>s</w:t>
      </w:r>
      <w:bookmarkEnd w:id="189"/>
    </w:p>
    <w:p w:rsidR="00E00AD9" w:rsidRPr="00670743" w:rsidRDefault="00E00AD9" w:rsidP="00744E9A">
      <w:pPr>
        <w:pStyle w:val="Corpsdetexte"/>
        <w:spacing w:after="0" w:line="240" w:lineRule="auto"/>
        <w:rPr>
          <w:rFonts w:ascii="Times New Roman" w:hAnsi="Times New Roman"/>
          <w:sz w:val="16"/>
          <w:szCs w:val="16"/>
        </w:rPr>
      </w:pPr>
    </w:p>
    <w:p w:rsidR="00E00AD9" w:rsidRDefault="00E00AD9" w:rsidP="00E00AD9">
      <w:pPr>
        <w:pStyle w:val="Corpsdetexte"/>
        <w:spacing w:line="276" w:lineRule="auto"/>
        <w:rPr>
          <w:rFonts w:ascii="Times New Roman" w:hAnsi="Times New Roman"/>
          <w:b/>
          <w:sz w:val="24"/>
          <w:szCs w:val="24"/>
        </w:rPr>
      </w:pPr>
      <w:r>
        <w:rPr>
          <w:rFonts w:ascii="Times New Roman" w:hAnsi="Times New Roman"/>
          <w:sz w:val="24"/>
          <w:szCs w:val="24"/>
        </w:rPr>
        <w:t xml:space="preserve">Pour appréhender l’inégalité d’accès, nous utilisons l’Indice de Développement et des Inégalités entre les Sexes en Afrique (IDISA). Il est un indicateur conçu par la Commission Economique Africaine pour permettre aux pays africains de mesurer les progrès réalisés dans le domaine de la promotion des droits de la femme. </w:t>
      </w:r>
    </w:p>
    <w:p w:rsidR="00E00AD9" w:rsidRDefault="00E00AD9" w:rsidP="00E00AD9">
      <w:pPr>
        <w:pStyle w:val="Corpsdetexte"/>
        <w:spacing w:line="276" w:lineRule="auto"/>
        <w:rPr>
          <w:rFonts w:ascii="Times New Roman" w:hAnsi="Times New Roman"/>
          <w:sz w:val="24"/>
          <w:szCs w:val="24"/>
        </w:rPr>
      </w:pPr>
      <w:r w:rsidRPr="006A6BFD">
        <w:rPr>
          <w:rFonts w:ascii="Times New Roman" w:hAnsi="Times New Roman"/>
          <w:sz w:val="24"/>
          <w:szCs w:val="24"/>
        </w:rPr>
        <w:t>L’IDISA est un indice composi</w:t>
      </w:r>
      <w:r>
        <w:rPr>
          <w:rFonts w:ascii="Times New Roman" w:hAnsi="Times New Roman"/>
          <w:sz w:val="24"/>
          <w:szCs w:val="24"/>
        </w:rPr>
        <w:t>te comportant deux parties, un I</w:t>
      </w:r>
      <w:r w:rsidRPr="006A6BFD">
        <w:rPr>
          <w:rFonts w:ascii="Times New Roman" w:hAnsi="Times New Roman"/>
          <w:sz w:val="24"/>
          <w:szCs w:val="24"/>
        </w:rPr>
        <w:t xml:space="preserve">ndice de la </w:t>
      </w:r>
      <w:r w:rsidR="00921FDA">
        <w:rPr>
          <w:rFonts w:ascii="Times New Roman" w:hAnsi="Times New Roman"/>
          <w:sz w:val="24"/>
          <w:szCs w:val="24"/>
        </w:rPr>
        <w:t>C</w:t>
      </w:r>
      <w:r w:rsidR="00921FDA" w:rsidRPr="006A6BFD">
        <w:rPr>
          <w:rFonts w:ascii="Times New Roman" w:hAnsi="Times New Roman"/>
          <w:sz w:val="24"/>
          <w:szCs w:val="24"/>
        </w:rPr>
        <w:t xml:space="preserve">ondition </w:t>
      </w:r>
      <w:r w:rsidRPr="006A6BFD">
        <w:rPr>
          <w:rFonts w:ascii="Times New Roman" w:hAnsi="Times New Roman"/>
          <w:sz w:val="24"/>
          <w:szCs w:val="24"/>
        </w:rPr>
        <w:t xml:space="preserve">de la </w:t>
      </w:r>
      <w:r w:rsidR="00921FDA">
        <w:rPr>
          <w:rFonts w:ascii="Times New Roman" w:hAnsi="Times New Roman"/>
          <w:sz w:val="24"/>
          <w:szCs w:val="24"/>
        </w:rPr>
        <w:t>F</w:t>
      </w:r>
      <w:r w:rsidR="00921FDA" w:rsidRPr="006A6BFD">
        <w:rPr>
          <w:rFonts w:ascii="Times New Roman" w:hAnsi="Times New Roman"/>
          <w:sz w:val="24"/>
          <w:szCs w:val="24"/>
        </w:rPr>
        <w:t xml:space="preserve">emme </w:t>
      </w:r>
      <w:r w:rsidRPr="006A6BFD">
        <w:rPr>
          <w:rFonts w:ascii="Times New Roman" w:hAnsi="Times New Roman"/>
          <w:sz w:val="24"/>
          <w:szCs w:val="24"/>
        </w:rPr>
        <w:t xml:space="preserve">(ICF) et le Tableau de </w:t>
      </w:r>
      <w:r w:rsidR="00921FDA">
        <w:rPr>
          <w:rFonts w:ascii="Times New Roman" w:hAnsi="Times New Roman"/>
          <w:sz w:val="24"/>
          <w:szCs w:val="24"/>
        </w:rPr>
        <w:t>B</w:t>
      </w:r>
      <w:r w:rsidR="00921FDA" w:rsidRPr="006A6BFD">
        <w:rPr>
          <w:rFonts w:ascii="Times New Roman" w:hAnsi="Times New Roman"/>
          <w:sz w:val="24"/>
          <w:szCs w:val="24"/>
        </w:rPr>
        <w:t xml:space="preserve">ord </w:t>
      </w:r>
      <w:r w:rsidRPr="006A6BFD">
        <w:rPr>
          <w:rFonts w:ascii="Times New Roman" w:hAnsi="Times New Roman"/>
          <w:sz w:val="24"/>
          <w:szCs w:val="24"/>
        </w:rPr>
        <w:t xml:space="preserve">de la </w:t>
      </w:r>
      <w:r w:rsidR="00921FDA">
        <w:rPr>
          <w:rFonts w:ascii="Times New Roman" w:hAnsi="Times New Roman"/>
          <w:sz w:val="24"/>
          <w:szCs w:val="24"/>
        </w:rPr>
        <w:t>P</w:t>
      </w:r>
      <w:r w:rsidR="00921FDA" w:rsidRPr="006A6BFD">
        <w:rPr>
          <w:rFonts w:ascii="Times New Roman" w:hAnsi="Times New Roman"/>
          <w:sz w:val="24"/>
          <w:szCs w:val="24"/>
        </w:rPr>
        <w:t xml:space="preserve">romotion </w:t>
      </w:r>
      <w:r w:rsidRPr="006A6BFD">
        <w:rPr>
          <w:rFonts w:ascii="Times New Roman" w:hAnsi="Times New Roman"/>
          <w:sz w:val="24"/>
          <w:szCs w:val="24"/>
        </w:rPr>
        <w:t xml:space="preserve">de la </w:t>
      </w:r>
      <w:r w:rsidR="00921FDA">
        <w:rPr>
          <w:rFonts w:ascii="Times New Roman" w:hAnsi="Times New Roman"/>
          <w:sz w:val="24"/>
          <w:szCs w:val="24"/>
        </w:rPr>
        <w:t>F</w:t>
      </w:r>
      <w:r w:rsidR="00921FDA" w:rsidRPr="006A6BFD">
        <w:rPr>
          <w:rFonts w:ascii="Times New Roman" w:hAnsi="Times New Roman"/>
          <w:sz w:val="24"/>
          <w:szCs w:val="24"/>
        </w:rPr>
        <w:t xml:space="preserve">emme </w:t>
      </w:r>
      <w:r w:rsidRPr="006A6BFD">
        <w:rPr>
          <w:rFonts w:ascii="Times New Roman" w:hAnsi="Times New Roman"/>
          <w:sz w:val="24"/>
          <w:szCs w:val="24"/>
        </w:rPr>
        <w:t>en Afrique (TBPFA).</w:t>
      </w:r>
      <w:r w:rsidR="0041521E">
        <w:rPr>
          <w:rFonts w:ascii="Times New Roman" w:hAnsi="Times New Roman"/>
          <w:sz w:val="24"/>
          <w:szCs w:val="24"/>
        </w:rPr>
        <w:t xml:space="preserve"> </w:t>
      </w:r>
      <w:r w:rsidRPr="00095516">
        <w:rPr>
          <w:rFonts w:ascii="Times New Roman" w:hAnsi="Times New Roman"/>
          <w:sz w:val="24"/>
          <w:szCs w:val="24"/>
        </w:rPr>
        <w:t>L’Indice de la condition de la femme</w:t>
      </w:r>
      <w:r w:rsidR="0041521E">
        <w:rPr>
          <w:rFonts w:ascii="Times New Roman" w:hAnsi="Times New Roman"/>
          <w:sz w:val="24"/>
          <w:szCs w:val="24"/>
        </w:rPr>
        <w:t xml:space="preserve"> </w:t>
      </w:r>
      <w:r w:rsidRPr="00095516">
        <w:rPr>
          <w:rFonts w:ascii="Times New Roman" w:hAnsi="Times New Roman"/>
          <w:sz w:val="24"/>
          <w:szCs w:val="24"/>
        </w:rPr>
        <w:t>constitue</w:t>
      </w:r>
      <w:r w:rsidR="0041521E">
        <w:rPr>
          <w:rFonts w:ascii="Times New Roman" w:hAnsi="Times New Roman"/>
          <w:sz w:val="24"/>
          <w:szCs w:val="24"/>
        </w:rPr>
        <w:t xml:space="preserve"> </w:t>
      </w:r>
      <w:r w:rsidRPr="00095516">
        <w:rPr>
          <w:rFonts w:ascii="Times New Roman" w:hAnsi="Times New Roman"/>
          <w:sz w:val="24"/>
          <w:szCs w:val="24"/>
        </w:rPr>
        <w:t>une mesure relative à l’égalité entre les sexes qui peut ê</w:t>
      </w:r>
      <w:r>
        <w:rPr>
          <w:rFonts w:ascii="Times New Roman" w:hAnsi="Times New Roman"/>
          <w:sz w:val="24"/>
          <w:szCs w:val="24"/>
        </w:rPr>
        <w:t>tre quantifi</w:t>
      </w:r>
      <w:r w:rsidRPr="00095516">
        <w:rPr>
          <w:rFonts w:ascii="Times New Roman" w:hAnsi="Times New Roman"/>
          <w:sz w:val="24"/>
          <w:szCs w:val="24"/>
        </w:rPr>
        <w:t>ée. L’Indice de la condition</w:t>
      </w:r>
      <w:r w:rsidR="0041521E">
        <w:rPr>
          <w:rFonts w:ascii="Times New Roman" w:hAnsi="Times New Roman"/>
          <w:sz w:val="24"/>
          <w:szCs w:val="24"/>
        </w:rPr>
        <w:t xml:space="preserve"> </w:t>
      </w:r>
      <w:r w:rsidRPr="00095516">
        <w:rPr>
          <w:rFonts w:ascii="Times New Roman" w:hAnsi="Times New Roman"/>
          <w:sz w:val="24"/>
          <w:szCs w:val="24"/>
        </w:rPr>
        <w:t>de la femme se fonde sur trois rubriques, le pouvoir social, le pouvoir économique</w:t>
      </w:r>
      <w:r w:rsidR="0041521E">
        <w:rPr>
          <w:rFonts w:ascii="Times New Roman" w:hAnsi="Times New Roman"/>
          <w:sz w:val="24"/>
          <w:szCs w:val="24"/>
        </w:rPr>
        <w:t xml:space="preserve"> </w:t>
      </w:r>
      <w:r w:rsidRPr="00095516">
        <w:rPr>
          <w:rFonts w:ascii="Times New Roman" w:hAnsi="Times New Roman"/>
          <w:sz w:val="24"/>
          <w:szCs w:val="24"/>
        </w:rPr>
        <w:t>et le pouvoir politique.</w:t>
      </w:r>
    </w:p>
    <w:p w:rsidR="00E00AD9" w:rsidRPr="00095516" w:rsidRDefault="00E00AD9" w:rsidP="00E00AD9">
      <w:pPr>
        <w:spacing w:line="276" w:lineRule="auto"/>
        <w:rPr>
          <w:rFonts w:ascii="Times New Roman" w:hAnsi="Times New Roman"/>
          <w:sz w:val="24"/>
          <w:szCs w:val="24"/>
        </w:rPr>
      </w:pPr>
      <w:r w:rsidRPr="00095516">
        <w:rPr>
          <w:rFonts w:ascii="Times New Roman" w:hAnsi="Times New Roman"/>
          <w:sz w:val="24"/>
          <w:szCs w:val="24"/>
        </w:rPr>
        <w:t>La première rubrique, le «pouvoir social», comprend des indicateurs sur l’éducation et</w:t>
      </w:r>
      <w:r w:rsidR="0041521E">
        <w:rPr>
          <w:rFonts w:ascii="Times New Roman" w:hAnsi="Times New Roman"/>
          <w:sz w:val="24"/>
          <w:szCs w:val="24"/>
        </w:rPr>
        <w:t xml:space="preserve"> </w:t>
      </w:r>
      <w:r w:rsidRPr="00095516">
        <w:rPr>
          <w:rFonts w:ascii="Times New Roman" w:hAnsi="Times New Roman"/>
          <w:sz w:val="24"/>
          <w:szCs w:val="24"/>
        </w:rPr>
        <w:t>la santé; la deuxième rubrique se rapporte au «pouvoir économique» et comprend des</w:t>
      </w:r>
      <w:r w:rsidR="0041521E">
        <w:rPr>
          <w:rFonts w:ascii="Times New Roman" w:hAnsi="Times New Roman"/>
          <w:sz w:val="24"/>
          <w:szCs w:val="24"/>
        </w:rPr>
        <w:t xml:space="preserve"> </w:t>
      </w:r>
      <w:r w:rsidRPr="00095516">
        <w:rPr>
          <w:rFonts w:ascii="Times New Roman" w:hAnsi="Times New Roman"/>
          <w:sz w:val="24"/>
          <w:szCs w:val="24"/>
        </w:rPr>
        <w:t>indicateurs relatifs au revenu, au budget-temps, à l’emploi et à l’accès aux ressources; la</w:t>
      </w:r>
      <w:r w:rsidR="0041521E">
        <w:rPr>
          <w:rFonts w:ascii="Times New Roman" w:hAnsi="Times New Roman"/>
          <w:sz w:val="24"/>
          <w:szCs w:val="24"/>
        </w:rPr>
        <w:t xml:space="preserve"> </w:t>
      </w:r>
      <w:r w:rsidRPr="00095516">
        <w:rPr>
          <w:rFonts w:ascii="Times New Roman" w:hAnsi="Times New Roman"/>
          <w:sz w:val="24"/>
          <w:szCs w:val="24"/>
        </w:rPr>
        <w:t>troisième rubrique correspond au «pouvoir politique» et se compose d’indicateurs relatifs</w:t>
      </w:r>
    </w:p>
    <w:p w:rsidR="00E00AD9" w:rsidRDefault="00E00AD9" w:rsidP="00E00AD9">
      <w:pPr>
        <w:spacing w:line="276" w:lineRule="auto"/>
        <w:rPr>
          <w:rFonts w:ascii="Times New Roman" w:hAnsi="Times New Roman"/>
          <w:sz w:val="24"/>
          <w:szCs w:val="24"/>
        </w:rPr>
      </w:pPr>
      <w:r w:rsidRPr="00095516">
        <w:rPr>
          <w:rFonts w:ascii="Times New Roman" w:hAnsi="Times New Roman"/>
          <w:sz w:val="24"/>
          <w:szCs w:val="24"/>
        </w:rPr>
        <w:t>au pouvoir politique formel et informel.</w:t>
      </w:r>
    </w:p>
    <w:p w:rsidR="00E00AD9" w:rsidRDefault="00E00AD9" w:rsidP="00E00AD9">
      <w:pPr>
        <w:spacing w:line="276" w:lineRule="auto"/>
        <w:rPr>
          <w:rFonts w:ascii="Times New Roman" w:hAnsi="Times New Roman"/>
          <w:sz w:val="24"/>
          <w:szCs w:val="24"/>
        </w:rPr>
      </w:pPr>
    </w:p>
    <w:p w:rsidR="00E00AD9" w:rsidRDefault="00E00AD9" w:rsidP="00E00AD9">
      <w:pPr>
        <w:pStyle w:val="Corpsdetexte"/>
        <w:spacing w:line="276" w:lineRule="auto"/>
        <w:rPr>
          <w:rFonts w:ascii="Times New Roman" w:hAnsi="Times New Roman"/>
          <w:b/>
          <w:sz w:val="24"/>
          <w:szCs w:val="24"/>
        </w:rPr>
      </w:pPr>
      <w:r w:rsidRPr="006A6BFD">
        <w:rPr>
          <w:rFonts w:ascii="Times New Roman" w:hAnsi="Times New Roman"/>
          <w:sz w:val="24"/>
          <w:szCs w:val="24"/>
        </w:rPr>
        <w:t xml:space="preserve">En </w:t>
      </w:r>
      <w:r>
        <w:rPr>
          <w:rFonts w:ascii="Times New Roman" w:hAnsi="Times New Roman"/>
          <w:sz w:val="24"/>
          <w:szCs w:val="24"/>
        </w:rPr>
        <w:t>tant qu’indicateur, il permet</w:t>
      </w:r>
      <w:r w:rsidRPr="006A6BFD">
        <w:rPr>
          <w:rFonts w:ascii="Times New Roman" w:hAnsi="Times New Roman"/>
          <w:sz w:val="24"/>
          <w:szCs w:val="24"/>
        </w:rPr>
        <w:t xml:space="preserve"> de délivrer un message politique clair et de faciliter les comparaisons entre pays.</w:t>
      </w:r>
      <w:r w:rsidR="0041521E">
        <w:rPr>
          <w:rFonts w:ascii="Times New Roman" w:hAnsi="Times New Roman"/>
          <w:sz w:val="24"/>
          <w:szCs w:val="24"/>
        </w:rPr>
        <w:t xml:space="preserve"> </w:t>
      </w:r>
      <w:r w:rsidRPr="00D74E0E">
        <w:rPr>
          <w:rFonts w:ascii="Times New Roman" w:hAnsi="Times New Roman"/>
          <w:sz w:val="24"/>
          <w:szCs w:val="24"/>
        </w:rPr>
        <w:t xml:space="preserve">L’IDISA couvre les principales chartes et conventions internationales et africaines, et intègre un certain nombre de variables qui sont particulièrement importantes pour les hommes et les femmes en Afrique. </w:t>
      </w:r>
    </w:p>
    <w:p w:rsidR="00E00AD9" w:rsidRDefault="00E00AD9" w:rsidP="00E00AD9">
      <w:pPr>
        <w:spacing w:line="276" w:lineRule="auto"/>
        <w:rPr>
          <w:rFonts w:ascii="Times New Roman" w:hAnsi="Times New Roman"/>
          <w:sz w:val="24"/>
          <w:szCs w:val="24"/>
        </w:rPr>
      </w:pPr>
      <w:r w:rsidRPr="00B4398C">
        <w:rPr>
          <w:rFonts w:ascii="Times New Roman" w:hAnsi="Times New Roman"/>
          <w:sz w:val="24"/>
          <w:szCs w:val="24"/>
        </w:rPr>
        <w:t xml:space="preserve">En 2004 et en 2011, le Bénin a calculé l’IDISA mais l’accent est mis ici sur l’ICF qui est la partie quantitative de cet indicateur.  </w:t>
      </w:r>
    </w:p>
    <w:p w:rsidR="00E00AD9"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r w:rsidRPr="00B4398C">
        <w:rPr>
          <w:rFonts w:ascii="Times New Roman" w:hAnsi="Times New Roman"/>
          <w:sz w:val="24"/>
          <w:szCs w:val="24"/>
        </w:rPr>
        <w:t xml:space="preserve">Le tableau ci-après donne les performances des femmes dans les domaines du pouvoir social, du pouvoir économique et </w:t>
      </w:r>
      <w:r w:rsidR="00921FDA">
        <w:rPr>
          <w:rFonts w:ascii="Times New Roman" w:hAnsi="Times New Roman"/>
          <w:sz w:val="24"/>
          <w:szCs w:val="24"/>
        </w:rPr>
        <w:t>du</w:t>
      </w:r>
      <w:r w:rsidR="00921FDA" w:rsidRPr="00B4398C">
        <w:rPr>
          <w:rFonts w:ascii="Times New Roman" w:hAnsi="Times New Roman"/>
          <w:sz w:val="24"/>
          <w:szCs w:val="24"/>
        </w:rPr>
        <w:t xml:space="preserve"> </w:t>
      </w:r>
      <w:r w:rsidRPr="00B4398C">
        <w:rPr>
          <w:rFonts w:ascii="Times New Roman" w:hAnsi="Times New Roman"/>
          <w:sz w:val="24"/>
          <w:szCs w:val="24"/>
        </w:rPr>
        <w:t>pouvoir politique</w:t>
      </w:r>
      <w:r>
        <w:rPr>
          <w:rFonts w:ascii="Times New Roman" w:hAnsi="Times New Roman"/>
          <w:sz w:val="24"/>
          <w:szCs w:val="24"/>
        </w:rPr>
        <w:t xml:space="preserve"> en 2004 et en 2011 ; mais ces indicateurs</w:t>
      </w:r>
      <w:r>
        <w:rPr>
          <w:rStyle w:val="Appelnotedebasdep"/>
          <w:rFonts w:ascii="Times New Roman" w:hAnsi="Times New Roman"/>
          <w:sz w:val="24"/>
          <w:szCs w:val="24"/>
        </w:rPr>
        <w:footnoteReference w:id="86"/>
      </w:r>
      <w:r>
        <w:rPr>
          <w:rFonts w:ascii="Times New Roman" w:hAnsi="Times New Roman"/>
          <w:sz w:val="24"/>
          <w:szCs w:val="24"/>
        </w:rPr>
        <w:t xml:space="preserve"> ne peuvent pas être comparés  entre ces deux dates parce que les variables retenues ont changé ainsi que la méthode de calcul</w:t>
      </w:r>
      <w:r w:rsidRPr="00B4398C">
        <w:rPr>
          <w:rFonts w:ascii="Times New Roman" w:hAnsi="Times New Roman"/>
          <w:sz w:val="24"/>
          <w:szCs w:val="24"/>
        </w:rPr>
        <w:t xml:space="preserve">.  </w:t>
      </w:r>
    </w:p>
    <w:p w:rsidR="007371E6" w:rsidRDefault="007371E6" w:rsidP="00E00AD9">
      <w:pPr>
        <w:spacing w:line="276" w:lineRule="auto"/>
        <w:rPr>
          <w:rFonts w:ascii="Times New Roman" w:hAnsi="Times New Roman"/>
          <w:sz w:val="24"/>
          <w:szCs w:val="24"/>
        </w:rPr>
      </w:pPr>
    </w:p>
    <w:tbl>
      <w:tblPr>
        <w:tblW w:w="90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9"/>
        <w:gridCol w:w="3423"/>
        <w:gridCol w:w="3293"/>
      </w:tblGrid>
      <w:tr w:rsidR="00732D64" w:rsidRPr="00732D64" w:rsidTr="00732D64">
        <w:trPr>
          <w:trHeight w:val="396"/>
        </w:trPr>
        <w:tc>
          <w:tcPr>
            <w:tcW w:w="9005" w:type="dxa"/>
            <w:gridSpan w:val="3"/>
            <w:tcBorders>
              <w:top w:val="nil"/>
              <w:left w:val="nil"/>
              <w:bottom w:val="double" w:sz="4" w:space="0" w:color="auto"/>
              <w:right w:val="nil"/>
            </w:tcBorders>
            <w:shd w:val="clear" w:color="auto" w:fill="92CDDC" w:themeFill="accent5" w:themeFillTint="99"/>
          </w:tcPr>
          <w:p w:rsidR="00732D64" w:rsidRPr="00732D64" w:rsidRDefault="00732D64" w:rsidP="00732D64">
            <w:pPr>
              <w:spacing w:line="240" w:lineRule="auto"/>
              <w:jc w:val="left"/>
              <w:rPr>
                <w:rFonts w:ascii="Times New Roman" w:hAnsi="Times New Roman"/>
                <w:b/>
                <w:bCs/>
                <w:sz w:val="24"/>
                <w:szCs w:val="24"/>
              </w:rPr>
            </w:pPr>
            <w:bookmarkStart w:id="190" w:name="_Toc369714528"/>
            <w:bookmarkStart w:id="191" w:name="_Toc369720917"/>
            <w:r w:rsidRPr="00732D64">
              <w:rPr>
                <w:rFonts w:ascii="Times New Roman" w:hAnsi="Times New Roman"/>
                <w:sz w:val="24"/>
                <w:szCs w:val="24"/>
              </w:rPr>
              <w:t>Tableau 6.</w:t>
            </w:r>
            <w:r w:rsidR="00182C97" w:rsidRPr="00732D64">
              <w:rPr>
                <w:rFonts w:ascii="Times New Roman" w:hAnsi="Times New Roman"/>
                <w:sz w:val="24"/>
                <w:szCs w:val="24"/>
              </w:rPr>
              <w:fldChar w:fldCharType="begin"/>
            </w:r>
            <w:r w:rsidRPr="00732D64">
              <w:rPr>
                <w:rFonts w:ascii="Times New Roman" w:hAnsi="Times New Roman"/>
                <w:sz w:val="24"/>
                <w:szCs w:val="24"/>
              </w:rPr>
              <w:instrText xml:space="preserve"> SEQ Tableau_6. \* ARABIC </w:instrText>
            </w:r>
            <w:r w:rsidR="00182C97" w:rsidRPr="00732D64">
              <w:rPr>
                <w:rFonts w:ascii="Times New Roman" w:hAnsi="Times New Roman"/>
                <w:sz w:val="24"/>
                <w:szCs w:val="24"/>
              </w:rPr>
              <w:fldChar w:fldCharType="separate"/>
            </w:r>
            <w:r w:rsidR="00AB1967">
              <w:rPr>
                <w:rFonts w:ascii="Times New Roman" w:hAnsi="Times New Roman"/>
                <w:noProof/>
                <w:sz w:val="24"/>
                <w:szCs w:val="24"/>
              </w:rPr>
              <w:t>1</w:t>
            </w:r>
            <w:r w:rsidR="00182C97" w:rsidRPr="00732D64">
              <w:rPr>
                <w:rFonts w:ascii="Times New Roman" w:hAnsi="Times New Roman"/>
                <w:sz w:val="24"/>
                <w:szCs w:val="24"/>
              </w:rPr>
              <w:fldChar w:fldCharType="end"/>
            </w:r>
            <w:r w:rsidRPr="00732D64">
              <w:rPr>
                <w:rFonts w:ascii="Times New Roman" w:hAnsi="Times New Roman"/>
                <w:sz w:val="24"/>
                <w:szCs w:val="24"/>
              </w:rPr>
              <w:t>: Répartition par année de l'ICF selon le pouvoir</w:t>
            </w:r>
            <w:bookmarkEnd w:id="190"/>
            <w:bookmarkEnd w:id="191"/>
          </w:p>
        </w:tc>
      </w:tr>
      <w:tr w:rsidR="00E00AD9" w:rsidRPr="00BD3F9A" w:rsidTr="00732D64">
        <w:trPr>
          <w:trHeight w:val="274"/>
        </w:trPr>
        <w:tc>
          <w:tcPr>
            <w:tcW w:w="2289" w:type="dxa"/>
            <w:tcBorders>
              <w:top w:val="double" w:sz="4" w:space="0" w:color="auto"/>
              <w:left w:val="nil"/>
              <w:bottom w:val="single" w:sz="4" w:space="0" w:color="auto"/>
              <w:right w:val="nil"/>
            </w:tcBorders>
            <w:shd w:val="clear" w:color="auto" w:fill="DAEEF3" w:themeFill="accent5" w:themeFillTint="33"/>
          </w:tcPr>
          <w:p w:rsidR="00E00AD9" w:rsidRPr="00BD3F9A" w:rsidRDefault="00E00AD9" w:rsidP="00C464FF">
            <w:pPr>
              <w:spacing w:line="240" w:lineRule="auto"/>
              <w:rPr>
                <w:rFonts w:ascii="Times New Roman" w:hAnsi="Times New Roman"/>
                <w:b/>
                <w:bCs/>
                <w:sz w:val="24"/>
                <w:szCs w:val="24"/>
              </w:rPr>
            </w:pPr>
            <w:r w:rsidRPr="00BD3F9A">
              <w:rPr>
                <w:rFonts w:ascii="Times New Roman" w:hAnsi="Times New Roman"/>
                <w:b/>
                <w:bCs/>
                <w:sz w:val="24"/>
                <w:szCs w:val="24"/>
              </w:rPr>
              <w:t>R</w:t>
            </w:r>
            <w:r w:rsidR="008B24EA" w:rsidRPr="00BD3F9A">
              <w:rPr>
                <w:rFonts w:ascii="Times New Roman" w:hAnsi="Times New Roman"/>
                <w:b/>
                <w:bCs/>
                <w:sz w:val="24"/>
                <w:szCs w:val="24"/>
              </w:rPr>
              <w:t>ubriques</w:t>
            </w:r>
          </w:p>
        </w:tc>
        <w:tc>
          <w:tcPr>
            <w:tcW w:w="3423" w:type="dxa"/>
            <w:tcBorders>
              <w:top w:val="double" w:sz="4" w:space="0" w:color="auto"/>
              <w:left w:val="nil"/>
              <w:bottom w:val="single" w:sz="4" w:space="0" w:color="auto"/>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b/>
                <w:bCs/>
                <w:sz w:val="24"/>
                <w:szCs w:val="24"/>
              </w:rPr>
            </w:pPr>
            <w:r w:rsidRPr="00BD3F9A">
              <w:rPr>
                <w:rFonts w:ascii="Times New Roman" w:hAnsi="Times New Roman"/>
                <w:b/>
                <w:bCs/>
                <w:sz w:val="24"/>
                <w:szCs w:val="24"/>
              </w:rPr>
              <w:t>ICF 2004</w:t>
            </w:r>
          </w:p>
        </w:tc>
        <w:tc>
          <w:tcPr>
            <w:tcW w:w="3293" w:type="dxa"/>
            <w:tcBorders>
              <w:top w:val="double" w:sz="4" w:space="0" w:color="auto"/>
              <w:left w:val="nil"/>
              <w:bottom w:val="single" w:sz="4" w:space="0" w:color="auto"/>
              <w:right w:val="nil"/>
            </w:tcBorders>
            <w:shd w:val="clear" w:color="auto" w:fill="DAEEF3" w:themeFill="accent5" w:themeFillTint="33"/>
          </w:tcPr>
          <w:p w:rsidR="00E00AD9" w:rsidRPr="00BD3F9A" w:rsidRDefault="00E00AD9" w:rsidP="00C464FF">
            <w:pPr>
              <w:spacing w:line="240" w:lineRule="auto"/>
              <w:rPr>
                <w:rFonts w:ascii="Times New Roman" w:hAnsi="Times New Roman"/>
                <w:b/>
                <w:bCs/>
                <w:sz w:val="24"/>
                <w:szCs w:val="24"/>
              </w:rPr>
            </w:pPr>
            <w:r w:rsidRPr="00BD3F9A">
              <w:rPr>
                <w:rFonts w:ascii="Times New Roman" w:hAnsi="Times New Roman"/>
                <w:b/>
                <w:bCs/>
                <w:sz w:val="24"/>
                <w:szCs w:val="24"/>
              </w:rPr>
              <w:t xml:space="preserve">ICF </w:t>
            </w:r>
            <w:r w:rsidRPr="00744E9A">
              <w:rPr>
                <w:rFonts w:ascii="Times New Roman" w:hAnsi="Times New Roman"/>
                <w:b/>
                <w:bCs/>
                <w:sz w:val="24"/>
                <w:szCs w:val="24"/>
              </w:rPr>
              <w:t>2011</w:t>
            </w:r>
            <w:r w:rsidR="003110C9">
              <w:rPr>
                <w:rStyle w:val="Appelnotedebasdep"/>
                <w:rFonts w:ascii="Times New Roman" w:hAnsi="Times New Roman"/>
                <w:b/>
                <w:bCs/>
                <w:sz w:val="24"/>
                <w:szCs w:val="24"/>
              </w:rPr>
              <w:footnoteReference w:id="87"/>
            </w:r>
          </w:p>
        </w:tc>
      </w:tr>
      <w:tr w:rsidR="00E00AD9" w:rsidRPr="00BD3F9A" w:rsidTr="00C508CB">
        <w:trPr>
          <w:trHeight w:val="549"/>
        </w:trPr>
        <w:tc>
          <w:tcPr>
            <w:tcW w:w="2289" w:type="dxa"/>
            <w:tcBorders>
              <w:top w:val="single" w:sz="4" w:space="0" w:color="auto"/>
              <w:left w:val="nil"/>
              <w:bottom w:val="nil"/>
              <w:right w:val="nil"/>
            </w:tcBorders>
            <w:shd w:val="clear" w:color="auto" w:fill="DAEEF3" w:themeFill="accent5" w:themeFillTint="33"/>
          </w:tcPr>
          <w:p w:rsidR="00E00AD9" w:rsidRPr="00BD3F9A" w:rsidRDefault="00E00AD9" w:rsidP="00C464FF">
            <w:pPr>
              <w:spacing w:line="240" w:lineRule="auto"/>
              <w:rPr>
                <w:rFonts w:ascii="Times New Roman" w:hAnsi="Times New Roman"/>
                <w:b/>
                <w:bCs/>
                <w:sz w:val="24"/>
                <w:szCs w:val="24"/>
              </w:rPr>
            </w:pPr>
            <w:r w:rsidRPr="00BD3F9A">
              <w:rPr>
                <w:rFonts w:ascii="Times New Roman" w:hAnsi="Times New Roman"/>
                <w:b/>
                <w:bCs/>
                <w:sz w:val="24"/>
                <w:szCs w:val="24"/>
              </w:rPr>
              <w:t>Pouvoir social</w:t>
            </w:r>
            <w:r>
              <w:rPr>
                <w:rStyle w:val="Appelnotedebasdep"/>
                <w:rFonts w:ascii="Times New Roman" w:hAnsi="Times New Roman"/>
                <w:b/>
                <w:bCs/>
                <w:sz w:val="24"/>
                <w:szCs w:val="24"/>
              </w:rPr>
              <w:footnoteReference w:id="88"/>
            </w:r>
          </w:p>
        </w:tc>
        <w:tc>
          <w:tcPr>
            <w:tcW w:w="3423" w:type="dxa"/>
            <w:tcBorders>
              <w:top w:val="single" w:sz="4" w:space="0" w:color="auto"/>
              <w:left w:val="nil"/>
              <w:bottom w:val="nil"/>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sz w:val="24"/>
                <w:szCs w:val="24"/>
              </w:rPr>
            </w:pPr>
            <w:r w:rsidRPr="00BD3F9A">
              <w:rPr>
                <w:rFonts w:ascii="Times New Roman" w:hAnsi="Times New Roman"/>
                <w:sz w:val="24"/>
                <w:szCs w:val="24"/>
              </w:rPr>
              <w:t>Meilleure performance avec un ICF de 0,922</w:t>
            </w:r>
          </w:p>
        </w:tc>
        <w:tc>
          <w:tcPr>
            <w:tcW w:w="3293" w:type="dxa"/>
            <w:tcBorders>
              <w:top w:val="single" w:sz="4" w:space="0" w:color="auto"/>
              <w:left w:val="nil"/>
              <w:bottom w:val="nil"/>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sz w:val="24"/>
                <w:szCs w:val="24"/>
              </w:rPr>
            </w:pPr>
            <w:r>
              <w:rPr>
                <w:rFonts w:ascii="Times New Roman" w:hAnsi="Times New Roman"/>
                <w:sz w:val="24"/>
                <w:szCs w:val="24"/>
              </w:rPr>
              <w:t>M</w:t>
            </w:r>
            <w:r w:rsidRPr="00BD3F9A">
              <w:rPr>
                <w:rFonts w:ascii="Times New Roman" w:hAnsi="Times New Roman"/>
                <w:sz w:val="24"/>
                <w:szCs w:val="24"/>
              </w:rPr>
              <w:t>eilleure performance avec un ICF de 0,896</w:t>
            </w:r>
          </w:p>
        </w:tc>
      </w:tr>
      <w:tr w:rsidR="00E00AD9" w:rsidRPr="00BD3F9A" w:rsidTr="00C508CB">
        <w:trPr>
          <w:trHeight w:val="565"/>
        </w:trPr>
        <w:tc>
          <w:tcPr>
            <w:tcW w:w="2289" w:type="dxa"/>
            <w:tcBorders>
              <w:top w:val="nil"/>
              <w:left w:val="nil"/>
              <w:bottom w:val="nil"/>
              <w:right w:val="nil"/>
            </w:tcBorders>
            <w:shd w:val="clear" w:color="auto" w:fill="DAEEF3" w:themeFill="accent5" w:themeFillTint="33"/>
          </w:tcPr>
          <w:p w:rsidR="00E00AD9" w:rsidRPr="00BD3F9A" w:rsidRDefault="00E00AD9" w:rsidP="00C464FF">
            <w:pPr>
              <w:spacing w:line="240" w:lineRule="auto"/>
              <w:rPr>
                <w:rFonts w:ascii="Times New Roman" w:hAnsi="Times New Roman"/>
                <w:b/>
                <w:bCs/>
                <w:sz w:val="24"/>
                <w:szCs w:val="24"/>
              </w:rPr>
            </w:pPr>
            <w:r w:rsidRPr="00BD3F9A">
              <w:rPr>
                <w:rFonts w:ascii="Times New Roman" w:hAnsi="Times New Roman"/>
                <w:b/>
                <w:bCs/>
                <w:sz w:val="24"/>
                <w:szCs w:val="24"/>
              </w:rPr>
              <w:t>Pouvoir économique</w:t>
            </w:r>
          </w:p>
        </w:tc>
        <w:tc>
          <w:tcPr>
            <w:tcW w:w="3423" w:type="dxa"/>
            <w:tcBorders>
              <w:top w:val="nil"/>
              <w:left w:val="nil"/>
              <w:bottom w:val="nil"/>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sz w:val="24"/>
                <w:szCs w:val="24"/>
              </w:rPr>
            </w:pPr>
            <w:r w:rsidRPr="00BD3F9A">
              <w:rPr>
                <w:rFonts w:ascii="Times New Roman" w:hAnsi="Times New Roman"/>
                <w:sz w:val="24"/>
                <w:szCs w:val="24"/>
              </w:rPr>
              <w:t>Seconde performance avec un ICF de 0,536</w:t>
            </w:r>
          </w:p>
        </w:tc>
        <w:tc>
          <w:tcPr>
            <w:tcW w:w="3293" w:type="dxa"/>
            <w:tcBorders>
              <w:top w:val="nil"/>
              <w:left w:val="nil"/>
              <w:bottom w:val="nil"/>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sz w:val="24"/>
                <w:szCs w:val="24"/>
              </w:rPr>
            </w:pPr>
            <w:r>
              <w:rPr>
                <w:rFonts w:ascii="Times New Roman" w:hAnsi="Times New Roman"/>
                <w:sz w:val="24"/>
                <w:szCs w:val="24"/>
              </w:rPr>
              <w:t xml:space="preserve">Seconde </w:t>
            </w:r>
            <w:r w:rsidRPr="00BD3F9A">
              <w:rPr>
                <w:rFonts w:ascii="Times New Roman" w:hAnsi="Times New Roman"/>
                <w:sz w:val="24"/>
                <w:szCs w:val="24"/>
              </w:rPr>
              <w:t>performance avec un ICF de 0,657</w:t>
            </w:r>
          </w:p>
        </w:tc>
      </w:tr>
      <w:tr w:rsidR="00E00AD9" w:rsidRPr="00BD3F9A" w:rsidTr="00C508CB">
        <w:trPr>
          <w:trHeight w:val="686"/>
        </w:trPr>
        <w:tc>
          <w:tcPr>
            <w:tcW w:w="2289" w:type="dxa"/>
            <w:tcBorders>
              <w:top w:val="nil"/>
              <w:left w:val="nil"/>
              <w:bottom w:val="nil"/>
              <w:right w:val="nil"/>
            </w:tcBorders>
            <w:shd w:val="clear" w:color="auto" w:fill="DAEEF3" w:themeFill="accent5" w:themeFillTint="33"/>
          </w:tcPr>
          <w:p w:rsidR="00E00AD9" w:rsidRPr="00BD3F9A" w:rsidRDefault="00E00AD9" w:rsidP="00C464FF">
            <w:pPr>
              <w:spacing w:line="240" w:lineRule="auto"/>
              <w:rPr>
                <w:rFonts w:ascii="Times New Roman" w:hAnsi="Times New Roman"/>
                <w:b/>
                <w:bCs/>
                <w:sz w:val="24"/>
                <w:szCs w:val="24"/>
              </w:rPr>
            </w:pPr>
            <w:r w:rsidRPr="00BD3F9A">
              <w:rPr>
                <w:rFonts w:ascii="Times New Roman" w:hAnsi="Times New Roman"/>
                <w:b/>
                <w:bCs/>
                <w:sz w:val="24"/>
                <w:szCs w:val="24"/>
              </w:rPr>
              <w:t xml:space="preserve">Pouvoir politique </w:t>
            </w:r>
          </w:p>
        </w:tc>
        <w:tc>
          <w:tcPr>
            <w:tcW w:w="3423" w:type="dxa"/>
            <w:tcBorders>
              <w:top w:val="nil"/>
              <w:left w:val="nil"/>
              <w:bottom w:val="nil"/>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sz w:val="24"/>
                <w:szCs w:val="24"/>
              </w:rPr>
            </w:pPr>
            <w:r w:rsidRPr="00BD3F9A">
              <w:rPr>
                <w:rFonts w:ascii="Times New Roman" w:hAnsi="Times New Roman"/>
                <w:sz w:val="24"/>
                <w:szCs w:val="24"/>
              </w:rPr>
              <w:t>Performance la plus faible avec un ICF de 0,135</w:t>
            </w:r>
          </w:p>
        </w:tc>
        <w:tc>
          <w:tcPr>
            <w:tcW w:w="3293" w:type="dxa"/>
            <w:tcBorders>
              <w:top w:val="nil"/>
              <w:left w:val="nil"/>
              <w:bottom w:val="nil"/>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sz w:val="24"/>
                <w:szCs w:val="24"/>
              </w:rPr>
            </w:pPr>
            <w:r w:rsidRPr="00BD3F9A">
              <w:rPr>
                <w:rFonts w:ascii="Times New Roman" w:hAnsi="Times New Roman"/>
                <w:sz w:val="24"/>
                <w:szCs w:val="24"/>
              </w:rPr>
              <w:t>Performance la plus faible </w:t>
            </w:r>
            <w:r>
              <w:rPr>
                <w:rFonts w:ascii="Times New Roman" w:hAnsi="Times New Roman"/>
                <w:sz w:val="24"/>
                <w:szCs w:val="24"/>
              </w:rPr>
              <w:t xml:space="preserve">avec un ICF de </w:t>
            </w:r>
            <w:r w:rsidRPr="00BD3F9A">
              <w:rPr>
                <w:rFonts w:ascii="Times New Roman" w:hAnsi="Times New Roman"/>
                <w:sz w:val="24"/>
                <w:szCs w:val="24"/>
              </w:rPr>
              <w:t xml:space="preserve"> 0,217</w:t>
            </w:r>
          </w:p>
        </w:tc>
      </w:tr>
      <w:tr w:rsidR="00E00AD9" w:rsidRPr="00BD3F9A" w:rsidTr="00C508CB">
        <w:trPr>
          <w:trHeight w:val="274"/>
        </w:trPr>
        <w:tc>
          <w:tcPr>
            <w:tcW w:w="2289" w:type="dxa"/>
            <w:tcBorders>
              <w:top w:val="nil"/>
              <w:left w:val="nil"/>
              <w:bottom w:val="double" w:sz="4" w:space="0" w:color="auto"/>
              <w:right w:val="nil"/>
            </w:tcBorders>
            <w:shd w:val="clear" w:color="auto" w:fill="DAEEF3" w:themeFill="accent5" w:themeFillTint="33"/>
          </w:tcPr>
          <w:p w:rsidR="00E00AD9" w:rsidRPr="00BD3F9A" w:rsidRDefault="00E00AD9" w:rsidP="00C464FF">
            <w:pPr>
              <w:spacing w:line="240" w:lineRule="auto"/>
              <w:rPr>
                <w:rFonts w:ascii="Times New Roman" w:hAnsi="Times New Roman"/>
                <w:b/>
                <w:bCs/>
                <w:sz w:val="24"/>
                <w:szCs w:val="24"/>
              </w:rPr>
            </w:pPr>
            <w:r w:rsidRPr="00BD3F9A">
              <w:rPr>
                <w:rFonts w:ascii="Times New Roman" w:hAnsi="Times New Roman"/>
                <w:b/>
                <w:bCs/>
                <w:sz w:val="24"/>
                <w:szCs w:val="24"/>
              </w:rPr>
              <w:t xml:space="preserve">ICF </w:t>
            </w:r>
          </w:p>
        </w:tc>
        <w:tc>
          <w:tcPr>
            <w:tcW w:w="3423" w:type="dxa"/>
            <w:tcBorders>
              <w:top w:val="nil"/>
              <w:left w:val="nil"/>
              <w:bottom w:val="double" w:sz="4" w:space="0" w:color="auto"/>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b/>
                <w:sz w:val="24"/>
                <w:szCs w:val="24"/>
              </w:rPr>
            </w:pPr>
            <w:r w:rsidRPr="00BD3F9A">
              <w:rPr>
                <w:rFonts w:ascii="Times New Roman" w:hAnsi="Times New Roman"/>
                <w:b/>
                <w:sz w:val="24"/>
                <w:szCs w:val="24"/>
              </w:rPr>
              <w:t>ICF 2004 : 0,531</w:t>
            </w:r>
          </w:p>
        </w:tc>
        <w:tc>
          <w:tcPr>
            <w:tcW w:w="3293" w:type="dxa"/>
            <w:tcBorders>
              <w:top w:val="nil"/>
              <w:left w:val="nil"/>
              <w:bottom w:val="double" w:sz="4" w:space="0" w:color="auto"/>
              <w:right w:val="nil"/>
            </w:tcBorders>
            <w:shd w:val="clear" w:color="auto" w:fill="DAEEF3" w:themeFill="accent5" w:themeFillTint="33"/>
          </w:tcPr>
          <w:p w:rsidR="00E00AD9" w:rsidRPr="00BD3F9A" w:rsidRDefault="00E00AD9" w:rsidP="00A674E8">
            <w:pPr>
              <w:spacing w:line="240" w:lineRule="auto"/>
              <w:jc w:val="left"/>
              <w:rPr>
                <w:rFonts w:ascii="Times New Roman" w:hAnsi="Times New Roman"/>
                <w:b/>
                <w:sz w:val="24"/>
                <w:szCs w:val="24"/>
              </w:rPr>
            </w:pPr>
            <w:r w:rsidRPr="00BD3F9A">
              <w:rPr>
                <w:rFonts w:ascii="Times New Roman" w:hAnsi="Times New Roman"/>
                <w:b/>
                <w:sz w:val="24"/>
                <w:szCs w:val="24"/>
              </w:rPr>
              <w:t>ICF2</w:t>
            </w:r>
            <w:r w:rsidR="00A674E8">
              <w:rPr>
                <w:rFonts w:ascii="Times New Roman" w:hAnsi="Times New Roman"/>
                <w:b/>
                <w:sz w:val="24"/>
                <w:szCs w:val="24"/>
              </w:rPr>
              <w:t>011</w:t>
            </w:r>
            <w:r w:rsidRPr="00BD3F9A">
              <w:rPr>
                <w:rFonts w:ascii="Times New Roman" w:hAnsi="Times New Roman"/>
                <w:b/>
                <w:sz w:val="24"/>
                <w:szCs w:val="24"/>
              </w:rPr>
              <w:t> : 0,590</w:t>
            </w:r>
          </w:p>
        </w:tc>
      </w:tr>
      <w:tr w:rsidR="00A674E8" w:rsidRPr="00C508CB" w:rsidTr="00C508CB">
        <w:trPr>
          <w:trHeight w:val="274"/>
        </w:trPr>
        <w:tc>
          <w:tcPr>
            <w:tcW w:w="9005" w:type="dxa"/>
            <w:gridSpan w:val="3"/>
            <w:tcBorders>
              <w:top w:val="double" w:sz="4" w:space="0" w:color="auto"/>
              <w:left w:val="nil"/>
              <w:bottom w:val="nil"/>
              <w:right w:val="nil"/>
            </w:tcBorders>
            <w:shd w:val="clear" w:color="auto" w:fill="DAEEF3" w:themeFill="accent5" w:themeFillTint="33"/>
          </w:tcPr>
          <w:p w:rsidR="00A674E8" w:rsidRPr="00C508CB" w:rsidRDefault="00C508CB" w:rsidP="00C769D1">
            <w:pPr>
              <w:spacing w:line="240" w:lineRule="auto"/>
              <w:rPr>
                <w:rFonts w:ascii="Times New Roman" w:hAnsi="Times New Roman"/>
                <w:sz w:val="24"/>
                <w:szCs w:val="24"/>
              </w:rPr>
            </w:pPr>
            <w:r w:rsidRPr="007A03AE">
              <w:rPr>
                <w:rFonts w:ascii="Times New Roman" w:hAnsi="Times New Roman"/>
                <w:sz w:val="24"/>
                <w:szCs w:val="24"/>
              </w:rPr>
              <w:t>Source :</w:t>
            </w:r>
            <w:r w:rsidR="00E97C6E" w:rsidRPr="007A03AE">
              <w:rPr>
                <w:rFonts w:ascii="Times New Roman" w:hAnsi="Times New Roman"/>
                <w:sz w:val="24"/>
                <w:szCs w:val="24"/>
              </w:rPr>
              <w:t xml:space="preserve"> L'Indice de développement et des inégalités entre les sexes en Afrique (IDISA), Commission économique pour l’Afrique</w:t>
            </w:r>
          </w:p>
        </w:tc>
      </w:tr>
    </w:tbl>
    <w:p w:rsidR="00E00AD9" w:rsidRDefault="00E00AD9" w:rsidP="00E00AD9">
      <w:pPr>
        <w:spacing w:line="276" w:lineRule="auto"/>
        <w:rPr>
          <w:rFonts w:ascii="Times New Roman" w:hAnsi="Times New Roman"/>
          <w:b/>
          <w:sz w:val="24"/>
          <w:szCs w:val="24"/>
        </w:rPr>
      </w:pPr>
    </w:p>
    <w:p w:rsidR="00E00AD9" w:rsidRDefault="00E00AD9" w:rsidP="00E00AD9">
      <w:pPr>
        <w:spacing w:line="276" w:lineRule="auto"/>
        <w:rPr>
          <w:rFonts w:ascii="Times New Roman" w:hAnsi="Times New Roman"/>
          <w:sz w:val="24"/>
          <w:szCs w:val="24"/>
        </w:rPr>
      </w:pPr>
      <w:r w:rsidRPr="00605AB0">
        <w:rPr>
          <w:rFonts w:ascii="Times New Roman" w:hAnsi="Times New Roman"/>
          <w:sz w:val="24"/>
          <w:szCs w:val="24"/>
        </w:rPr>
        <w:t>Comme le montre</w:t>
      </w:r>
      <w:r w:rsidR="00921FDA">
        <w:rPr>
          <w:rFonts w:ascii="Times New Roman" w:hAnsi="Times New Roman"/>
          <w:sz w:val="24"/>
          <w:szCs w:val="24"/>
        </w:rPr>
        <w:t>nt</w:t>
      </w:r>
      <w:r w:rsidRPr="00605AB0">
        <w:rPr>
          <w:rFonts w:ascii="Times New Roman" w:hAnsi="Times New Roman"/>
          <w:sz w:val="24"/>
          <w:szCs w:val="24"/>
        </w:rPr>
        <w:t xml:space="preserve"> les indicateurs calculés</w:t>
      </w:r>
      <w:r>
        <w:rPr>
          <w:rFonts w:ascii="Times New Roman" w:hAnsi="Times New Roman"/>
          <w:sz w:val="24"/>
          <w:szCs w:val="24"/>
        </w:rPr>
        <w:t>,</w:t>
      </w:r>
      <w:r w:rsidRPr="00605AB0">
        <w:rPr>
          <w:rFonts w:ascii="Times New Roman" w:hAnsi="Times New Roman"/>
          <w:sz w:val="24"/>
          <w:szCs w:val="24"/>
        </w:rPr>
        <w:t xml:space="preserve"> les femmes ont un accès au pouvoir </w:t>
      </w:r>
      <w:r>
        <w:rPr>
          <w:rFonts w:ascii="Times New Roman" w:hAnsi="Times New Roman"/>
          <w:sz w:val="24"/>
          <w:szCs w:val="24"/>
        </w:rPr>
        <w:t xml:space="preserve">social </w:t>
      </w:r>
      <w:r w:rsidRPr="00605AB0">
        <w:rPr>
          <w:rFonts w:ascii="Times New Roman" w:hAnsi="Times New Roman"/>
          <w:sz w:val="24"/>
          <w:szCs w:val="24"/>
        </w:rPr>
        <w:t xml:space="preserve">qui s’approche de celui des hommes (0,922 en 2004 et 0,896 en 2011). En revanche, elles ont un faible accès au pouvoir économique 0,536 en 2004 et 0,657 en 2011. </w:t>
      </w:r>
      <w:r>
        <w:rPr>
          <w:rFonts w:ascii="Times New Roman" w:hAnsi="Times New Roman"/>
          <w:sz w:val="24"/>
          <w:szCs w:val="24"/>
        </w:rPr>
        <w:t xml:space="preserve">La performance la plus faible se retrouve dans l’accès au pouvoir politique 0,135 en 2004 contre </w:t>
      </w:r>
      <w:r w:rsidR="0019382A">
        <w:rPr>
          <w:rFonts w:ascii="Times New Roman" w:hAnsi="Times New Roman"/>
          <w:sz w:val="24"/>
          <w:szCs w:val="24"/>
        </w:rPr>
        <w:t>0,217</w:t>
      </w:r>
      <w:r>
        <w:rPr>
          <w:rFonts w:ascii="Times New Roman" w:hAnsi="Times New Roman"/>
          <w:sz w:val="24"/>
          <w:szCs w:val="24"/>
        </w:rPr>
        <w:t xml:space="preserve"> en 2011. En effet, les femmes sont très faiblement représentées dans les instances de décisions : 4,60 % de femmes élues dans les élections communales, 8,43 % de femmes à l’Assemblée Nationale et 25,95 % de femmes dans l’exécutif. Elles ont ainsi un accès très faible au pouvoir politique. Bien que ces indicateurs soient calculés à l’échelle individuelle, ils sont susceptibles de refléter la situation selon le statut dans le ménage. Ainsi, le fait que les femmes aient un accès faible au pouvoir économique pourrait renforcer l’idée que les ménages dirigés par les femmes pourraient être plus vulnérables que ceux dirigés par les hommes, mais cette liaison ne saurait être implicite. </w:t>
      </w:r>
      <w:r w:rsidRPr="001064B7">
        <w:rPr>
          <w:rFonts w:ascii="Times New Roman" w:hAnsi="Times New Roman"/>
          <w:sz w:val="24"/>
          <w:szCs w:val="24"/>
        </w:rPr>
        <w:t xml:space="preserve">En effet, </w:t>
      </w:r>
      <w:r>
        <w:rPr>
          <w:rFonts w:ascii="Times New Roman" w:hAnsi="Times New Roman"/>
          <w:sz w:val="24"/>
          <w:szCs w:val="24"/>
        </w:rPr>
        <w:t xml:space="preserve">la faiblesse du pouvoir économique ne détermine pas forcément le degré de vulnérabilité des ménages dirigés par les femmes à la pauvreté. Ce dernier </w:t>
      </w:r>
      <w:r w:rsidRPr="001064B7">
        <w:rPr>
          <w:rFonts w:ascii="Times New Roman" w:hAnsi="Times New Roman"/>
          <w:sz w:val="24"/>
          <w:szCs w:val="24"/>
        </w:rPr>
        <w:t xml:space="preserve">dépend </w:t>
      </w:r>
      <w:r>
        <w:rPr>
          <w:rFonts w:ascii="Times New Roman" w:hAnsi="Times New Roman"/>
          <w:sz w:val="24"/>
          <w:szCs w:val="24"/>
        </w:rPr>
        <w:t>surtout des menaces auxquelles elles sont exposées. Dans ce chapitre, l’accent est mis  sur le différentiel de pouvoir économique entre les femmes et hommes chefs de ménage.</w:t>
      </w:r>
    </w:p>
    <w:p w:rsidR="00E00AD9" w:rsidRDefault="00E00AD9" w:rsidP="00E00AD9">
      <w:pPr>
        <w:spacing w:line="276" w:lineRule="auto"/>
        <w:rPr>
          <w:rFonts w:ascii="Times New Roman" w:hAnsi="Times New Roman"/>
          <w:sz w:val="24"/>
          <w:szCs w:val="24"/>
        </w:rPr>
      </w:pPr>
    </w:p>
    <w:p w:rsidR="00E00AD9" w:rsidRPr="00670743" w:rsidRDefault="00744E9A" w:rsidP="00670743">
      <w:pPr>
        <w:pStyle w:val="Titre2"/>
        <w:spacing w:before="0" w:after="0"/>
        <w:rPr>
          <w:rFonts w:ascii="Times New Roman" w:hAnsi="Times New Roman" w:cs="Times New Roman"/>
          <w:i w:val="0"/>
          <w:color w:val="31849B" w:themeColor="accent5" w:themeShade="BF"/>
        </w:rPr>
      </w:pPr>
      <w:bookmarkStart w:id="192" w:name="_Toc382322957"/>
      <w:r w:rsidRPr="00670743">
        <w:rPr>
          <w:rFonts w:ascii="Times New Roman" w:hAnsi="Times New Roman" w:cs="Times New Roman"/>
          <w:i w:val="0"/>
          <w:color w:val="31849B" w:themeColor="accent5" w:themeShade="BF"/>
        </w:rPr>
        <w:t xml:space="preserve">6.3  </w:t>
      </w:r>
      <w:r w:rsidR="00E00AD9" w:rsidRPr="00670743">
        <w:rPr>
          <w:rFonts w:ascii="Times New Roman" w:hAnsi="Times New Roman" w:cs="Times New Roman"/>
          <w:i w:val="0"/>
          <w:color w:val="31849B" w:themeColor="accent5" w:themeShade="BF"/>
        </w:rPr>
        <w:t>Inégalités d’accès et statut de pauvreté selon le sexe du</w:t>
      </w:r>
      <w:r w:rsidR="00C701F1">
        <w:rPr>
          <w:rFonts w:ascii="Times New Roman" w:hAnsi="Times New Roman" w:cs="Times New Roman"/>
          <w:i w:val="0"/>
          <w:color w:val="31849B" w:themeColor="accent5" w:themeShade="BF"/>
        </w:rPr>
        <w:t xml:space="preserve"> chef de</w:t>
      </w:r>
      <w:r w:rsidR="00E00AD9" w:rsidRPr="00670743">
        <w:rPr>
          <w:rFonts w:ascii="Times New Roman" w:hAnsi="Times New Roman" w:cs="Times New Roman"/>
          <w:i w:val="0"/>
          <w:color w:val="31849B" w:themeColor="accent5" w:themeShade="BF"/>
        </w:rPr>
        <w:t xml:space="preserve"> ménage</w:t>
      </w:r>
      <w:bookmarkEnd w:id="192"/>
    </w:p>
    <w:p w:rsidR="00E00AD9" w:rsidRPr="00670743" w:rsidRDefault="00E00AD9" w:rsidP="00E00AD9">
      <w:pPr>
        <w:pStyle w:val="Paragraphedeliste"/>
        <w:spacing w:line="276" w:lineRule="auto"/>
        <w:ind w:left="360"/>
        <w:rPr>
          <w:rFonts w:ascii="Times New Roman" w:hAnsi="Times New Roman"/>
          <w:b/>
          <w:sz w:val="12"/>
          <w:szCs w:val="12"/>
        </w:rPr>
      </w:pPr>
    </w:p>
    <w:p w:rsidR="00E00AD9" w:rsidRDefault="00E00AD9" w:rsidP="00E00AD9">
      <w:pPr>
        <w:spacing w:line="276" w:lineRule="auto"/>
        <w:rPr>
          <w:rFonts w:ascii="Times New Roman" w:hAnsi="Times New Roman"/>
          <w:sz w:val="24"/>
          <w:szCs w:val="24"/>
        </w:rPr>
      </w:pPr>
      <w:r>
        <w:rPr>
          <w:rFonts w:ascii="Times New Roman" w:hAnsi="Times New Roman"/>
          <w:sz w:val="24"/>
          <w:szCs w:val="24"/>
        </w:rPr>
        <w:t xml:space="preserve">L’inégalité d’accès est captée par la </w:t>
      </w:r>
      <w:r w:rsidRPr="001064B7">
        <w:rPr>
          <w:rFonts w:ascii="Times New Roman" w:hAnsi="Times New Roman"/>
          <w:sz w:val="24"/>
          <w:szCs w:val="24"/>
        </w:rPr>
        <w:t xml:space="preserve">vulnérabilité en termes économiques </w:t>
      </w:r>
      <w:r>
        <w:rPr>
          <w:rFonts w:ascii="Times New Roman" w:hAnsi="Times New Roman"/>
          <w:sz w:val="24"/>
          <w:szCs w:val="24"/>
        </w:rPr>
        <w:t xml:space="preserve">qui </w:t>
      </w:r>
      <w:r w:rsidRPr="001064B7">
        <w:rPr>
          <w:rFonts w:ascii="Times New Roman" w:hAnsi="Times New Roman"/>
          <w:sz w:val="24"/>
          <w:szCs w:val="24"/>
        </w:rPr>
        <w:t>se traduit par la faiblesse de revenus et d’actifs pour faire face aux risques.</w:t>
      </w:r>
      <w:r>
        <w:rPr>
          <w:rFonts w:ascii="Times New Roman" w:hAnsi="Times New Roman"/>
          <w:sz w:val="24"/>
          <w:szCs w:val="24"/>
        </w:rPr>
        <w:t xml:space="preserve"> En général, l</w:t>
      </w:r>
      <w:r w:rsidRPr="001064B7">
        <w:rPr>
          <w:rFonts w:ascii="Times New Roman" w:hAnsi="Times New Roman"/>
          <w:sz w:val="24"/>
          <w:szCs w:val="24"/>
        </w:rPr>
        <w:t>es ménages pauvres sont par essence les plus défavorisés et par conséquent présentent les plus grands écarts à la moyenne: bas niveaux de revenus, d’avoirs et d’épargne, bas niveaux d’instruction, de formation ou de qualification et accès limité aux sources de financement.</w:t>
      </w:r>
      <w:r>
        <w:rPr>
          <w:rFonts w:ascii="Times New Roman" w:hAnsi="Times New Roman"/>
          <w:sz w:val="24"/>
          <w:szCs w:val="24"/>
        </w:rPr>
        <w:t xml:space="preserve"> En outre, l</w:t>
      </w:r>
      <w:r w:rsidRPr="001064B7">
        <w:rPr>
          <w:rFonts w:ascii="Times New Roman" w:hAnsi="Times New Roman"/>
          <w:sz w:val="24"/>
          <w:szCs w:val="24"/>
        </w:rPr>
        <w:t>es facteurs de vulnérabilité économiques relèvent aussi des faibles potentialités des communautés à la base (insuffisance d’infrastructures économiques, accès limité aux services financiers, accès insuffisant à la terre et inégalités sociales dans l’accès aux facteurs de production), ce qui bloque l’amélioration de l’efficacité des systèmes de production et l’accroissement des revenus</w:t>
      </w:r>
      <w:r>
        <w:rPr>
          <w:rFonts w:ascii="Times New Roman" w:hAnsi="Times New Roman"/>
          <w:sz w:val="24"/>
          <w:szCs w:val="24"/>
        </w:rPr>
        <w:t xml:space="preserve"> (Hodges et al, 2010)</w:t>
      </w:r>
      <w:r w:rsidRPr="001064B7">
        <w:rPr>
          <w:rFonts w:ascii="Times New Roman" w:hAnsi="Times New Roman"/>
          <w:sz w:val="24"/>
          <w:szCs w:val="24"/>
        </w:rPr>
        <w:t>.</w:t>
      </w:r>
    </w:p>
    <w:p w:rsidR="00E00AD9"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r>
        <w:rPr>
          <w:rFonts w:ascii="Times New Roman" w:hAnsi="Times New Roman"/>
          <w:sz w:val="24"/>
          <w:szCs w:val="24"/>
        </w:rPr>
        <w:t xml:space="preserve">Afin d’appréhender le lien entre la vulnérabilité économique et le statut de pauvreté, la démarche utilisée repose sur l’analyse des matrices de transition qui traduisent les probabilités de sortie, d’entrée et de maintien dans la pauvreté. Elles sont établies sur la base d’une analyse dynamique de la pauvreté entre 2006 et 2009 par le biais des mouvements de sortie et d’entrée dans la pauvreté. </w:t>
      </w:r>
    </w:p>
    <w:p w:rsidR="00E00AD9" w:rsidRDefault="00E00AD9" w:rsidP="00E00AD9">
      <w:pPr>
        <w:spacing w:line="276" w:lineRule="auto"/>
        <w:rPr>
          <w:rFonts w:ascii="Times New Roman" w:hAnsi="Times New Roman"/>
          <w:b/>
          <w:sz w:val="24"/>
          <w:szCs w:val="24"/>
        </w:rPr>
      </w:pPr>
    </w:p>
    <w:p w:rsidR="00E00AD9" w:rsidRDefault="00E00AD9" w:rsidP="00E00AD9">
      <w:pPr>
        <w:spacing w:line="276" w:lineRule="auto"/>
        <w:rPr>
          <w:rFonts w:ascii="Times New Roman" w:hAnsi="Times New Roman"/>
          <w:b/>
          <w:sz w:val="24"/>
          <w:szCs w:val="24"/>
        </w:rPr>
      </w:pPr>
      <w:r w:rsidRPr="001064B7">
        <w:rPr>
          <w:rFonts w:ascii="Times New Roman" w:hAnsi="Times New Roman"/>
          <w:b/>
          <w:sz w:val="24"/>
          <w:szCs w:val="24"/>
        </w:rPr>
        <w:t xml:space="preserve">Analyse de la </w:t>
      </w:r>
      <w:r>
        <w:rPr>
          <w:rFonts w:ascii="Times New Roman" w:hAnsi="Times New Roman"/>
          <w:b/>
          <w:sz w:val="24"/>
          <w:szCs w:val="24"/>
        </w:rPr>
        <w:t>mobilité des ménages</w:t>
      </w:r>
      <w:r>
        <w:rPr>
          <w:rFonts w:ascii="Times New Roman" w:hAnsi="Times New Roman"/>
          <w:sz w:val="24"/>
          <w:szCs w:val="24"/>
        </w:rPr>
        <w:t>: Comme le montre le tableau ci-dessous, les</w:t>
      </w:r>
      <w:r w:rsidRPr="001064B7">
        <w:rPr>
          <w:rFonts w:ascii="Times New Roman" w:hAnsi="Times New Roman"/>
          <w:sz w:val="24"/>
          <w:szCs w:val="24"/>
        </w:rPr>
        <w:t xml:space="preserve"> probabilité</w:t>
      </w:r>
      <w:r>
        <w:rPr>
          <w:rFonts w:ascii="Times New Roman" w:hAnsi="Times New Roman"/>
          <w:sz w:val="24"/>
          <w:szCs w:val="24"/>
        </w:rPr>
        <w:t>s</w:t>
      </w:r>
      <w:r w:rsidRPr="001064B7">
        <w:rPr>
          <w:rFonts w:ascii="Times New Roman" w:hAnsi="Times New Roman"/>
          <w:sz w:val="24"/>
          <w:szCs w:val="24"/>
        </w:rPr>
        <w:t xml:space="preserve"> de tomber </w:t>
      </w:r>
      <w:r>
        <w:rPr>
          <w:rFonts w:ascii="Times New Roman" w:hAnsi="Times New Roman"/>
          <w:sz w:val="24"/>
          <w:szCs w:val="24"/>
        </w:rPr>
        <w:t xml:space="preserve">et de persister dans la pauvreté sont </w:t>
      </w:r>
      <w:r w:rsidRPr="001064B7">
        <w:rPr>
          <w:rFonts w:ascii="Times New Roman" w:hAnsi="Times New Roman"/>
          <w:sz w:val="24"/>
          <w:szCs w:val="24"/>
        </w:rPr>
        <w:t>relativement plus élevé</w:t>
      </w:r>
      <w:r>
        <w:rPr>
          <w:rFonts w:ascii="Times New Roman" w:hAnsi="Times New Roman"/>
          <w:sz w:val="24"/>
          <w:szCs w:val="24"/>
        </w:rPr>
        <w:t xml:space="preserve">es </w:t>
      </w:r>
      <w:r w:rsidRPr="001064B7">
        <w:rPr>
          <w:rFonts w:ascii="Times New Roman" w:hAnsi="Times New Roman"/>
          <w:sz w:val="24"/>
          <w:szCs w:val="24"/>
        </w:rPr>
        <w:t xml:space="preserve">au niveau des ménages dirigés par les hommes </w:t>
      </w:r>
      <w:r>
        <w:rPr>
          <w:rFonts w:ascii="Times New Roman" w:hAnsi="Times New Roman"/>
          <w:sz w:val="24"/>
          <w:szCs w:val="24"/>
        </w:rPr>
        <w:t xml:space="preserve">que ceux dirigés par les femmes. Elles sont estimées respectivement </w:t>
      </w:r>
      <w:r w:rsidRPr="001064B7">
        <w:rPr>
          <w:rFonts w:ascii="Times New Roman" w:hAnsi="Times New Roman"/>
          <w:sz w:val="24"/>
          <w:szCs w:val="24"/>
        </w:rPr>
        <w:t xml:space="preserve">35,26% </w:t>
      </w:r>
      <w:r>
        <w:rPr>
          <w:rFonts w:ascii="Times New Roman" w:hAnsi="Times New Roman"/>
          <w:sz w:val="24"/>
          <w:szCs w:val="24"/>
        </w:rPr>
        <w:t xml:space="preserve">et </w:t>
      </w:r>
      <w:r w:rsidRPr="005467E4">
        <w:rPr>
          <w:rFonts w:ascii="Times New Roman" w:hAnsi="Times New Roman"/>
          <w:sz w:val="24"/>
          <w:szCs w:val="24"/>
        </w:rPr>
        <w:t xml:space="preserve">45,06% </w:t>
      </w:r>
      <w:r>
        <w:rPr>
          <w:rFonts w:ascii="Times New Roman" w:hAnsi="Times New Roman"/>
          <w:sz w:val="24"/>
          <w:szCs w:val="24"/>
        </w:rPr>
        <w:t xml:space="preserve">contre </w:t>
      </w:r>
      <w:r w:rsidRPr="001064B7">
        <w:rPr>
          <w:rFonts w:ascii="Times New Roman" w:hAnsi="Times New Roman"/>
          <w:sz w:val="24"/>
          <w:szCs w:val="24"/>
        </w:rPr>
        <w:t xml:space="preserve">26,68% </w:t>
      </w:r>
      <w:r>
        <w:rPr>
          <w:rFonts w:ascii="Times New Roman" w:hAnsi="Times New Roman"/>
          <w:sz w:val="24"/>
          <w:szCs w:val="24"/>
        </w:rPr>
        <w:t xml:space="preserve">et </w:t>
      </w:r>
      <w:r w:rsidRPr="005467E4">
        <w:rPr>
          <w:rFonts w:ascii="Times New Roman" w:hAnsi="Times New Roman"/>
          <w:sz w:val="24"/>
          <w:szCs w:val="24"/>
        </w:rPr>
        <w:t>44,16%</w:t>
      </w:r>
      <w:r w:rsidR="00921FDA">
        <w:rPr>
          <w:rFonts w:ascii="Times New Roman" w:hAnsi="Times New Roman"/>
          <w:sz w:val="24"/>
          <w:szCs w:val="24"/>
        </w:rPr>
        <w:t xml:space="preserve"> </w:t>
      </w:r>
      <w:r>
        <w:rPr>
          <w:rFonts w:ascii="Times New Roman" w:hAnsi="Times New Roman"/>
          <w:sz w:val="24"/>
          <w:szCs w:val="24"/>
        </w:rPr>
        <w:t>pour les femmes</w:t>
      </w:r>
      <w:r w:rsidRPr="001064B7">
        <w:rPr>
          <w:rFonts w:ascii="Times New Roman" w:hAnsi="Times New Roman"/>
          <w:sz w:val="24"/>
          <w:szCs w:val="24"/>
        </w:rPr>
        <w:t>. La situation inverse est notée en ce qui concerne la probabilité de sortir de pauvreté. Mais l’écart est relativement faible (55,84% contre 54,94%)</w:t>
      </w:r>
      <w:r>
        <w:rPr>
          <w:rFonts w:ascii="Times New Roman" w:hAnsi="Times New Roman"/>
          <w:sz w:val="24"/>
          <w:szCs w:val="24"/>
        </w:rPr>
        <w:t xml:space="preserve"> tout comme en ce qui concerne la probabilité de persister dans la pauvreté</w:t>
      </w:r>
      <w:r w:rsidRPr="001064B7">
        <w:rPr>
          <w:rFonts w:ascii="Times New Roman" w:hAnsi="Times New Roman"/>
          <w:sz w:val="24"/>
          <w:szCs w:val="24"/>
        </w:rPr>
        <w:t xml:space="preserve">. </w:t>
      </w:r>
      <w:r>
        <w:rPr>
          <w:rFonts w:ascii="Times New Roman" w:hAnsi="Times New Roman"/>
          <w:sz w:val="24"/>
          <w:szCs w:val="24"/>
        </w:rPr>
        <w:t>Il se dégage donc que les ménages dirigés par les femmes ont relativement moins de chance que ceux dirigés par les hommes de tomber dans la pauvreté. Leur faible pouvoir économique ne les prédispose pas pour autant à un risque de pauvreté plus élevé comparé aux ménages dirigés par les hommes.</w:t>
      </w:r>
    </w:p>
    <w:p w:rsidR="00E00AD9" w:rsidRDefault="00E00AD9" w:rsidP="00E00AD9">
      <w:pPr>
        <w:pStyle w:val="Paragraphedeliste"/>
        <w:spacing w:line="276" w:lineRule="auto"/>
        <w:ind w:left="360"/>
        <w:rPr>
          <w:rFonts w:ascii="Times New Roman" w:hAnsi="Times New Roman"/>
          <w:b/>
          <w:sz w:val="24"/>
          <w:szCs w:val="24"/>
        </w:rPr>
      </w:pPr>
    </w:p>
    <w:p w:rsidR="00E00AD9" w:rsidRDefault="00E00AD9" w:rsidP="00E00AD9">
      <w:pPr>
        <w:pStyle w:val="Paragraphedeliste"/>
        <w:spacing w:line="276" w:lineRule="auto"/>
        <w:ind w:left="360"/>
        <w:rPr>
          <w:rFonts w:ascii="Times New Roman" w:hAnsi="Times New Roman"/>
          <w:b/>
          <w:sz w:val="24"/>
          <w:szCs w:val="24"/>
        </w:rPr>
      </w:pPr>
    </w:p>
    <w:p w:rsidR="00E00AD9" w:rsidRDefault="00E00AD9" w:rsidP="00E00AD9">
      <w:pPr>
        <w:pStyle w:val="Paragraphedeliste"/>
        <w:spacing w:line="276" w:lineRule="auto"/>
        <w:ind w:left="360"/>
        <w:rPr>
          <w:rFonts w:ascii="Times New Roman" w:hAnsi="Times New Roman"/>
          <w:b/>
          <w:sz w:val="24"/>
          <w:szCs w:val="24"/>
        </w:rPr>
      </w:pPr>
    </w:p>
    <w:p w:rsidR="00670743" w:rsidRDefault="00670743" w:rsidP="00E00AD9">
      <w:pPr>
        <w:pStyle w:val="Paragraphedeliste"/>
        <w:spacing w:line="276" w:lineRule="auto"/>
        <w:ind w:left="360"/>
        <w:rPr>
          <w:rFonts w:ascii="Times New Roman" w:hAnsi="Times New Roman"/>
          <w:b/>
          <w:sz w:val="24"/>
          <w:szCs w:val="24"/>
        </w:rPr>
      </w:pPr>
    </w:p>
    <w:tbl>
      <w:tblPr>
        <w:tblStyle w:val="Grilledutableau"/>
        <w:tblW w:w="8929"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2"/>
        <w:gridCol w:w="2374"/>
        <w:gridCol w:w="1853"/>
      </w:tblGrid>
      <w:tr w:rsidR="0026369E" w:rsidRPr="007371E6" w:rsidTr="0026369E">
        <w:trPr>
          <w:trHeight w:val="242"/>
        </w:trPr>
        <w:tc>
          <w:tcPr>
            <w:tcW w:w="8929" w:type="dxa"/>
            <w:gridSpan w:val="3"/>
            <w:tcBorders>
              <w:top w:val="nil"/>
              <w:bottom w:val="nil"/>
              <w:right w:val="nil"/>
            </w:tcBorders>
            <w:shd w:val="clear" w:color="auto" w:fill="92CDDC" w:themeFill="accent5" w:themeFillTint="99"/>
          </w:tcPr>
          <w:p w:rsidR="0026369E" w:rsidRPr="007371E6" w:rsidRDefault="007371E6" w:rsidP="0026369E">
            <w:pPr>
              <w:spacing w:line="276" w:lineRule="auto"/>
              <w:rPr>
                <w:rFonts w:ascii="Times New Roman" w:hAnsi="Times New Roman"/>
                <w:sz w:val="24"/>
                <w:szCs w:val="24"/>
              </w:rPr>
            </w:pPr>
            <w:bookmarkStart w:id="193" w:name="_Toc369714529"/>
            <w:bookmarkStart w:id="194" w:name="_Toc369720918"/>
            <w:r w:rsidRPr="007371E6">
              <w:rPr>
                <w:rFonts w:ascii="Times New Roman" w:hAnsi="Times New Roman"/>
                <w:sz w:val="24"/>
                <w:szCs w:val="24"/>
              </w:rPr>
              <w:t xml:space="preserve">Tableau 6. </w:t>
            </w:r>
            <w:r w:rsidR="00182C97" w:rsidRPr="007371E6">
              <w:rPr>
                <w:rFonts w:ascii="Times New Roman" w:hAnsi="Times New Roman"/>
                <w:sz w:val="24"/>
                <w:szCs w:val="24"/>
              </w:rPr>
              <w:fldChar w:fldCharType="begin"/>
            </w:r>
            <w:r w:rsidRPr="007371E6">
              <w:rPr>
                <w:rFonts w:ascii="Times New Roman" w:hAnsi="Times New Roman"/>
                <w:sz w:val="24"/>
                <w:szCs w:val="24"/>
              </w:rPr>
              <w:instrText xml:space="preserve"> SEQ Tableau_6. \* ARABIC </w:instrText>
            </w:r>
            <w:r w:rsidR="00182C97" w:rsidRPr="007371E6">
              <w:rPr>
                <w:rFonts w:ascii="Times New Roman" w:hAnsi="Times New Roman"/>
                <w:sz w:val="24"/>
                <w:szCs w:val="24"/>
              </w:rPr>
              <w:fldChar w:fldCharType="separate"/>
            </w:r>
            <w:r w:rsidR="00AB1967">
              <w:rPr>
                <w:rFonts w:ascii="Times New Roman" w:hAnsi="Times New Roman"/>
                <w:noProof/>
                <w:sz w:val="24"/>
                <w:szCs w:val="24"/>
              </w:rPr>
              <w:t>2</w:t>
            </w:r>
            <w:r w:rsidR="00182C97" w:rsidRPr="007371E6">
              <w:rPr>
                <w:rFonts w:ascii="Times New Roman" w:hAnsi="Times New Roman"/>
                <w:sz w:val="24"/>
                <w:szCs w:val="24"/>
              </w:rPr>
              <w:fldChar w:fldCharType="end"/>
            </w:r>
            <w:r w:rsidR="0026369E" w:rsidRPr="007371E6">
              <w:rPr>
                <w:rFonts w:ascii="Times New Roman" w:hAnsi="Times New Roman"/>
                <w:sz w:val="24"/>
                <w:szCs w:val="24"/>
              </w:rPr>
              <w:t>: Matrice de transition dans la pauvreté monétaire entre 2006 et 2009</w:t>
            </w:r>
            <w:bookmarkEnd w:id="193"/>
            <w:bookmarkEnd w:id="194"/>
          </w:p>
        </w:tc>
      </w:tr>
      <w:tr w:rsidR="00E00AD9" w:rsidRPr="00E05850" w:rsidTr="0026369E">
        <w:trPr>
          <w:trHeight w:val="348"/>
        </w:trPr>
        <w:tc>
          <w:tcPr>
            <w:tcW w:w="4702" w:type="dxa"/>
            <w:vMerge w:val="restart"/>
            <w:tcBorders>
              <w:top w:val="double" w:sz="4" w:space="0" w:color="auto"/>
              <w:bottom w:val="nil"/>
            </w:tcBorders>
            <w:shd w:val="clear" w:color="auto" w:fill="DAEEF3" w:themeFill="accent5" w:themeFillTint="33"/>
            <w:vAlign w:val="bottom"/>
          </w:tcPr>
          <w:p w:rsidR="00E00AD9" w:rsidRPr="00E05850" w:rsidRDefault="00E00AD9" w:rsidP="00921FDA">
            <w:pPr>
              <w:spacing w:line="240" w:lineRule="auto"/>
              <w:jc w:val="left"/>
              <w:rPr>
                <w:rFonts w:ascii="Times New Roman" w:hAnsi="Times New Roman"/>
              </w:rPr>
            </w:pPr>
            <w:r w:rsidRPr="00E05850">
              <w:rPr>
                <w:rFonts w:ascii="Times New Roman" w:hAnsi="Times New Roman"/>
              </w:rPr>
              <w:t>Situation de pauvreté en 2006</w:t>
            </w:r>
            <w:r w:rsidR="00921FDA">
              <w:rPr>
                <w:rFonts w:ascii="Times New Roman" w:hAnsi="Times New Roman"/>
              </w:rPr>
              <w:t xml:space="preserve"> </w:t>
            </w:r>
            <w:r w:rsidR="0026369E">
              <w:rPr>
                <w:rFonts w:ascii="Times New Roman" w:hAnsi="Times New Roman"/>
              </w:rPr>
              <w:t xml:space="preserve">selon le </w:t>
            </w:r>
            <w:r w:rsidR="00921FDA">
              <w:rPr>
                <w:rFonts w:ascii="Times New Roman" w:hAnsi="Times New Roman"/>
              </w:rPr>
              <w:t>s</w:t>
            </w:r>
            <w:r w:rsidR="00921FDA" w:rsidRPr="00E05850">
              <w:rPr>
                <w:rFonts w:ascii="Times New Roman" w:hAnsi="Times New Roman"/>
              </w:rPr>
              <w:t xml:space="preserve">exe </w:t>
            </w:r>
            <w:r w:rsidR="0026369E" w:rsidRPr="00E05850">
              <w:rPr>
                <w:rFonts w:ascii="Times New Roman" w:hAnsi="Times New Roman"/>
              </w:rPr>
              <w:t>du chef de ménage</w:t>
            </w:r>
          </w:p>
        </w:tc>
        <w:tc>
          <w:tcPr>
            <w:tcW w:w="4227" w:type="dxa"/>
            <w:gridSpan w:val="2"/>
            <w:tcBorders>
              <w:top w:val="double" w:sz="4" w:space="0" w:color="auto"/>
              <w:bottom w:val="single" w:sz="4" w:space="0" w:color="000000" w:themeColor="text1"/>
            </w:tcBorders>
            <w:shd w:val="clear" w:color="auto" w:fill="DAEEF3" w:themeFill="accent5" w:themeFillTint="33"/>
            <w:vAlign w:val="center"/>
          </w:tcPr>
          <w:p w:rsidR="00E00AD9" w:rsidRPr="00DF12E8" w:rsidRDefault="00E00AD9" w:rsidP="00C464FF">
            <w:pPr>
              <w:spacing w:line="240" w:lineRule="auto"/>
              <w:jc w:val="center"/>
              <w:rPr>
                <w:rFonts w:ascii="Times New Roman" w:hAnsi="Times New Roman"/>
                <w:b/>
              </w:rPr>
            </w:pPr>
            <w:r w:rsidRPr="001064B7">
              <w:rPr>
                <w:rFonts w:ascii="Times New Roman" w:hAnsi="Times New Roman"/>
                <w:b/>
              </w:rPr>
              <w:t>Situation de pauvreté en 2009</w:t>
            </w:r>
          </w:p>
        </w:tc>
      </w:tr>
      <w:tr w:rsidR="00E00AD9" w:rsidRPr="00E05850" w:rsidTr="0026369E">
        <w:trPr>
          <w:trHeight w:val="403"/>
        </w:trPr>
        <w:tc>
          <w:tcPr>
            <w:tcW w:w="4702" w:type="dxa"/>
            <w:vMerge/>
            <w:tcBorders>
              <w:top w:val="nil"/>
              <w:bottom w:val="double" w:sz="4" w:space="0" w:color="auto"/>
            </w:tcBorders>
            <w:shd w:val="clear" w:color="auto" w:fill="DAEEF3" w:themeFill="accent5" w:themeFillTint="33"/>
            <w:vAlign w:val="bottom"/>
          </w:tcPr>
          <w:p w:rsidR="00E00AD9" w:rsidRPr="00E05850" w:rsidRDefault="00E00AD9" w:rsidP="00C464FF">
            <w:pPr>
              <w:spacing w:line="240" w:lineRule="auto"/>
              <w:jc w:val="left"/>
              <w:rPr>
                <w:rFonts w:ascii="Times New Roman" w:hAnsi="Times New Roman"/>
              </w:rPr>
            </w:pPr>
          </w:p>
        </w:tc>
        <w:tc>
          <w:tcPr>
            <w:tcW w:w="2374" w:type="dxa"/>
            <w:tcBorders>
              <w:top w:val="single" w:sz="4" w:space="0" w:color="000000" w:themeColor="text1"/>
              <w:bottom w:val="double" w:sz="4" w:space="0" w:color="auto"/>
            </w:tcBorders>
            <w:shd w:val="clear" w:color="auto" w:fill="DAEEF3" w:themeFill="accent5" w:themeFillTint="33"/>
            <w:vAlign w:val="center"/>
          </w:tcPr>
          <w:p w:rsidR="00E00AD9" w:rsidRPr="00DF12E8" w:rsidRDefault="00E00AD9" w:rsidP="00C464FF">
            <w:pPr>
              <w:spacing w:line="240" w:lineRule="auto"/>
              <w:jc w:val="left"/>
              <w:rPr>
                <w:rFonts w:ascii="Times New Roman" w:hAnsi="Times New Roman"/>
                <w:b/>
                <w:color w:val="000000"/>
              </w:rPr>
            </w:pPr>
            <w:r w:rsidRPr="001064B7">
              <w:rPr>
                <w:rFonts w:ascii="Times New Roman" w:hAnsi="Times New Roman"/>
                <w:b/>
              </w:rPr>
              <w:t>Non p</w:t>
            </w:r>
            <w:r w:rsidRPr="001064B7">
              <w:rPr>
                <w:rFonts w:ascii="Times New Roman" w:hAnsi="Times New Roman"/>
                <w:b/>
                <w:color w:val="000000"/>
              </w:rPr>
              <w:t xml:space="preserve">auvre </w:t>
            </w:r>
          </w:p>
        </w:tc>
        <w:tc>
          <w:tcPr>
            <w:tcW w:w="1853" w:type="dxa"/>
            <w:tcBorders>
              <w:top w:val="single" w:sz="4" w:space="0" w:color="000000" w:themeColor="text1"/>
              <w:bottom w:val="double" w:sz="4" w:space="0" w:color="auto"/>
            </w:tcBorders>
            <w:shd w:val="clear" w:color="auto" w:fill="DAEEF3" w:themeFill="accent5" w:themeFillTint="33"/>
            <w:vAlign w:val="center"/>
          </w:tcPr>
          <w:p w:rsidR="00E00AD9" w:rsidRPr="00DF12E8" w:rsidRDefault="00E00AD9" w:rsidP="00C464FF">
            <w:pPr>
              <w:spacing w:line="240" w:lineRule="auto"/>
              <w:jc w:val="left"/>
              <w:rPr>
                <w:rFonts w:ascii="Times New Roman" w:hAnsi="Times New Roman"/>
                <w:b/>
              </w:rPr>
            </w:pPr>
            <w:r w:rsidRPr="001064B7">
              <w:rPr>
                <w:rFonts w:ascii="Times New Roman" w:hAnsi="Times New Roman"/>
                <w:b/>
              </w:rPr>
              <w:t xml:space="preserve">Pauvre </w:t>
            </w:r>
          </w:p>
        </w:tc>
      </w:tr>
      <w:tr w:rsidR="00E00AD9" w:rsidRPr="00E05850" w:rsidTr="0026369E">
        <w:trPr>
          <w:trHeight w:val="242"/>
        </w:trPr>
        <w:tc>
          <w:tcPr>
            <w:tcW w:w="4702" w:type="dxa"/>
            <w:tcBorders>
              <w:top w:val="nil"/>
              <w:bottom w:val="nil"/>
              <w:right w:val="nil"/>
            </w:tcBorders>
            <w:shd w:val="clear" w:color="auto" w:fill="DAEEF3" w:themeFill="accent5" w:themeFillTint="33"/>
          </w:tcPr>
          <w:p w:rsidR="00E00AD9" w:rsidRDefault="00E00AD9" w:rsidP="00C464FF">
            <w:pPr>
              <w:spacing w:line="240" w:lineRule="auto"/>
              <w:rPr>
                <w:rFonts w:ascii="Times New Roman" w:hAnsi="Times New Roman"/>
                <w:b/>
              </w:rPr>
            </w:pPr>
            <w:r w:rsidRPr="00E05850">
              <w:rPr>
                <w:rFonts w:ascii="Times New Roman" w:hAnsi="Times New Roman"/>
                <w:b/>
              </w:rPr>
              <w:t>Hommes</w:t>
            </w:r>
          </w:p>
        </w:tc>
        <w:tc>
          <w:tcPr>
            <w:tcW w:w="2374" w:type="dxa"/>
            <w:tcBorders>
              <w:top w:val="nil"/>
              <w:left w:val="nil"/>
              <w:bottom w:val="nil"/>
              <w:right w:val="nil"/>
            </w:tcBorders>
            <w:shd w:val="clear" w:color="auto" w:fill="DAEEF3" w:themeFill="accent5" w:themeFillTint="33"/>
            <w:vAlign w:val="center"/>
          </w:tcPr>
          <w:p w:rsidR="00E00AD9" w:rsidRPr="00E05850" w:rsidRDefault="00E00AD9" w:rsidP="00C464FF">
            <w:pPr>
              <w:spacing w:line="240" w:lineRule="auto"/>
              <w:jc w:val="right"/>
              <w:rPr>
                <w:rFonts w:ascii="Times New Roman" w:hAnsi="Times New Roman"/>
              </w:rPr>
            </w:pPr>
          </w:p>
        </w:tc>
        <w:tc>
          <w:tcPr>
            <w:tcW w:w="1853" w:type="dxa"/>
            <w:tcBorders>
              <w:top w:val="nil"/>
              <w:left w:val="nil"/>
              <w:bottom w:val="nil"/>
              <w:right w:val="nil"/>
            </w:tcBorders>
            <w:shd w:val="clear" w:color="auto" w:fill="DAEEF3" w:themeFill="accent5" w:themeFillTint="33"/>
            <w:vAlign w:val="center"/>
          </w:tcPr>
          <w:p w:rsidR="00E00AD9" w:rsidRPr="00E05850" w:rsidRDefault="00E00AD9" w:rsidP="00C464FF">
            <w:pPr>
              <w:spacing w:line="240" w:lineRule="auto"/>
              <w:jc w:val="right"/>
              <w:rPr>
                <w:rFonts w:ascii="Times New Roman" w:hAnsi="Times New Roman"/>
              </w:rPr>
            </w:pPr>
          </w:p>
        </w:tc>
      </w:tr>
      <w:tr w:rsidR="00E00AD9" w:rsidRPr="00E05850" w:rsidTr="0026369E">
        <w:trPr>
          <w:trHeight w:val="242"/>
        </w:trPr>
        <w:tc>
          <w:tcPr>
            <w:tcW w:w="4702" w:type="dxa"/>
            <w:tcBorders>
              <w:top w:val="nil"/>
              <w:bottom w:val="nil"/>
              <w:right w:val="nil"/>
            </w:tcBorders>
            <w:shd w:val="clear" w:color="auto" w:fill="DAEEF3" w:themeFill="accent5" w:themeFillTint="33"/>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 xml:space="preserve">Non pauvre </w:t>
            </w:r>
          </w:p>
        </w:tc>
        <w:tc>
          <w:tcPr>
            <w:tcW w:w="2374"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64,74</w:t>
            </w:r>
          </w:p>
        </w:tc>
        <w:tc>
          <w:tcPr>
            <w:tcW w:w="1853"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35,26</w:t>
            </w:r>
          </w:p>
        </w:tc>
      </w:tr>
      <w:tr w:rsidR="00E00AD9" w:rsidRPr="00E05850" w:rsidTr="0026369E">
        <w:trPr>
          <w:trHeight w:val="242"/>
        </w:trPr>
        <w:tc>
          <w:tcPr>
            <w:tcW w:w="4702" w:type="dxa"/>
            <w:tcBorders>
              <w:top w:val="nil"/>
              <w:bottom w:val="nil"/>
              <w:right w:val="nil"/>
            </w:tcBorders>
            <w:shd w:val="clear" w:color="auto" w:fill="DAEEF3" w:themeFill="accent5" w:themeFillTint="33"/>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 xml:space="preserve">Pauvre </w:t>
            </w:r>
          </w:p>
        </w:tc>
        <w:tc>
          <w:tcPr>
            <w:tcW w:w="2374"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54,94</w:t>
            </w:r>
          </w:p>
        </w:tc>
        <w:tc>
          <w:tcPr>
            <w:tcW w:w="1853"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45,06</w:t>
            </w:r>
          </w:p>
        </w:tc>
      </w:tr>
      <w:tr w:rsidR="00E00AD9" w:rsidRPr="00E05850" w:rsidTr="0026369E">
        <w:trPr>
          <w:trHeight w:val="242"/>
        </w:trPr>
        <w:tc>
          <w:tcPr>
            <w:tcW w:w="4702" w:type="dxa"/>
            <w:tcBorders>
              <w:top w:val="nil"/>
              <w:bottom w:val="nil"/>
              <w:right w:val="nil"/>
            </w:tcBorders>
            <w:shd w:val="clear" w:color="auto" w:fill="DAEEF3" w:themeFill="accent5" w:themeFillTint="33"/>
          </w:tcPr>
          <w:p w:rsidR="00E00AD9" w:rsidRDefault="00E00AD9" w:rsidP="00C464FF">
            <w:pPr>
              <w:spacing w:line="240" w:lineRule="auto"/>
              <w:rPr>
                <w:rFonts w:ascii="Times New Roman" w:hAnsi="Times New Roman"/>
                <w:b/>
              </w:rPr>
            </w:pPr>
            <w:r w:rsidRPr="00E05850">
              <w:rPr>
                <w:rFonts w:ascii="Times New Roman" w:hAnsi="Times New Roman"/>
                <w:b/>
              </w:rPr>
              <w:t>Femmes</w:t>
            </w:r>
          </w:p>
        </w:tc>
        <w:tc>
          <w:tcPr>
            <w:tcW w:w="2374" w:type="dxa"/>
            <w:tcBorders>
              <w:top w:val="nil"/>
              <w:left w:val="nil"/>
              <w:bottom w:val="nil"/>
              <w:right w:val="nil"/>
            </w:tcBorders>
            <w:shd w:val="clear" w:color="auto" w:fill="DAEEF3" w:themeFill="accent5" w:themeFillTint="33"/>
            <w:vAlign w:val="center"/>
          </w:tcPr>
          <w:p w:rsidR="00E00AD9" w:rsidRPr="00E05850" w:rsidRDefault="00E00AD9" w:rsidP="00C464FF">
            <w:pPr>
              <w:spacing w:line="240" w:lineRule="auto"/>
              <w:jc w:val="right"/>
              <w:rPr>
                <w:rFonts w:ascii="Times New Roman" w:hAnsi="Times New Roman"/>
                <w:color w:val="000000"/>
              </w:rPr>
            </w:pPr>
            <w:r w:rsidRPr="00E05850">
              <w:rPr>
                <w:rFonts w:ascii="Times New Roman" w:hAnsi="Times New Roman"/>
                <w:color w:val="000000"/>
              </w:rPr>
              <w:t> </w:t>
            </w:r>
          </w:p>
        </w:tc>
        <w:tc>
          <w:tcPr>
            <w:tcW w:w="1853" w:type="dxa"/>
            <w:tcBorders>
              <w:top w:val="nil"/>
              <w:left w:val="nil"/>
              <w:bottom w:val="nil"/>
              <w:right w:val="nil"/>
            </w:tcBorders>
            <w:shd w:val="clear" w:color="auto" w:fill="DAEEF3" w:themeFill="accent5" w:themeFillTint="33"/>
            <w:vAlign w:val="center"/>
          </w:tcPr>
          <w:p w:rsidR="00E00AD9" w:rsidRPr="00E05850" w:rsidRDefault="00E00AD9" w:rsidP="00C464FF">
            <w:pPr>
              <w:spacing w:line="240" w:lineRule="auto"/>
              <w:jc w:val="right"/>
              <w:rPr>
                <w:rFonts w:ascii="Times New Roman" w:hAnsi="Times New Roman"/>
                <w:color w:val="000000"/>
              </w:rPr>
            </w:pPr>
            <w:r w:rsidRPr="00E05850">
              <w:rPr>
                <w:rFonts w:ascii="Times New Roman" w:hAnsi="Times New Roman"/>
                <w:color w:val="000000"/>
              </w:rPr>
              <w:t> </w:t>
            </w:r>
          </w:p>
        </w:tc>
      </w:tr>
      <w:tr w:rsidR="00E00AD9" w:rsidRPr="00E05850" w:rsidTr="0026369E">
        <w:trPr>
          <w:trHeight w:val="242"/>
        </w:trPr>
        <w:tc>
          <w:tcPr>
            <w:tcW w:w="4702" w:type="dxa"/>
            <w:tcBorders>
              <w:top w:val="nil"/>
              <w:bottom w:val="nil"/>
              <w:right w:val="nil"/>
            </w:tcBorders>
            <w:shd w:val="clear" w:color="auto" w:fill="DAEEF3" w:themeFill="accent5" w:themeFillTint="33"/>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 xml:space="preserve">Non pauvre </w:t>
            </w:r>
          </w:p>
        </w:tc>
        <w:tc>
          <w:tcPr>
            <w:tcW w:w="2374"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73,32</w:t>
            </w:r>
          </w:p>
        </w:tc>
        <w:tc>
          <w:tcPr>
            <w:tcW w:w="1853"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26,68</w:t>
            </w:r>
          </w:p>
        </w:tc>
      </w:tr>
      <w:tr w:rsidR="00E00AD9" w:rsidRPr="00E05850" w:rsidTr="0026369E">
        <w:trPr>
          <w:trHeight w:val="242"/>
        </w:trPr>
        <w:tc>
          <w:tcPr>
            <w:tcW w:w="4702" w:type="dxa"/>
            <w:tcBorders>
              <w:top w:val="nil"/>
              <w:bottom w:val="nil"/>
              <w:right w:val="nil"/>
            </w:tcBorders>
            <w:shd w:val="clear" w:color="auto" w:fill="DAEEF3" w:themeFill="accent5" w:themeFillTint="33"/>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 xml:space="preserve">Pauvre </w:t>
            </w:r>
          </w:p>
        </w:tc>
        <w:tc>
          <w:tcPr>
            <w:tcW w:w="2374"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55,84</w:t>
            </w:r>
          </w:p>
        </w:tc>
        <w:tc>
          <w:tcPr>
            <w:tcW w:w="1853" w:type="dxa"/>
            <w:tcBorders>
              <w:top w:val="nil"/>
              <w:left w:val="nil"/>
              <w:bottom w:val="nil"/>
              <w:right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44,16</w:t>
            </w:r>
          </w:p>
        </w:tc>
      </w:tr>
      <w:tr w:rsidR="00E00AD9" w:rsidRPr="00E05850" w:rsidTr="0026369E">
        <w:trPr>
          <w:trHeight w:val="316"/>
        </w:trPr>
        <w:tc>
          <w:tcPr>
            <w:tcW w:w="4702" w:type="dxa"/>
            <w:tcBorders>
              <w:top w:val="nil"/>
              <w:bottom w:val="nil"/>
            </w:tcBorders>
            <w:shd w:val="clear" w:color="auto" w:fill="DAEEF3" w:themeFill="accent5" w:themeFillTint="33"/>
            <w:vAlign w:val="center"/>
          </w:tcPr>
          <w:p w:rsidR="00E00AD9" w:rsidRPr="00E05850" w:rsidRDefault="00E00AD9" w:rsidP="00C464FF">
            <w:pPr>
              <w:pStyle w:val="En-tte"/>
              <w:jc w:val="left"/>
              <w:rPr>
                <w:rFonts w:ascii="Times New Roman" w:hAnsi="Times New Roman"/>
                <w:b/>
                <w:color w:val="000000"/>
              </w:rPr>
            </w:pPr>
            <w:r w:rsidRPr="00E05850">
              <w:rPr>
                <w:rFonts w:ascii="Times New Roman" w:hAnsi="Times New Roman"/>
                <w:b/>
              </w:rPr>
              <w:t>Bénin</w:t>
            </w:r>
          </w:p>
        </w:tc>
        <w:tc>
          <w:tcPr>
            <w:tcW w:w="2374" w:type="dxa"/>
            <w:tcBorders>
              <w:top w:val="nil"/>
              <w:bottom w:val="nil"/>
            </w:tcBorders>
            <w:shd w:val="clear" w:color="auto" w:fill="DAEEF3" w:themeFill="accent5" w:themeFillTint="33"/>
            <w:vAlign w:val="center"/>
          </w:tcPr>
          <w:p w:rsidR="00E00AD9" w:rsidRPr="00E05850" w:rsidRDefault="00E00AD9" w:rsidP="00C464FF">
            <w:pPr>
              <w:spacing w:line="240" w:lineRule="auto"/>
              <w:jc w:val="right"/>
              <w:rPr>
                <w:rFonts w:ascii="Times New Roman" w:hAnsi="Times New Roman"/>
              </w:rPr>
            </w:pPr>
          </w:p>
        </w:tc>
        <w:tc>
          <w:tcPr>
            <w:tcW w:w="1853" w:type="dxa"/>
            <w:tcBorders>
              <w:top w:val="nil"/>
              <w:bottom w:val="nil"/>
            </w:tcBorders>
            <w:shd w:val="clear" w:color="auto" w:fill="DAEEF3" w:themeFill="accent5" w:themeFillTint="33"/>
            <w:vAlign w:val="center"/>
          </w:tcPr>
          <w:p w:rsidR="00E00AD9" w:rsidRPr="00E05850" w:rsidRDefault="00E00AD9" w:rsidP="00C464FF">
            <w:pPr>
              <w:spacing w:line="240" w:lineRule="auto"/>
              <w:jc w:val="right"/>
              <w:rPr>
                <w:rFonts w:ascii="Times New Roman" w:hAnsi="Times New Roman"/>
              </w:rPr>
            </w:pPr>
          </w:p>
        </w:tc>
      </w:tr>
      <w:tr w:rsidR="00E00AD9" w:rsidRPr="00E05850" w:rsidTr="0026369E">
        <w:trPr>
          <w:trHeight w:val="242"/>
        </w:trPr>
        <w:tc>
          <w:tcPr>
            <w:tcW w:w="4702" w:type="dxa"/>
            <w:tcBorders>
              <w:top w:val="nil"/>
            </w:tcBorders>
            <w:shd w:val="clear" w:color="auto" w:fill="DAEEF3" w:themeFill="accent5" w:themeFillTint="33"/>
          </w:tcPr>
          <w:p w:rsidR="00E00AD9" w:rsidRDefault="00E00AD9" w:rsidP="00C464FF">
            <w:pPr>
              <w:spacing w:line="240" w:lineRule="auto"/>
              <w:rPr>
                <w:rFonts w:ascii="Times New Roman" w:hAnsi="Times New Roman"/>
              </w:rPr>
            </w:pPr>
            <w:r w:rsidRPr="00E05850">
              <w:rPr>
                <w:rFonts w:ascii="Times New Roman" w:hAnsi="Times New Roman"/>
                <w:color w:val="000000"/>
              </w:rPr>
              <w:t xml:space="preserve">Non pauvre </w:t>
            </w:r>
          </w:p>
        </w:tc>
        <w:tc>
          <w:tcPr>
            <w:tcW w:w="2374" w:type="dxa"/>
            <w:tcBorders>
              <w:top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66,00</w:t>
            </w:r>
          </w:p>
        </w:tc>
        <w:tc>
          <w:tcPr>
            <w:tcW w:w="1853" w:type="dxa"/>
            <w:tcBorders>
              <w:top w:val="nil"/>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34,00</w:t>
            </w:r>
          </w:p>
        </w:tc>
      </w:tr>
      <w:tr w:rsidR="00E00AD9" w:rsidRPr="00E05850" w:rsidTr="0026369E">
        <w:trPr>
          <w:trHeight w:val="242"/>
        </w:trPr>
        <w:tc>
          <w:tcPr>
            <w:tcW w:w="4702" w:type="dxa"/>
            <w:tcBorders>
              <w:bottom w:val="single" w:sz="4" w:space="0" w:color="000000" w:themeColor="text1"/>
            </w:tcBorders>
            <w:shd w:val="clear" w:color="auto" w:fill="DAEEF3" w:themeFill="accent5" w:themeFillTint="33"/>
          </w:tcPr>
          <w:p w:rsidR="00E00AD9" w:rsidRDefault="00E00AD9" w:rsidP="00C464FF">
            <w:pPr>
              <w:spacing w:line="240" w:lineRule="auto"/>
              <w:rPr>
                <w:rFonts w:ascii="Times New Roman" w:hAnsi="Times New Roman"/>
                <w:color w:val="000000"/>
              </w:rPr>
            </w:pPr>
            <w:r w:rsidRPr="00E05850">
              <w:rPr>
                <w:rFonts w:ascii="Times New Roman" w:hAnsi="Times New Roman"/>
              </w:rPr>
              <w:t xml:space="preserve">Pauvre </w:t>
            </w:r>
          </w:p>
        </w:tc>
        <w:tc>
          <w:tcPr>
            <w:tcW w:w="2374" w:type="dxa"/>
            <w:tcBorders>
              <w:bottom w:val="single" w:sz="4" w:space="0" w:color="000000" w:themeColor="text1"/>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55,06</w:t>
            </w:r>
          </w:p>
        </w:tc>
        <w:tc>
          <w:tcPr>
            <w:tcW w:w="1853" w:type="dxa"/>
            <w:tcBorders>
              <w:bottom w:val="single" w:sz="4" w:space="0" w:color="000000" w:themeColor="text1"/>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44,94</w:t>
            </w:r>
          </w:p>
        </w:tc>
      </w:tr>
      <w:tr w:rsidR="00E00AD9" w:rsidRPr="00E05850" w:rsidTr="0026369E">
        <w:trPr>
          <w:trHeight w:val="242"/>
        </w:trPr>
        <w:tc>
          <w:tcPr>
            <w:tcW w:w="4702" w:type="dxa"/>
            <w:tcBorders>
              <w:top w:val="single" w:sz="4" w:space="0" w:color="000000" w:themeColor="text1"/>
              <w:bottom w:val="double" w:sz="4" w:space="0" w:color="auto"/>
            </w:tcBorders>
            <w:shd w:val="clear" w:color="auto" w:fill="DAEEF3" w:themeFill="accent5" w:themeFillTint="33"/>
            <w:vAlign w:val="center"/>
          </w:tcPr>
          <w:p w:rsidR="00E00AD9" w:rsidRPr="00E05850" w:rsidRDefault="00E00AD9" w:rsidP="00C464FF">
            <w:pPr>
              <w:spacing w:line="240" w:lineRule="auto"/>
              <w:ind w:left="284"/>
              <w:jc w:val="left"/>
              <w:rPr>
                <w:rFonts w:ascii="Times New Roman" w:hAnsi="Times New Roman"/>
              </w:rPr>
            </w:pPr>
            <w:r w:rsidRPr="00E05850">
              <w:rPr>
                <w:rFonts w:ascii="Times New Roman" w:hAnsi="Times New Roman"/>
              </w:rPr>
              <w:t>Ensemble</w:t>
            </w:r>
          </w:p>
        </w:tc>
        <w:tc>
          <w:tcPr>
            <w:tcW w:w="2374" w:type="dxa"/>
            <w:tcBorders>
              <w:top w:val="single" w:sz="4" w:space="0" w:color="000000" w:themeColor="text1"/>
              <w:bottom w:val="double" w:sz="4" w:space="0" w:color="auto"/>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62,24</w:t>
            </w:r>
          </w:p>
        </w:tc>
        <w:tc>
          <w:tcPr>
            <w:tcW w:w="1853" w:type="dxa"/>
            <w:tcBorders>
              <w:top w:val="single" w:sz="4" w:space="0" w:color="000000" w:themeColor="text1"/>
              <w:bottom w:val="double" w:sz="4" w:space="0" w:color="auto"/>
            </w:tcBorders>
            <w:shd w:val="clear" w:color="auto" w:fill="DAEEF3" w:themeFill="accent5" w:themeFillTint="33"/>
            <w:vAlign w:val="center"/>
          </w:tcPr>
          <w:p w:rsidR="00E00AD9" w:rsidRDefault="00E00AD9" w:rsidP="00C464FF">
            <w:pPr>
              <w:spacing w:line="240" w:lineRule="auto"/>
              <w:rPr>
                <w:rFonts w:ascii="Times New Roman" w:hAnsi="Times New Roman"/>
                <w:color w:val="000000"/>
              </w:rPr>
            </w:pPr>
            <w:r w:rsidRPr="00E05850">
              <w:rPr>
                <w:rFonts w:ascii="Times New Roman" w:hAnsi="Times New Roman"/>
                <w:color w:val="000000"/>
              </w:rPr>
              <w:t>37,76</w:t>
            </w:r>
          </w:p>
        </w:tc>
      </w:tr>
      <w:tr w:rsidR="0026369E" w:rsidRPr="0026369E" w:rsidTr="002636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8929" w:type="dxa"/>
            <w:gridSpan w:val="3"/>
            <w:tcBorders>
              <w:top w:val="double" w:sz="4" w:space="0" w:color="auto"/>
              <w:left w:val="nil"/>
              <w:bottom w:val="nil"/>
              <w:right w:val="nil"/>
            </w:tcBorders>
            <w:shd w:val="clear" w:color="auto" w:fill="DAEEF3" w:themeFill="accent5" w:themeFillTint="33"/>
          </w:tcPr>
          <w:p w:rsidR="0026369E" w:rsidRPr="0026369E" w:rsidRDefault="0026369E" w:rsidP="00B22561">
            <w:pPr>
              <w:spacing w:line="276" w:lineRule="auto"/>
              <w:rPr>
                <w:rFonts w:ascii="Times New Roman" w:hAnsi="Times New Roman"/>
                <w:sz w:val="20"/>
                <w:szCs w:val="20"/>
              </w:rPr>
            </w:pPr>
            <w:r w:rsidRPr="0026369E">
              <w:rPr>
                <w:rFonts w:ascii="Times New Roman" w:hAnsi="Times New Roman"/>
                <w:sz w:val="20"/>
                <w:szCs w:val="20"/>
              </w:rPr>
              <w:t>Source : INSAE, EMICoV (2006, 20</w:t>
            </w:r>
            <w:r w:rsidR="00B22561">
              <w:rPr>
                <w:rFonts w:ascii="Times New Roman" w:hAnsi="Times New Roman"/>
                <w:sz w:val="20"/>
                <w:szCs w:val="20"/>
              </w:rPr>
              <w:t>10</w:t>
            </w:r>
            <w:r w:rsidRPr="0026369E">
              <w:rPr>
                <w:rFonts w:ascii="Times New Roman" w:hAnsi="Times New Roman"/>
                <w:sz w:val="20"/>
                <w:szCs w:val="20"/>
              </w:rPr>
              <w:t>)</w:t>
            </w:r>
          </w:p>
        </w:tc>
      </w:tr>
    </w:tbl>
    <w:p w:rsidR="0026369E" w:rsidRDefault="0026369E" w:rsidP="00F305E5">
      <w:pPr>
        <w:spacing w:line="240" w:lineRule="auto"/>
        <w:rPr>
          <w:rFonts w:ascii="Times New Roman" w:hAnsi="Times New Roman"/>
          <w:sz w:val="24"/>
          <w:szCs w:val="24"/>
        </w:rPr>
      </w:pPr>
    </w:p>
    <w:p w:rsidR="00F305E5" w:rsidRDefault="00F305E5" w:rsidP="00F305E5">
      <w:pPr>
        <w:spacing w:line="240"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r w:rsidRPr="006A6A25">
        <w:rPr>
          <w:rFonts w:ascii="Times New Roman" w:hAnsi="Times New Roman"/>
          <w:sz w:val="24"/>
          <w:szCs w:val="24"/>
        </w:rPr>
        <w:t xml:space="preserve">De manière globale, la dynamique de la pauvreté est en faveur des femmes. Entre 2006 et 2009, il y a 23,03 % d’hommes qui sont entrés dans la pauvreté contre 18,03 % de femmes, soit un écart de 5 %. Toutefois, autant d’hommes que de femmes sont sortis de la pauvreté dans la même période. Il y a plus d’hommes que de femmes à durer dans la condition de pauvreté : 15,63 % contre 14,32 %. En définitive, 49,54 % de femmes n’ont jamais été pauvres entre 2006 et 2009, contre 42,28 % d’hommes. L’écart de 7,26 points. </w:t>
      </w:r>
    </w:p>
    <w:p w:rsidR="00E00AD9" w:rsidRDefault="00E00AD9" w:rsidP="00E00AD9">
      <w:pPr>
        <w:pStyle w:val="Paragraphedeliste"/>
        <w:spacing w:line="276" w:lineRule="auto"/>
        <w:ind w:left="360"/>
        <w:rPr>
          <w:rFonts w:ascii="Times New Roman" w:hAnsi="Times New Roman"/>
          <w:sz w:val="24"/>
          <w:szCs w:val="24"/>
        </w:rPr>
      </w:pPr>
    </w:p>
    <w:tbl>
      <w:tblPr>
        <w:tblW w:w="8732" w:type="dxa"/>
        <w:tblInd w:w="70" w:type="dxa"/>
        <w:tblCellMar>
          <w:left w:w="70" w:type="dxa"/>
          <w:right w:w="70" w:type="dxa"/>
        </w:tblCellMar>
        <w:tblLook w:val="04A0" w:firstRow="1" w:lastRow="0" w:firstColumn="1" w:lastColumn="0" w:noHBand="0" w:noVBand="1"/>
      </w:tblPr>
      <w:tblGrid>
        <w:gridCol w:w="2692"/>
        <w:gridCol w:w="1510"/>
        <w:gridCol w:w="1510"/>
        <w:gridCol w:w="1510"/>
        <w:gridCol w:w="1510"/>
      </w:tblGrid>
      <w:tr w:rsidR="0026369E" w:rsidRPr="007371E6" w:rsidTr="007203DA">
        <w:trPr>
          <w:trHeight w:val="372"/>
        </w:trPr>
        <w:tc>
          <w:tcPr>
            <w:tcW w:w="8732" w:type="dxa"/>
            <w:gridSpan w:val="5"/>
            <w:tcBorders>
              <w:left w:val="nil"/>
              <w:bottom w:val="double" w:sz="4" w:space="0" w:color="auto"/>
              <w:right w:val="nil"/>
            </w:tcBorders>
            <w:shd w:val="clear" w:color="auto" w:fill="92CDDC" w:themeFill="accent5" w:themeFillTint="99"/>
            <w:hideMark/>
          </w:tcPr>
          <w:p w:rsidR="0026369E" w:rsidRPr="007371E6" w:rsidRDefault="007371E6" w:rsidP="007203DA">
            <w:pPr>
              <w:spacing w:line="276" w:lineRule="auto"/>
              <w:rPr>
                <w:rFonts w:ascii="Times New Roman" w:hAnsi="Times New Roman"/>
                <w:sz w:val="24"/>
                <w:szCs w:val="24"/>
              </w:rPr>
            </w:pPr>
            <w:bookmarkStart w:id="195" w:name="_Toc369714530"/>
            <w:bookmarkStart w:id="196" w:name="_Toc369720919"/>
            <w:r w:rsidRPr="007371E6">
              <w:rPr>
                <w:rFonts w:ascii="Times New Roman" w:hAnsi="Times New Roman"/>
                <w:sz w:val="24"/>
                <w:szCs w:val="24"/>
              </w:rPr>
              <w:t xml:space="preserve">Tableau 6. </w:t>
            </w:r>
            <w:r w:rsidR="00182C97" w:rsidRPr="007371E6">
              <w:rPr>
                <w:rFonts w:ascii="Times New Roman" w:hAnsi="Times New Roman"/>
                <w:sz w:val="24"/>
                <w:szCs w:val="24"/>
              </w:rPr>
              <w:fldChar w:fldCharType="begin"/>
            </w:r>
            <w:r w:rsidRPr="007371E6">
              <w:rPr>
                <w:rFonts w:ascii="Times New Roman" w:hAnsi="Times New Roman"/>
                <w:sz w:val="24"/>
                <w:szCs w:val="24"/>
              </w:rPr>
              <w:instrText xml:space="preserve"> SEQ Tableau_6. \* ARABIC </w:instrText>
            </w:r>
            <w:r w:rsidR="00182C97" w:rsidRPr="007371E6">
              <w:rPr>
                <w:rFonts w:ascii="Times New Roman" w:hAnsi="Times New Roman"/>
                <w:sz w:val="24"/>
                <w:szCs w:val="24"/>
              </w:rPr>
              <w:fldChar w:fldCharType="separate"/>
            </w:r>
            <w:r w:rsidR="00AB1967">
              <w:rPr>
                <w:rFonts w:ascii="Times New Roman" w:hAnsi="Times New Roman"/>
                <w:noProof/>
                <w:sz w:val="24"/>
                <w:szCs w:val="24"/>
              </w:rPr>
              <w:t>3</w:t>
            </w:r>
            <w:r w:rsidR="00182C97" w:rsidRPr="007371E6">
              <w:rPr>
                <w:rFonts w:ascii="Times New Roman" w:hAnsi="Times New Roman"/>
                <w:sz w:val="24"/>
                <w:szCs w:val="24"/>
              </w:rPr>
              <w:fldChar w:fldCharType="end"/>
            </w:r>
            <w:r w:rsidR="007203DA" w:rsidRPr="007371E6">
              <w:rPr>
                <w:rFonts w:ascii="Times New Roman" w:hAnsi="Times New Roman"/>
                <w:sz w:val="24"/>
                <w:szCs w:val="24"/>
              </w:rPr>
              <w:t>: Mobilité dans la pauvreté selon le sexe</w:t>
            </w:r>
            <w:bookmarkEnd w:id="195"/>
            <w:bookmarkEnd w:id="196"/>
          </w:p>
        </w:tc>
      </w:tr>
      <w:tr w:rsidR="00E00AD9" w:rsidRPr="00F13BEE" w:rsidTr="007203DA">
        <w:trPr>
          <w:trHeight w:val="555"/>
        </w:trPr>
        <w:tc>
          <w:tcPr>
            <w:tcW w:w="2692" w:type="dxa"/>
            <w:tcBorders>
              <w:top w:val="double" w:sz="4" w:space="0" w:color="auto"/>
              <w:left w:val="nil"/>
              <w:bottom w:val="single" w:sz="4" w:space="0" w:color="auto"/>
              <w:right w:val="nil"/>
            </w:tcBorders>
            <w:shd w:val="clear" w:color="auto" w:fill="DAEEF3" w:themeFill="accent5" w:themeFillTint="33"/>
            <w:hideMark/>
          </w:tcPr>
          <w:p w:rsidR="00E00AD9"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Sexe du chef de ménage</w:t>
            </w:r>
          </w:p>
        </w:tc>
        <w:tc>
          <w:tcPr>
            <w:tcW w:w="1510" w:type="dxa"/>
            <w:tcBorders>
              <w:top w:val="double" w:sz="4" w:space="0" w:color="auto"/>
              <w:left w:val="nil"/>
              <w:bottom w:val="single" w:sz="4" w:space="0" w:color="auto"/>
              <w:right w:val="nil"/>
            </w:tcBorders>
            <w:shd w:val="clear" w:color="auto" w:fill="DAEEF3" w:themeFill="accent5" w:themeFillTint="33"/>
            <w:hideMark/>
          </w:tcPr>
          <w:p w:rsidR="00E00AD9"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Entrée dans la pauvreté</w:t>
            </w:r>
          </w:p>
        </w:tc>
        <w:tc>
          <w:tcPr>
            <w:tcW w:w="1510" w:type="dxa"/>
            <w:tcBorders>
              <w:top w:val="double" w:sz="4" w:space="0" w:color="auto"/>
              <w:left w:val="nil"/>
              <w:bottom w:val="single" w:sz="4" w:space="0" w:color="auto"/>
              <w:right w:val="nil"/>
            </w:tcBorders>
            <w:shd w:val="clear" w:color="auto" w:fill="DAEEF3" w:themeFill="accent5" w:themeFillTint="33"/>
            <w:hideMark/>
          </w:tcPr>
          <w:p w:rsidR="00E00AD9"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Sortie de la pauvreté</w:t>
            </w:r>
          </w:p>
        </w:tc>
        <w:tc>
          <w:tcPr>
            <w:tcW w:w="1510" w:type="dxa"/>
            <w:tcBorders>
              <w:top w:val="double" w:sz="4" w:space="0" w:color="auto"/>
              <w:left w:val="nil"/>
              <w:bottom w:val="single" w:sz="4" w:space="0" w:color="auto"/>
              <w:right w:val="nil"/>
            </w:tcBorders>
            <w:shd w:val="clear" w:color="auto" w:fill="DAEEF3" w:themeFill="accent5" w:themeFillTint="33"/>
            <w:hideMark/>
          </w:tcPr>
          <w:p w:rsidR="00E00AD9"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Jamais pauvre</w:t>
            </w:r>
          </w:p>
        </w:tc>
        <w:tc>
          <w:tcPr>
            <w:tcW w:w="1510" w:type="dxa"/>
            <w:tcBorders>
              <w:top w:val="double" w:sz="4" w:space="0" w:color="auto"/>
              <w:left w:val="nil"/>
              <w:bottom w:val="single" w:sz="4" w:space="0" w:color="auto"/>
              <w:right w:val="nil"/>
            </w:tcBorders>
            <w:shd w:val="clear" w:color="auto" w:fill="DAEEF3" w:themeFill="accent5" w:themeFillTint="33"/>
            <w:hideMark/>
          </w:tcPr>
          <w:p w:rsidR="00E00AD9"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Toujours pauvre</w:t>
            </w:r>
          </w:p>
        </w:tc>
      </w:tr>
      <w:tr w:rsidR="00E00AD9" w:rsidRPr="00F13BEE" w:rsidTr="007203DA">
        <w:trPr>
          <w:trHeight w:val="362"/>
        </w:trPr>
        <w:tc>
          <w:tcPr>
            <w:tcW w:w="2692" w:type="dxa"/>
            <w:tcBorders>
              <w:top w:val="single" w:sz="4" w:space="0" w:color="auto"/>
              <w:left w:val="nil"/>
              <w:bottom w:val="nil"/>
              <w:right w:val="nil"/>
            </w:tcBorders>
            <w:shd w:val="clear" w:color="auto" w:fill="DAEEF3" w:themeFill="accent5" w:themeFillTint="33"/>
            <w:vAlign w:val="bottom"/>
            <w:hideMark/>
          </w:tcPr>
          <w:p w:rsidR="00E00AD9" w:rsidRPr="00F13BEE" w:rsidRDefault="00E00AD9" w:rsidP="0026369E">
            <w:pPr>
              <w:spacing w:line="240" w:lineRule="auto"/>
              <w:jc w:val="left"/>
              <w:rPr>
                <w:rFonts w:ascii="Times New Roman" w:eastAsia="Times New Roman" w:hAnsi="Times New Roman"/>
                <w:color w:val="000000"/>
                <w:lang w:eastAsia="fr-FR"/>
              </w:rPr>
            </w:pPr>
            <w:r w:rsidRPr="00F13BEE">
              <w:rPr>
                <w:rFonts w:ascii="Times New Roman" w:eastAsia="Times New Roman" w:hAnsi="Times New Roman"/>
                <w:color w:val="000000"/>
                <w:lang w:eastAsia="fr-FR"/>
              </w:rPr>
              <w:t>Homme</w:t>
            </w:r>
          </w:p>
        </w:tc>
        <w:tc>
          <w:tcPr>
            <w:tcW w:w="1510" w:type="dxa"/>
            <w:tcBorders>
              <w:top w:val="single" w:sz="4" w:space="0" w:color="auto"/>
              <w:left w:val="nil"/>
              <w:bottom w:val="nil"/>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23,03</w:t>
            </w:r>
          </w:p>
        </w:tc>
        <w:tc>
          <w:tcPr>
            <w:tcW w:w="1510" w:type="dxa"/>
            <w:tcBorders>
              <w:top w:val="single" w:sz="4" w:space="0" w:color="auto"/>
              <w:left w:val="nil"/>
              <w:bottom w:val="nil"/>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19,06</w:t>
            </w:r>
          </w:p>
        </w:tc>
        <w:tc>
          <w:tcPr>
            <w:tcW w:w="1510" w:type="dxa"/>
            <w:tcBorders>
              <w:top w:val="single" w:sz="4" w:space="0" w:color="auto"/>
              <w:left w:val="nil"/>
              <w:bottom w:val="nil"/>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42,28</w:t>
            </w:r>
          </w:p>
        </w:tc>
        <w:tc>
          <w:tcPr>
            <w:tcW w:w="1510" w:type="dxa"/>
            <w:tcBorders>
              <w:top w:val="single" w:sz="4" w:space="0" w:color="auto"/>
              <w:left w:val="nil"/>
              <w:bottom w:val="nil"/>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15,63</w:t>
            </w:r>
          </w:p>
        </w:tc>
      </w:tr>
      <w:tr w:rsidR="00E00AD9" w:rsidRPr="00F13BEE" w:rsidTr="007203DA">
        <w:trPr>
          <w:trHeight w:val="380"/>
        </w:trPr>
        <w:tc>
          <w:tcPr>
            <w:tcW w:w="2692" w:type="dxa"/>
            <w:tcBorders>
              <w:top w:val="nil"/>
              <w:left w:val="nil"/>
              <w:bottom w:val="double" w:sz="4" w:space="0" w:color="auto"/>
              <w:right w:val="nil"/>
            </w:tcBorders>
            <w:shd w:val="clear" w:color="auto" w:fill="DAEEF3" w:themeFill="accent5" w:themeFillTint="33"/>
            <w:vAlign w:val="bottom"/>
            <w:hideMark/>
          </w:tcPr>
          <w:p w:rsidR="00E00AD9" w:rsidRPr="00F13BEE" w:rsidRDefault="00E00AD9" w:rsidP="0026369E">
            <w:pPr>
              <w:spacing w:line="240" w:lineRule="auto"/>
              <w:jc w:val="left"/>
              <w:rPr>
                <w:rFonts w:ascii="Times New Roman" w:eastAsia="Times New Roman" w:hAnsi="Times New Roman"/>
                <w:color w:val="000000"/>
                <w:lang w:eastAsia="fr-FR"/>
              </w:rPr>
            </w:pPr>
            <w:r w:rsidRPr="00F13BEE">
              <w:rPr>
                <w:rFonts w:ascii="Times New Roman" w:eastAsia="Times New Roman" w:hAnsi="Times New Roman"/>
                <w:color w:val="000000"/>
                <w:lang w:eastAsia="fr-FR"/>
              </w:rPr>
              <w:t>Femme</w:t>
            </w:r>
          </w:p>
        </w:tc>
        <w:tc>
          <w:tcPr>
            <w:tcW w:w="1510" w:type="dxa"/>
            <w:tcBorders>
              <w:top w:val="nil"/>
              <w:left w:val="nil"/>
              <w:bottom w:val="double" w:sz="4" w:space="0" w:color="auto"/>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18,03</w:t>
            </w:r>
          </w:p>
        </w:tc>
        <w:tc>
          <w:tcPr>
            <w:tcW w:w="1510" w:type="dxa"/>
            <w:tcBorders>
              <w:top w:val="nil"/>
              <w:left w:val="nil"/>
              <w:bottom w:val="double" w:sz="4" w:space="0" w:color="auto"/>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18,11</w:t>
            </w:r>
          </w:p>
        </w:tc>
        <w:tc>
          <w:tcPr>
            <w:tcW w:w="1510" w:type="dxa"/>
            <w:tcBorders>
              <w:top w:val="nil"/>
              <w:left w:val="nil"/>
              <w:bottom w:val="double" w:sz="4" w:space="0" w:color="auto"/>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49,54</w:t>
            </w:r>
          </w:p>
        </w:tc>
        <w:tc>
          <w:tcPr>
            <w:tcW w:w="1510" w:type="dxa"/>
            <w:tcBorders>
              <w:top w:val="nil"/>
              <w:left w:val="nil"/>
              <w:bottom w:val="double" w:sz="4" w:space="0" w:color="auto"/>
              <w:right w:val="nil"/>
            </w:tcBorders>
            <w:shd w:val="clear" w:color="auto" w:fill="DAEEF3" w:themeFill="accent5" w:themeFillTint="33"/>
            <w:noWrap/>
            <w:vAlign w:val="bottom"/>
            <w:hideMark/>
          </w:tcPr>
          <w:p w:rsidR="00E00AD9" w:rsidRPr="00F13BEE" w:rsidRDefault="00E00AD9" w:rsidP="00C464FF">
            <w:pPr>
              <w:spacing w:line="240" w:lineRule="auto"/>
              <w:jc w:val="center"/>
              <w:rPr>
                <w:rFonts w:ascii="Times New Roman" w:eastAsia="Times New Roman" w:hAnsi="Times New Roman"/>
                <w:color w:val="000000"/>
                <w:lang w:eastAsia="fr-FR"/>
              </w:rPr>
            </w:pPr>
            <w:r w:rsidRPr="00F13BEE">
              <w:rPr>
                <w:rFonts w:ascii="Times New Roman" w:eastAsia="Times New Roman" w:hAnsi="Times New Roman"/>
                <w:color w:val="000000"/>
                <w:lang w:eastAsia="fr-FR"/>
              </w:rPr>
              <w:t>14,32</w:t>
            </w:r>
          </w:p>
        </w:tc>
      </w:tr>
      <w:tr w:rsidR="007203DA" w:rsidRPr="007203DA" w:rsidTr="007203DA">
        <w:trPr>
          <w:trHeight w:val="196"/>
        </w:trPr>
        <w:tc>
          <w:tcPr>
            <w:tcW w:w="8732" w:type="dxa"/>
            <w:gridSpan w:val="5"/>
            <w:tcBorders>
              <w:top w:val="double" w:sz="4" w:space="0" w:color="auto"/>
              <w:left w:val="nil"/>
              <w:right w:val="nil"/>
            </w:tcBorders>
            <w:shd w:val="clear" w:color="auto" w:fill="DAEEF3" w:themeFill="accent5" w:themeFillTint="33"/>
            <w:vAlign w:val="bottom"/>
            <w:hideMark/>
          </w:tcPr>
          <w:p w:rsidR="007203DA" w:rsidRPr="007203DA" w:rsidRDefault="007203DA" w:rsidP="00B22561">
            <w:pPr>
              <w:spacing w:line="240" w:lineRule="auto"/>
              <w:rPr>
                <w:rFonts w:ascii="Times New Roman" w:hAnsi="Times New Roman"/>
                <w:sz w:val="20"/>
                <w:szCs w:val="20"/>
              </w:rPr>
            </w:pPr>
            <w:r w:rsidRPr="007203DA">
              <w:rPr>
                <w:rFonts w:ascii="Times New Roman" w:hAnsi="Times New Roman"/>
                <w:sz w:val="20"/>
                <w:szCs w:val="20"/>
              </w:rPr>
              <w:t>Source : INSAE, EMICoV (2006, 20</w:t>
            </w:r>
            <w:r w:rsidR="00B22561">
              <w:rPr>
                <w:rFonts w:ascii="Times New Roman" w:hAnsi="Times New Roman"/>
                <w:sz w:val="20"/>
                <w:szCs w:val="20"/>
              </w:rPr>
              <w:t>10</w:t>
            </w:r>
            <w:r w:rsidRPr="007203DA">
              <w:rPr>
                <w:rFonts w:ascii="Times New Roman" w:hAnsi="Times New Roman"/>
                <w:sz w:val="20"/>
                <w:szCs w:val="20"/>
              </w:rPr>
              <w:t>)</w:t>
            </w:r>
          </w:p>
        </w:tc>
      </w:tr>
    </w:tbl>
    <w:p w:rsidR="007203DA" w:rsidRDefault="007203DA" w:rsidP="00F305E5">
      <w:pPr>
        <w:spacing w:line="240" w:lineRule="auto"/>
        <w:rPr>
          <w:rFonts w:ascii="Times New Roman" w:hAnsi="Times New Roman"/>
          <w:sz w:val="24"/>
          <w:szCs w:val="24"/>
        </w:rPr>
      </w:pPr>
    </w:p>
    <w:p w:rsidR="00E00AD9" w:rsidRDefault="00E00AD9" w:rsidP="00F305E5">
      <w:pPr>
        <w:spacing w:line="240" w:lineRule="auto"/>
        <w:rPr>
          <w:rFonts w:ascii="Times New Roman" w:hAnsi="Times New Roman"/>
          <w:sz w:val="24"/>
          <w:szCs w:val="24"/>
        </w:rPr>
      </w:pPr>
    </w:p>
    <w:p w:rsidR="00E00AD9" w:rsidRPr="00DD3D61" w:rsidRDefault="00E00AD9" w:rsidP="00E00AD9">
      <w:pPr>
        <w:spacing w:line="276" w:lineRule="auto"/>
        <w:rPr>
          <w:rFonts w:ascii="Times New Roman" w:hAnsi="Times New Roman"/>
          <w:sz w:val="24"/>
          <w:szCs w:val="24"/>
        </w:rPr>
      </w:pPr>
      <w:r>
        <w:rPr>
          <w:rFonts w:ascii="Times New Roman" w:hAnsi="Times New Roman"/>
          <w:sz w:val="24"/>
          <w:szCs w:val="24"/>
        </w:rPr>
        <w:t xml:space="preserve">Cette tendance pourrait essentiellement s’expliquer par la nature des menaces auxquelles sont exposés les ménages dirigés par les femmes. Elle </w:t>
      </w:r>
      <w:r w:rsidRPr="006A6A25">
        <w:rPr>
          <w:rFonts w:ascii="Times New Roman" w:hAnsi="Times New Roman"/>
          <w:sz w:val="24"/>
          <w:szCs w:val="24"/>
        </w:rPr>
        <w:t xml:space="preserve">témoignerait </w:t>
      </w:r>
      <w:r>
        <w:rPr>
          <w:rFonts w:ascii="Times New Roman" w:hAnsi="Times New Roman"/>
          <w:sz w:val="24"/>
          <w:szCs w:val="24"/>
        </w:rPr>
        <w:t xml:space="preserve">aussi </w:t>
      </w:r>
      <w:r w:rsidRPr="006A6A25">
        <w:rPr>
          <w:rFonts w:ascii="Times New Roman" w:hAnsi="Times New Roman"/>
          <w:sz w:val="24"/>
          <w:szCs w:val="24"/>
        </w:rPr>
        <w:t>de la mise en œuvre de stratégies de lutte contre la pauvreté plus profitables aux femmes qu’aux hommes comme le programm</w:t>
      </w:r>
      <w:r>
        <w:rPr>
          <w:rFonts w:ascii="Times New Roman" w:hAnsi="Times New Roman"/>
          <w:sz w:val="24"/>
          <w:szCs w:val="24"/>
        </w:rPr>
        <w:t>e</w:t>
      </w:r>
      <w:r w:rsidRPr="006A6A25">
        <w:rPr>
          <w:rFonts w:ascii="Times New Roman" w:hAnsi="Times New Roman"/>
          <w:sz w:val="24"/>
          <w:szCs w:val="24"/>
        </w:rPr>
        <w:t xml:space="preserve"> de microcrédit aux plus pauvres</w:t>
      </w:r>
      <w:r>
        <w:rPr>
          <w:rFonts w:ascii="Times New Roman" w:hAnsi="Times New Roman"/>
          <w:sz w:val="24"/>
          <w:szCs w:val="24"/>
        </w:rPr>
        <w:t>. Comme le montre le tableau ci-dessous, les ménages dirigés par les femmes sont principalement exposés aux chocs économiques alors qu’au niveau des ménages dirigés par les hommes, la menace principale porte sur les chocs biophysiques qui constitue</w:t>
      </w:r>
      <w:r w:rsidR="00921FDA">
        <w:rPr>
          <w:rFonts w:ascii="Times New Roman" w:hAnsi="Times New Roman"/>
          <w:sz w:val="24"/>
          <w:szCs w:val="24"/>
        </w:rPr>
        <w:t>nt</w:t>
      </w:r>
      <w:r>
        <w:rPr>
          <w:rFonts w:ascii="Times New Roman" w:hAnsi="Times New Roman"/>
          <w:sz w:val="24"/>
          <w:szCs w:val="24"/>
        </w:rPr>
        <w:t xml:space="preserve"> un des déterminants de la pauvreté monétaire au Bénin (cf. chapitre 1). Le programme </w:t>
      </w:r>
      <w:r w:rsidRPr="006A6A25">
        <w:rPr>
          <w:rFonts w:ascii="Times New Roman" w:hAnsi="Times New Roman"/>
          <w:sz w:val="24"/>
          <w:szCs w:val="24"/>
        </w:rPr>
        <w:t>de microcrédit aux plus pauvres</w:t>
      </w:r>
      <w:r>
        <w:rPr>
          <w:rFonts w:ascii="Times New Roman" w:hAnsi="Times New Roman"/>
          <w:sz w:val="24"/>
          <w:szCs w:val="24"/>
        </w:rPr>
        <w:t xml:space="preserve"> permet de renforcer les capacités des femmes en réduisant l’inégalité d’accès au crédit et par ricochet à l’amélioration de leur revenu.  </w:t>
      </w:r>
    </w:p>
    <w:p w:rsidR="00E00AD9"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p>
    <w:tbl>
      <w:tblPr>
        <w:tblStyle w:val="Grilledutableau"/>
        <w:tblW w:w="0" w:type="auto"/>
        <w:tblLook w:val="04A0" w:firstRow="1" w:lastRow="0" w:firstColumn="1" w:lastColumn="0" w:noHBand="0" w:noVBand="1"/>
      </w:tblPr>
      <w:tblGrid>
        <w:gridCol w:w="3070"/>
        <w:gridCol w:w="3070"/>
        <w:gridCol w:w="3070"/>
      </w:tblGrid>
      <w:tr w:rsidR="007203DA" w:rsidRPr="007371E6" w:rsidTr="007203DA">
        <w:tc>
          <w:tcPr>
            <w:tcW w:w="9210" w:type="dxa"/>
            <w:gridSpan w:val="3"/>
            <w:tcBorders>
              <w:top w:val="nil"/>
              <w:left w:val="nil"/>
              <w:bottom w:val="double" w:sz="4" w:space="0" w:color="auto"/>
              <w:right w:val="nil"/>
            </w:tcBorders>
            <w:shd w:val="clear" w:color="auto" w:fill="92CDDC" w:themeFill="accent5" w:themeFillTint="99"/>
          </w:tcPr>
          <w:p w:rsidR="007203DA" w:rsidRPr="007371E6" w:rsidRDefault="007371E6" w:rsidP="007203DA">
            <w:pPr>
              <w:spacing w:line="276" w:lineRule="auto"/>
              <w:rPr>
                <w:rFonts w:ascii="Times New Roman" w:hAnsi="Times New Roman"/>
                <w:sz w:val="24"/>
                <w:szCs w:val="24"/>
              </w:rPr>
            </w:pPr>
            <w:bookmarkStart w:id="197" w:name="_Toc369714531"/>
            <w:bookmarkStart w:id="198" w:name="_Toc369720920"/>
            <w:r w:rsidRPr="007371E6">
              <w:rPr>
                <w:rFonts w:ascii="Times New Roman" w:hAnsi="Times New Roman"/>
                <w:sz w:val="24"/>
                <w:szCs w:val="24"/>
              </w:rPr>
              <w:t xml:space="preserve">Tableau 6. </w:t>
            </w:r>
            <w:r w:rsidR="00182C97" w:rsidRPr="007371E6">
              <w:rPr>
                <w:rFonts w:ascii="Times New Roman" w:hAnsi="Times New Roman"/>
                <w:sz w:val="24"/>
                <w:szCs w:val="24"/>
              </w:rPr>
              <w:fldChar w:fldCharType="begin"/>
            </w:r>
            <w:r w:rsidRPr="007371E6">
              <w:rPr>
                <w:rFonts w:ascii="Times New Roman" w:hAnsi="Times New Roman"/>
                <w:sz w:val="24"/>
                <w:szCs w:val="24"/>
              </w:rPr>
              <w:instrText xml:space="preserve"> SEQ Tableau_6. \* ARABIC </w:instrText>
            </w:r>
            <w:r w:rsidR="00182C97" w:rsidRPr="007371E6">
              <w:rPr>
                <w:rFonts w:ascii="Times New Roman" w:hAnsi="Times New Roman"/>
                <w:sz w:val="24"/>
                <w:szCs w:val="24"/>
              </w:rPr>
              <w:fldChar w:fldCharType="separate"/>
            </w:r>
            <w:r w:rsidR="00AB1967">
              <w:rPr>
                <w:rFonts w:ascii="Times New Roman" w:hAnsi="Times New Roman"/>
                <w:noProof/>
                <w:sz w:val="24"/>
                <w:szCs w:val="24"/>
              </w:rPr>
              <w:t>4</w:t>
            </w:r>
            <w:r w:rsidR="00182C97" w:rsidRPr="007371E6">
              <w:rPr>
                <w:rFonts w:ascii="Times New Roman" w:hAnsi="Times New Roman"/>
                <w:sz w:val="24"/>
                <w:szCs w:val="24"/>
              </w:rPr>
              <w:fldChar w:fldCharType="end"/>
            </w:r>
            <w:r w:rsidR="007203DA" w:rsidRPr="007371E6">
              <w:rPr>
                <w:rFonts w:ascii="Times New Roman" w:hAnsi="Times New Roman"/>
                <w:sz w:val="24"/>
                <w:szCs w:val="24"/>
              </w:rPr>
              <w:t>: Répartition des ménages par choc et selon le sexe (%)</w:t>
            </w:r>
            <w:bookmarkEnd w:id="197"/>
            <w:bookmarkEnd w:id="198"/>
          </w:p>
        </w:tc>
      </w:tr>
      <w:tr w:rsidR="00E00AD9" w:rsidTr="00720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70" w:type="dxa"/>
            <w:tcBorders>
              <w:top w:val="double" w:sz="4" w:space="0" w:color="auto"/>
              <w:bottom w:val="single" w:sz="4" w:space="0" w:color="auto"/>
            </w:tcBorders>
            <w:shd w:val="clear" w:color="auto" w:fill="DAEEF3" w:themeFill="accent5" w:themeFillTint="33"/>
          </w:tcPr>
          <w:p w:rsidR="00E00AD9" w:rsidRPr="00C80F15" w:rsidRDefault="00E00AD9" w:rsidP="00C464FF">
            <w:pPr>
              <w:spacing w:line="276" w:lineRule="auto"/>
              <w:rPr>
                <w:rFonts w:ascii="Times New Roman" w:hAnsi="Times New Roman"/>
                <w:b/>
                <w:sz w:val="24"/>
                <w:szCs w:val="24"/>
              </w:rPr>
            </w:pPr>
            <w:r w:rsidRPr="001064B7">
              <w:rPr>
                <w:rFonts w:ascii="Times New Roman" w:hAnsi="Times New Roman"/>
                <w:b/>
                <w:sz w:val="24"/>
                <w:szCs w:val="24"/>
              </w:rPr>
              <w:t>Chocs</w:t>
            </w:r>
          </w:p>
        </w:tc>
        <w:tc>
          <w:tcPr>
            <w:tcW w:w="3070" w:type="dxa"/>
            <w:tcBorders>
              <w:top w:val="double" w:sz="4" w:space="0" w:color="auto"/>
              <w:bottom w:val="single" w:sz="4" w:space="0" w:color="auto"/>
            </w:tcBorders>
            <w:shd w:val="clear" w:color="auto" w:fill="DAEEF3" w:themeFill="accent5" w:themeFillTint="33"/>
          </w:tcPr>
          <w:p w:rsidR="00E00AD9" w:rsidRDefault="00E00AD9" w:rsidP="00C464FF">
            <w:pPr>
              <w:spacing w:line="276" w:lineRule="auto"/>
              <w:jc w:val="center"/>
              <w:rPr>
                <w:rFonts w:ascii="Times New Roman" w:hAnsi="Times New Roman"/>
                <w:b/>
                <w:sz w:val="24"/>
                <w:szCs w:val="24"/>
              </w:rPr>
            </w:pPr>
            <w:r w:rsidRPr="001064B7">
              <w:rPr>
                <w:rFonts w:ascii="Times New Roman" w:hAnsi="Times New Roman"/>
                <w:b/>
                <w:sz w:val="24"/>
                <w:szCs w:val="24"/>
              </w:rPr>
              <w:t>Hommes</w:t>
            </w:r>
          </w:p>
        </w:tc>
        <w:tc>
          <w:tcPr>
            <w:tcW w:w="3070" w:type="dxa"/>
            <w:tcBorders>
              <w:top w:val="double" w:sz="4" w:space="0" w:color="auto"/>
              <w:bottom w:val="single" w:sz="4" w:space="0" w:color="auto"/>
            </w:tcBorders>
            <w:shd w:val="clear" w:color="auto" w:fill="DAEEF3" w:themeFill="accent5" w:themeFillTint="33"/>
          </w:tcPr>
          <w:p w:rsidR="00E00AD9" w:rsidRDefault="00E00AD9" w:rsidP="00C464FF">
            <w:pPr>
              <w:spacing w:line="276" w:lineRule="auto"/>
              <w:jc w:val="center"/>
              <w:rPr>
                <w:rFonts w:ascii="Times New Roman" w:hAnsi="Times New Roman"/>
                <w:b/>
                <w:sz w:val="24"/>
                <w:szCs w:val="24"/>
              </w:rPr>
            </w:pPr>
            <w:r w:rsidRPr="001064B7">
              <w:rPr>
                <w:rFonts w:ascii="Times New Roman" w:hAnsi="Times New Roman"/>
                <w:b/>
                <w:sz w:val="24"/>
                <w:szCs w:val="24"/>
              </w:rPr>
              <w:t>Femmes</w:t>
            </w:r>
          </w:p>
        </w:tc>
      </w:tr>
      <w:tr w:rsidR="00E00AD9" w:rsidTr="00720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70" w:type="dxa"/>
            <w:tcBorders>
              <w:top w:val="single" w:sz="4" w:space="0" w:color="auto"/>
            </w:tcBorders>
            <w:shd w:val="clear" w:color="auto" w:fill="DAEEF3" w:themeFill="accent5" w:themeFillTint="33"/>
          </w:tcPr>
          <w:p w:rsidR="00E00AD9" w:rsidRDefault="00E00AD9" w:rsidP="00C464FF">
            <w:pPr>
              <w:spacing w:line="276" w:lineRule="auto"/>
              <w:rPr>
                <w:rFonts w:ascii="Times New Roman" w:hAnsi="Times New Roman"/>
                <w:sz w:val="24"/>
                <w:szCs w:val="24"/>
              </w:rPr>
            </w:pPr>
            <w:r>
              <w:rPr>
                <w:rFonts w:ascii="Times New Roman" w:hAnsi="Times New Roman"/>
                <w:sz w:val="24"/>
                <w:szCs w:val="24"/>
              </w:rPr>
              <w:t>Sociaux</w:t>
            </w:r>
          </w:p>
        </w:tc>
        <w:tc>
          <w:tcPr>
            <w:tcW w:w="3070" w:type="dxa"/>
            <w:tcBorders>
              <w:top w:val="single" w:sz="4" w:space="0" w:color="auto"/>
            </w:tcBorders>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8,18</w:t>
            </w:r>
          </w:p>
        </w:tc>
        <w:tc>
          <w:tcPr>
            <w:tcW w:w="3070" w:type="dxa"/>
            <w:tcBorders>
              <w:top w:val="single" w:sz="4" w:space="0" w:color="auto"/>
            </w:tcBorders>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12,73</w:t>
            </w:r>
          </w:p>
        </w:tc>
      </w:tr>
      <w:tr w:rsidR="00E00AD9" w:rsidTr="00720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70" w:type="dxa"/>
            <w:shd w:val="clear" w:color="auto" w:fill="DAEEF3" w:themeFill="accent5" w:themeFillTint="33"/>
          </w:tcPr>
          <w:p w:rsidR="00E00AD9" w:rsidRDefault="00E00AD9" w:rsidP="00C464FF">
            <w:pPr>
              <w:spacing w:line="276" w:lineRule="auto"/>
              <w:rPr>
                <w:rFonts w:ascii="Times New Roman" w:hAnsi="Times New Roman"/>
                <w:sz w:val="24"/>
                <w:szCs w:val="24"/>
              </w:rPr>
            </w:pPr>
            <w:r>
              <w:rPr>
                <w:rFonts w:ascii="Times New Roman" w:hAnsi="Times New Roman"/>
                <w:sz w:val="24"/>
                <w:szCs w:val="24"/>
              </w:rPr>
              <w:t>Economiques</w:t>
            </w:r>
          </w:p>
        </w:tc>
        <w:tc>
          <w:tcPr>
            <w:tcW w:w="3070" w:type="dxa"/>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24,88</w:t>
            </w:r>
          </w:p>
        </w:tc>
        <w:tc>
          <w:tcPr>
            <w:tcW w:w="3070" w:type="dxa"/>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28,84</w:t>
            </w:r>
          </w:p>
        </w:tc>
      </w:tr>
      <w:tr w:rsidR="00E00AD9" w:rsidTr="00720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70" w:type="dxa"/>
            <w:shd w:val="clear" w:color="auto" w:fill="DAEEF3" w:themeFill="accent5" w:themeFillTint="33"/>
          </w:tcPr>
          <w:p w:rsidR="00E00AD9" w:rsidRDefault="00E00AD9" w:rsidP="00C464FF">
            <w:pPr>
              <w:spacing w:line="276" w:lineRule="auto"/>
              <w:rPr>
                <w:rFonts w:ascii="Times New Roman" w:hAnsi="Times New Roman"/>
                <w:sz w:val="24"/>
                <w:szCs w:val="24"/>
              </w:rPr>
            </w:pPr>
            <w:r>
              <w:rPr>
                <w:rFonts w:ascii="Times New Roman" w:hAnsi="Times New Roman"/>
                <w:sz w:val="24"/>
                <w:szCs w:val="24"/>
              </w:rPr>
              <w:t>Biophysiques</w:t>
            </w:r>
          </w:p>
        </w:tc>
        <w:tc>
          <w:tcPr>
            <w:tcW w:w="3070" w:type="dxa"/>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27,62</w:t>
            </w:r>
          </w:p>
        </w:tc>
        <w:tc>
          <w:tcPr>
            <w:tcW w:w="3070" w:type="dxa"/>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23,82</w:t>
            </w:r>
          </w:p>
        </w:tc>
      </w:tr>
      <w:tr w:rsidR="00E00AD9" w:rsidTr="007203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70" w:type="dxa"/>
            <w:tcBorders>
              <w:bottom w:val="double" w:sz="4" w:space="0" w:color="auto"/>
            </w:tcBorders>
            <w:shd w:val="clear" w:color="auto" w:fill="DAEEF3" w:themeFill="accent5" w:themeFillTint="33"/>
          </w:tcPr>
          <w:p w:rsidR="00E00AD9" w:rsidRDefault="00E00AD9" w:rsidP="00C464FF">
            <w:pPr>
              <w:spacing w:line="276" w:lineRule="auto"/>
              <w:rPr>
                <w:rFonts w:ascii="Times New Roman" w:hAnsi="Times New Roman"/>
                <w:sz w:val="24"/>
                <w:szCs w:val="24"/>
              </w:rPr>
            </w:pPr>
            <w:r>
              <w:rPr>
                <w:rFonts w:ascii="Times New Roman" w:hAnsi="Times New Roman"/>
                <w:sz w:val="24"/>
                <w:szCs w:val="24"/>
              </w:rPr>
              <w:t>Aucun</w:t>
            </w:r>
          </w:p>
        </w:tc>
        <w:tc>
          <w:tcPr>
            <w:tcW w:w="3070" w:type="dxa"/>
            <w:tcBorders>
              <w:bottom w:val="double" w:sz="4" w:space="0" w:color="auto"/>
            </w:tcBorders>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39,32</w:t>
            </w:r>
          </w:p>
        </w:tc>
        <w:tc>
          <w:tcPr>
            <w:tcW w:w="3070" w:type="dxa"/>
            <w:tcBorders>
              <w:bottom w:val="double" w:sz="4" w:space="0" w:color="auto"/>
            </w:tcBorders>
            <w:shd w:val="clear" w:color="auto" w:fill="DAEEF3" w:themeFill="accent5" w:themeFillTint="33"/>
          </w:tcPr>
          <w:p w:rsidR="00E00AD9" w:rsidRDefault="00E00AD9" w:rsidP="00C464FF">
            <w:pPr>
              <w:spacing w:line="276" w:lineRule="auto"/>
              <w:jc w:val="center"/>
              <w:rPr>
                <w:rFonts w:ascii="Times New Roman" w:hAnsi="Times New Roman"/>
                <w:sz w:val="24"/>
                <w:szCs w:val="24"/>
              </w:rPr>
            </w:pPr>
            <w:r>
              <w:rPr>
                <w:rFonts w:ascii="Times New Roman" w:hAnsi="Times New Roman"/>
                <w:sz w:val="24"/>
                <w:szCs w:val="24"/>
              </w:rPr>
              <w:t>34,61</w:t>
            </w:r>
          </w:p>
        </w:tc>
      </w:tr>
      <w:tr w:rsidR="007203DA" w:rsidRPr="007203DA" w:rsidTr="007203DA">
        <w:tc>
          <w:tcPr>
            <w:tcW w:w="9210" w:type="dxa"/>
            <w:gridSpan w:val="3"/>
            <w:tcBorders>
              <w:top w:val="double" w:sz="4" w:space="0" w:color="auto"/>
              <w:left w:val="nil"/>
              <w:bottom w:val="nil"/>
              <w:right w:val="nil"/>
            </w:tcBorders>
            <w:shd w:val="clear" w:color="auto" w:fill="DAEEF3" w:themeFill="accent5" w:themeFillTint="33"/>
          </w:tcPr>
          <w:p w:rsidR="007203DA" w:rsidRPr="007203DA" w:rsidRDefault="007203DA" w:rsidP="007203DA">
            <w:pPr>
              <w:spacing w:line="276" w:lineRule="auto"/>
              <w:rPr>
                <w:rFonts w:ascii="Times New Roman" w:hAnsi="Times New Roman"/>
                <w:sz w:val="20"/>
                <w:szCs w:val="20"/>
              </w:rPr>
            </w:pPr>
            <w:r w:rsidRPr="007203DA">
              <w:rPr>
                <w:rFonts w:ascii="Times New Roman" w:hAnsi="Times New Roman"/>
                <w:sz w:val="20"/>
                <w:szCs w:val="20"/>
              </w:rPr>
              <w:t>Source : INSAE, EMICoV 2011</w:t>
            </w:r>
          </w:p>
        </w:tc>
      </w:tr>
    </w:tbl>
    <w:p w:rsidR="007203DA" w:rsidRDefault="007203DA" w:rsidP="00E00AD9">
      <w:pPr>
        <w:spacing w:line="276" w:lineRule="auto"/>
        <w:rPr>
          <w:rFonts w:ascii="Times New Roman" w:hAnsi="Times New Roman"/>
          <w:b/>
          <w:sz w:val="24"/>
          <w:szCs w:val="24"/>
        </w:rPr>
      </w:pPr>
    </w:p>
    <w:p w:rsidR="00E00AD9" w:rsidRDefault="00E00AD9" w:rsidP="00E00AD9">
      <w:pPr>
        <w:spacing w:line="276" w:lineRule="auto"/>
        <w:rPr>
          <w:rFonts w:ascii="Times New Roman" w:hAnsi="Times New Roman"/>
          <w:sz w:val="24"/>
          <w:szCs w:val="24"/>
        </w:rPr>
      </w:pPr>
    </w:p>
    <w:p w:rsidR="00E00AD9" w:rsidRPr="00670743" w:rsidRDefault="00744E9A" w:rsidP="00670743">
      <w:pPr>
        <w:pStyle w:val="Titre2"/>
        <w:spacing w:before="0" w:after="0"/>
        <w:rPr>
          <w:rFonts w:ascii="Times New Roman" w:hAnsi="Times New Roman" w:cs="Times New Roman"/>
          <w:i w:val="0"/>
          <w:color w:val="31849B" w:themeColor="accent5" w:themeShade="BF"/>
        </w:rPr>
      </w:pPr>
      <w:bookmarkStart w:id="199" w:name="_Toc382322958"/>
      <w:r w:rsidRPr="00670743">
        <w:rPr>
          <w:rFonts w:ascii="Times New Roman" w:hAnsi="Times New Roman" w:cs="Times New Roman"/>
          <w:i w:val="0"/>
          <w:color w:val="31849B" w:themeColor="accent5" w:themeShade="BF"/>
        </w:rPr>
        <w:t xml:space="preserve">6.4  </w:t>
      </w:r>
      <w:r w:rsidR="00E00AD9" w:rsidRPr="00670743">
        <w:rPr>
          <w:rFonts w:ascii="Times New Roman" w:hAnsi="Times New Roman" w:cs="Times New Roman"/>
          <w:i w:val="0"/>
          <w:color w:val="31849B" w:themeColor="accent5" w:themeShade="BF"/>
        </w:rPr>
        <w:t>Les obstacles liés aux inégalités d’accès entre sexe</w:t>
      </w:r>
      <w:r w:rsidR="00921FDA">
        <w:rPr>
          <w:rFonts w:ascii="Times New Roman" w:hAnsi="Times New Roman" w:cs="Times New Roman"/>
          <w:i w:val="0"/>
          <w:color w:val="31849B" w:themeColor="accent5" w:themeShade="BF"/>
        </w:rPr>
        <w:t>s</w:t>
      </w:r>
      <w:bookmarkEnd w:id="199"/>
    </w:p>
    <w:p w:rsidR="00E00AD9" w:rsidRPr="00670743" w:rsidRDefault="00E00AD9" w:rsidP="00E00AD9">
      <w:pPr>
        <w:pStyle w:val="Corpsdetexte"/>
        <w:spacing w:after="0" w:line="276" w:lineRule="auto"/>
        <w:rPr>
          <w:rFonts w:ascii="Times New Roman" w:hAnsi="Times New Roman"/>
          <w:b/>
          <w:sz w:val="12"/>
          <w:szCs w:val="12"/>
        </w:rPr>
      </w:pPr>
    </w:p>
    <w:p w:rsidR="00E00AD9" w:rsidRDefault="00E00AD9" w:rsidP="00E00AD9">
      <w:pPr>
        <w:spacing w:line="276" w:lineRule="auto"/>
        <w:rPr>
          <w:rFonts w:ascii="Times New Roman" w:hAnsi="Times New Roman"/>
          <w:sz w:val="24"/>
          <w:szCs w:val="24"/>
        </w:rPr>
      </w:pPr>
      <w:r>
        <w:rPr>
          <w:rFonts w:ascii="Times New Roman" w:hAnsi="Times New Roman"/>
          <w:sz w:val="24"/>
          <w:szCs w:val="24"/>
        </w:rPr>
        <w:t xml:space="preserve">Les obstacles fondés sur le sexe qui expliquent les inégalités d’accès en termes de pouvoir économique sont de nature multi-dimensionnelle et sont regroupés </w:t>
      </w:r>
      <w:r w:rsidRPr="00F012EC">
        <w:rPr>
          <w:rFonts w:ascii="Times New Roman" w:hAnsi="Times New Roman"/>
          <w:sz w:val="24"/>
          <w:szCs w:val="24"/>
        </w:rPr>
        <w:t>dans trois sphères</w:t>
      </w:r>
      <w:r>
        <w:rPr>
          <w:rFonts w:ascii="Times New Roman" w:hAnsi="Times New Roman"/>
          <w:sz w:val="24"/>
          <w:szCs w:val="24"/>
        </w:rPr>
        <w:t xml:space="preserve"> ci-après (DFID, CRDI et la </w:t>
      </w:r>
      <w:r w:rsidRPr="001E2A91">
        <w:rPr>
          <w:rFonts w:ascii="Times New Roman" w:hAnsi="Times New Roman"/>
          <w:sz w:val="24"/>
          <w:szCs w:val="24"/>
        </w:rPr>
        <w:t xml:space="preserve"> Fondation Hewlett</w:t>
      </w:r>
      <w:r>
        <w:rPr>
          <w:rFonts w:ascii="Times New Roman" w:hAnsi="Times New Roman"/>
          <w:sz w:val="24"/>
          <w:szCs w:val="24"/>
        </w:rPr>
        <w:t>, 2013).</w:t>
      </w:r>
    </w:p>
    <w:p w:rsidR="00E00AD9" w:rsidRDefault="00E00AD9" w:rsidP="00E00AD9">
      <w:pPr>
        <w:spacing w:line="276" w:lineRule="auto"/>
        <w:rPr>
          <w:rFonts w:ascii="Times New Roman" w:hAnsi="Times New Roman"/>
          <w:sz w:val="24"/>
          <w:szCs w:val="24"/>
        </w:rPr>
      </w:pPr>
    </w:p>
    <w:p w:rsidR="00E00AD9" w:rsidRPr="00F012EC" w:rsidRDefault="00E00AD9" w:rsidP="00E00AD9">
      <w:pPr>
        <w:spacing w:line="276" w:lineRule="auto"/>
        <w:rPr>
          <w:rFonts w:ascii="Times New Roman" w:hAnsi="Times New Roman"/>
          <w:sz w:val="24"/>
          <w:szCs w:val="24"/>
        </w:rPr>
      </w:pPr>
      <w:r w:rsidRPr="00F012EC">
        <w:rPr>
          <w:rFonts w:ascii="Times New Roman" w:hAnsi="Times New Roman"/>
          <w:sz w:val="24"/>
          <w:szCs w:val="24"/>
        </w:rPr>
        <w:t>Premièrement, une myriade de facteurs influe sur la place qu’occupent les femmes dans le</w:t>
      </w:r>
      <w:r w:rsidR="005A3930">
        <w:rPr>
          <w:rFonts w:ascii="Times New Roman" w:hAnsi="Times New Roman"/>
          <w:sz w:val="24"/>
          <w:szCs w:val="24"/>
        </w:rPr>
        <w:t xml:space="preserve"> </w:t>
      </w:r>
      <w:r w:rsidRPr="00F012EC">
        <w:rPr>
          <w:rFonts w:ascii="Times New Roman" w:hAnsi="Times New Roman"/>
          <w:sz w:val="24"/>
          <w:szCs w:val="24"/>
        </w:rPr>
        <w:t>ménage. Ces facteurs peuvent inclure, variant selon les contextes et se chevauchant souvent : la propriété foncière; l’héritage et le divorce, l’accès à la planification familiale et aux services de garde d’enfants; les normes sociales et culturelles relatives au soin des enfants et des proches contre rémunération ou non; les normes sociales et culturelles relatives au travail; la valeur accordée à l’éducation des filles; les dynamiques au sein du ménage et le pouvoir de négociation; et le fardeau du travail productif ou du soin des proches sans rémunération</w:t>
      </w:r>
      <w:r>
        <w:rPr>
          <w:rFonts w:ascii="Times New Roman" w:hAnsi="Times New Roman"/>
          <w:sz w:val="24"/>
          <w:szCs w:val="24"/>
        </w:rPr>
        <w:t>.</w:t>
      </w:r>
    </w:p>
    <w:p w:rsidR="00E00AD9" w:rsidRPr="00F012EC"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r>
        <w:rPr>
          <w:rFonts w:ascii="Times New Roman" w:hAnsi="Times New Roman"/>
          <w:sz w:val="24"/>
          <w:szCs w:val="24"/>
        </w:rPr>
        <w:t>Deuxièmement,</w:t>
      </w:r>
      <w:r w:rsidRPr="00F012EC">
        <w:rPr>
          <w:rFonts w:ascii="Times New Roman" w:hAnsi="Times New Roman"/>
          <w:sz w:val="24"/>
          <w:szCs w:val="24"/>
        </w:rPr>
        <w:t xml:space="preserve"> dans la société et l’économie au sens plus large, le travail des femmes peut être entravé par des barrières juridiques et réglementaires discriminatoires, un accès limité aux actifs financiers et physiques et à l’information sur le marché, moins de réseaux sociaux et de relations d’affaires, un accès limité à l’éducation et au perfectionnement des compétences et un pouvoir de négociation plus faible dans les marchés de l’emploi. En plus d’une discrimination fondée sur le sexe officialisée, des attitudes et certains comportements de la part des acteurs de la vie publique peuvent restreindre encore davantage la capacité des femmes de tirer parti des débouchés économiques</w:t>
      </w:r>
      <w:r>
        <w:rPr>
          <w:rStyle w:val="Appelnotedebasdep"/>
          <w:rFonts w:ascii="Times New Roman" w:hAnsi="Times New Roman"/>
          <w:sz w:val="24"/>
          <w:szCs w:val="24"/>
        </w:rPr>
        <w:footnoteReference w:id="89"/>
      </w:r>
      <w:r w:rsidRPr="00F012EC">
        <w:rPr>
          <w:rFonts w:ascii="Times New Roman" w:hAnsi="Times New Roman"/>
          <w:sz w:val="24"/>
          <w:szCs w:val="24"/>
        </w:rPr>
        <w:t xml:space="preserve">. </w:t>
      </w:r>
    </w:p>
    <w:p w:rsidR="00E00AD9" w:rsidRPr="00F012EC" w:rsidRDefault="00E00AD9" w:rsidP="00E00AD9">
      <w:pPr>
        <w:spacing w:line="276" w:lineRule="auto"/>
        <w:rPr>
          <w:rFonts w:ascii="Times New Roman" w:hAnsi="Times New Roman"/>
          <w:sz w:val="24"/>
          <w:szCs w:val="24"/>
        </w:rPr>
      </w:pPr>
    </w:p>
    <w:p w:rsidR="00E00AD9" w:rsidRPr="008717CD" w:rsidRDefault="00E00AD9" w:rsidP="00E00AD9">
      <w:pPr>
        <w:spacing w:line="276" w:lineRule="auto"/>
        <w:rPr>
          <w:rFonts w:ascii="Times New Roman" w:hAnsi="Times New Roman"/>
          <w:sz w:val="24"/>
          <w:szCs w:val="24"/>
        </w:rPr>
      </w:pPr>
      <w:r>
        <w:rPr>
          <w:rFonts w:ascii="Times New Roman" w:hAnsi="Times New Roman"/>
          <w:sz w:val="24"/>
          <w:szCs w:val="24"/>
        </w:rPr>
        <w:t>Troisièmement</w:t>
      </w:r>
      <w:r w:rsidRPr="00F012EC">
        <w:rPr>
          <w:rFonts w:ascii="Times New Roman" w:hAnsi="Times New Roman"/>
          <w:sz w:val="24"/>
          <w:szCs w:val="24"/>
        </w:rPr>
        <w:t>, les préférences et les choix individuels peuvent être influencés par des attributs psychologiques, comme l’altruisme, la réciprocité et la souplesse. Les attitudes envers la concurrence, la prise de risques et l’aversion, la motivation, etc., peuvent varier entre les hommes et les femmes (et tout aussi bien d’un groupe de femmes à un autre), même si la documentation fait état de différentes opinions à ce sujet, à savoir si ces différences existent par</w:t>
      </w:r>
      <w:r>
        <w:rPr>
          <w:rFonts w:ascii="Times New Roman" w:hAnsi="Times New Roman"/>
          <w:sz w:val="24"/>
          <w:szCs w:val="24"/>
        </w:rPr>
        <w:t xml:space="preserve"> ch</w:t>
      </w:r>
      <w:r w:rsidRPr="00F012EC">
        <w:rPr>
          <w:rFonts w:ascii="Times New Roman" w:hAnsi="Times New Roman"/>
          <w:sz w:val="24"/>
          <w:szCs w:val="24"/>
        </w:rPr>
        <w:t>oix ou qu’elles sont imposées par des normes et des contraintes fondées sur le sexe, ou s’il est possible de faire une telle distinction</w:t>
      </w:r>
      <w:r>
        <w:rPr>
          <w:rFonts w:ascii="Times New Roman" w:hAnsi="Times New Roman"/>
          <w:sz w:val="24"/>
          <w:szCs w:val="24"/>
        </w:rPr>
        <w:t>.</w:t>
      </w:r>
    </w:p>
    <w:p w:rsidR="00E00AD9" w:rsidRDefault="00E00AD9" w:rsidP="00E00AD9">
      <w:pPr>
        <w:spacing w:line="276" w:lineRule="auto"/>
        <w:rPr>
          <w:rFonts w:ascii="Times New Roman" w:hAnsi="Times New Roman"/>
          <w:sz w:val="24"/>
          <w:szCs w:val="24"/>
        </w:rPr>
      </w:pPr>
    </w:p>
    <w:p w:rsidR="00E00AD9" w:rsidRDefault="00E00AD9" w:rsidP="00E00AD9">
      <w:pPr>
        <w:spacing w:line="276" w:lineRule="auto"/>
        <w:rPr>
          <w:rFonts w:ascii="Times New Roman" w:hAnsi="Times New Roman"/>
          <w:sz w:val="24"/>
          <w:szCs w:val="24"/>
        </w:rPr>
      </w:pPr>
      <w:r>
        <w:rPr>
          <w:rFonts w:ascii="Times New Roman" w:hAnsi="Times New Roman"/>
          <w:sz w:val="24"/>
          <w:szCs w:val="24"/>
        </w:rPr>
        <w:t xml:space="preserve">Dans ce chapitre, nous faisons l’hypothèse que le pouvoir économique est lié au statut de pauvreté. L’inverse qui est aussi plausible n’est pas abordé ici. </w:t>
      </w:r>
      <w:r w:rsidRPr="001064B7">
        <w:rPr>
          <w:rFonts w:ascii="Times New Roman" w:hAnsi="Times New Roman"/>
          <w:sz w:val="24"/>
          <w:szCs w:val="24"/>
        </w:rPr>
        <w:t>En effet, si la pauvreté pousse les</w:t>
      </w:r>
      <w:r w:rsidR="005A3930">
        <w:rPr>
          <w:rFonts w:ascii="Times New Roman" w:hAnsi="Times New Roman"/>
          <w:sz w:val="24"/>
          <w:szCs w:val="24"/>
        </w:rPr>
        <w:t xml:space="preserve"> </w:t>
      </w:r>
      <w:r w:rsidRPr="001064B7">
        <w:rPr>
          <w:rFonts w:ascii="Times New Roman" w:hAnsi="Times New Roman"/>
          <w:sz w:val="24"/>
          <w:szCs w:val="24"/>
        </w:rPr>
        <w:t xml:space="preserve">individus à accroître </w:t>
      </w:r>
      <w:r>
        <w:rPr>
          <w:rFonts w:ascii="Times New Roman" w:hAnsi="Times New Roman"/>
          <w:sz w:val="24"/>
          <w:szCs w:val="24"/>
        </w:rPr>
        <w:t xml:space="preserve">par exemple </w:t>
      </w:r>
      <w:r w:rsidRPr="001064B7">
        <w:rPr>
          <w:rFonts w:ascii="Times New Roman" w:hAnsi="Times New Roman"/>
          <w:sz w:val="24"/>
          <w:szCs w:val="24"/>
        </w:rPr>
        <w:t>leur offre de travail, cet</w:t>
      </w:r>
      <w:r w:rsidR="005A3930">
        <w:rPr>
          <w:rFonts w:ascii="Times New Roman" w:hAnsi="Times New Roman"/>
          <w:sz w:val="24"/>
          <w:szCs w:val="24"/>
        </w:rPr>
        <w:t xml:space="preserve"> </w:t>
      </w:r>
      <w:r w:rsidRPr="001064B7">
        <w:rPr>
          <w:rFonts w:ascii="Times New Roman" w:hAnsi="Times New Roman"/>
          <w:sz w:val="24"/>
          <w:szCs w:val="24"/>
        </w:rPr>
        <w:t>accroissement, s’il améliore significativement le</w:t>
      </w:r>
      <w:r w:rsidR="005A3930">
        <w:rPr>
          <w:rFonts w:ascii="Times New Roman" w:hAnsi="Times New Roman"/>
          <w:sz w:val="24"/>
          <w:szCs w:val="24"/>
        </w:rPr>
        <w:t xml:space="preserve"> </w:t>
      </w:r>
      <w:r w:rsidRPr="001064B7">
        <w:rPr>
          <w:rFonts w:ascii="Times New Roman" w:hAnsi="Times New Roman"/>
          <w:sz w:val="24"/>
          <w:szCs w:val="24"/>
        </w:rPr>
        <w:t>niveau de vie des ménages, peut justement les faire</w:t>
      </w:r>
      <w:r w:rsidR="005A3930">
        <w:rPr>
          <w:rFonts w:ascii="Times New Roman" w:hAnsi="Times New Roman"/>
          <w:sz w:val="24"/>
          <w:szCs w:val="24"/>
        </w:rPr>
        <w:t xml:space="preserve"> </w:t>
      </w:r>
      <w:r w:rsidRPr="001064B7">
        <w:rPr>
          <w:rFonts w:ascii="Times New Roman" w:hAnsi="Times New Roman"/>
          <w:sz w:val="24"/>
          <w:szCs w:val="24"/>
        </w:rPr>
        <w:t>sortir de la pauvreté</w:t>
      </w:r>
      <w:r>
        <w:rPr>
          <w:rFonts w:ascii="Times New Roman" w:hAnsi="Times New Roman"/>
          <w:sz w:val="24"/>
          <w:szCs w:val="24"/>
        </w:rPr>
        <w:t xml:space="preserve">. A cet effet, on peut noter comme le montre le graphique qui suit, que le faible pouvoir économique des </w:t>
      </w:r>
      <w:r w:rsidRPr="0062577F">
        <w:rPr>
          <w:rFonts w:ascii="Times New Roman" w:hAnsi="Times New Roman"/>
          <w:sz w:val="24"/>
          <w:szCs w:val="24"/>
        </w:rPr>
        <w:t xml:space="preserve">femmes </w:t>
      </w:r>
      <w:r>
        <w:rPr>
          <w:rFonts w:ascii="Times New Roman" w:hAnsi="Times New Roman"/>
          <w:sz w:val="24"/>
          <w:szCs w:val="24"/>
        </w:rPr>
        <w:t>s’expliquerait par les caractéristiques ci-après</w:t>
      </w:r>
      <w:r w:rsidRPr="0062577F">
        <w:rPr>
          <w:rFonts w:ascii="Times New Roman" w:hAnsi="Times New Roman"/>
          <w:sz w:val="24"/>
          <w:szCs w:val="24"/>
        </w:rPr>
        <w:t> : aucun niveau d’instruction, actives dans la branche agriculture hors coton ou agroalimentaire, travaillent à leur propre compte, sont dans le milieu rural, ont 60 ans et plus mais ont moins de 3 personnes à charge.</w:t>
      </w:r>
      <w:r>
        <w:rPr>
          <w:rFonts w:ascii="Times New Roman" w:hAnsi="Times New Roman"/>
          <w:sz w:val="24"/>
          <w:szCs w:val="24"/>
        </w:rPr>
        <w:t xml:space="preserve"> Le faible niveau d’instruction et les secteurs d’activités hautement informels qui les caractérisent se traduisent à leur niveau par un fort</w:t>
      </w:r>
      <w:r w:rsidR="00921FDA">
        <w:rPr>
          <w:rFonts w:ascii="Times New Roman" w:hAnsi="Times New Roman"/>
          <w:sz w:val="24"/>
          <w:szCs w:val="24"/>
        </w:rPr>
        <w:t xml:space="preserve"> taux</w:t>
      </w:r>
      <w:r>
        <w:rPr>
          <w:rFonts w:ascii="Times New Roman" w:hAnsi="Times New Roman"/>
          <w:sz w:val="24"/>
          <w:szCs w:val="24"/>
        </w:rPr>
        <w:t xml:space="preserve"> de sous-emploi lié au revenu ou à la productivité.</w:t>
      </w:r>
    </w:p>
    <w:p w:rsidR="00E00AD9" w:rsidRDefault="00E00AD9" w:rsidP="00E00AD9">
      <w:pPr>
        <w:pStyle w:val="Paragraphedeliste"/>
        <w:spacing w:line="276" w:lineRule="auto"/>
        <w:ind w:left="360"/>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4A7CD5" w:rsidRPr="003E6F2A" w:rsidTr="004A7CD5">
        <w:trPr>
          <w:trHeight w:val="347"/>
        </w:trPr>
        <w:tc>
          <w:tcPr>
            <w:tcW w:w="9286" w:type="dxa"/>
            <w:shd w:val="clear" w:color="auto" w:fill="92CDDC" w:themeFill="accent5" w:themeFillTint="99"/>
          </w:tcPr>
          <w:p w:rsidR="004A7CD5" w:rsidRPr="003E6F2A" w:rsidRDefault="004A7CD5" w:rsidP="00D60CFD">
            <w:pPr>
              <w:pStyle w:val="Lgende"/>
              <w:framePr w:wrap="around"/>
            </w:pPr>
            <w:bookmarkStart w:id="200" w:name="_Toc369714360"/>
            <w:r>
              <w:t xml:space="preserve">Figure 6. </w:t>
            </w:r>
            <w:r w:rsidR="004F064D">
              <w:fldChar w:fldCharType="begin"/>
            </w:r>
            <w:r w:rsidR="004F064D">
              <w:instrText xml:space="preserve"> SEQ Figure_6. \* ARABIC </w:instrText>
            </w:r>
            <w:r w:rsidR="004F064D">
              <w:fldChar w:fldCharType="separate"/>
            </w:r>
            <w:r w:rsidR="00AB1967">
              <w:rPr>
                <w:noProof/>
              </w:rPr>
              <w:t>1</w:t>
            </w:r>
            <w:r w:rsidR="004F064D">
              <w:rPr>
                <w:noProof/>
              </w:rPr>
              <w:fldChar w:fldCharType="end"/>
            </w:r>
            <w:r w:rsidRPr="003E6F2A">
              <w:t>:</w:t>
            </w:r>
            <w:r w:rsidRPr="00DD3D61">
              <w:t xml:space="preserve"> Profil des femmes selon la mobilité dans la pauvreté et suivant les caractéristiques sociodémographiques</w:t>
            </w:r>
            <w:bookmarkEnd w:id="200"/>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4A7CD5" w:rsidTr="004A7CD5">
        <w:tc>
          <w:tcPr>
            <w:tcW w:w="9286" w:type="dxa"/>
            <w:shd w:val="clear" w:color="auto" w:fill="DAEEF3" w:themeFill="accent5" w:themeFillTint="33"/>
          </w:tcPr>
          <w:p w:rsidR="004A7CD5" w:rsidRDefault="004A7CD5" w:rsidP="0031347F">
            <w:pPr>
              <w:spacing w:before="120" w:after="120" w:line="240" w:lineRule="auto"/>
              <w:ind w:left="-57"/>
              <w:jc w:val="center"/>
            </w:pPr>
            <w:r w:rsidRPr="004A7CD5">
              <w:rPr>
                <w:noProof/>
                <w:lang w:eastAsia="fr-FR"/>
              </w:rPr>
              <w:drawing>
                <wp:inline distT="0" distB="0" distL="0" distR="0" wp14:anchorId="38040B17" wp14:editId="0E2A3A0A">
                  <wp:extent cx="5772150" cy="3371215"/>
                  <wp:effectExtent l="19050" t="19050" r="19050" b="19685"/>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l="2666" t="3426" b="1713"/>
                          <a:stretch>
                            <a:fillRect/>
                          </a:stretch>
                        </pic:blipFill>
                        <pic:spPr bwMode="auto">
                          <a:xfrm>
                            <a:off x="0" y="0"/>
                            <a:ext cx="5777872" cy="3374557"/>
                          </a:xfrm>
                          <a:prstGeom prst="rect">
                            <a:avLst/>
                          </a:prstGeom>
                          <a:noFill/>
                          <a:ln w="9525">
                            <a:solidFill>
                              <a:schemeClr val="accent1"/>
                            </a:solidFill>
                            <a:miter lim="800000"/>
                            <a:headEnd/>
                            <a:tailEnd/>
                          </a:ln>
                        </pic:spPr>
                      </pic:pic>
                    </a:graphicData>
                  </a:graphic>
                </wp:inline>
              </w:drawing>
            </w:r>
          </w:p>
        </w:tc>
      </w:tr>
      <w:tr w:rsidR="004A7CD5" w:rsidRPr="00B22561" w:rsidTr="004A7CD5">
        <w:tc>
          <w:tcPr>
            <w:tcW w:w="9286" w:type="dxa"/>
            <w:shd w:val="clear" w:color="auto" w:fill="DAEEF3" w:themeFill="accent5" w:themeFillTint="33"/>
          </w:tcPr>
          <w:p w:rsidR="004A7CD5" w:rsidRPr="00B22561" w:rsidRDefault="004A7CD5" w:rsidP="0031347F">
            <w:pPr>
              <w:spacing w:line="240" w:lineRule="auto"/>
              <w:rPr>
                <w:rFonts w:ascii="Times New Roman" w:hAnsi="Times New Roman"/>
                <w:sz w:val="20"/>
                <w:szCs w:val="20"/>
              </w:rPr>
            </w:pPr>
            <w:r w:rsidRPr="00B22561">
              <w:rPr>
                <w:rFonts w:ascii="Times New Roman" w:hAnsi="Times New Roman"/>
                <w:sz w:val="20"/>
                <w:szCs w:val="20"/>
              </w:rPr>
              <w:t>Source : INSAE, EMICoV</w:t>
            </w:r>
            <w:r w:rsidR="00B22561" w:rsidRPr="00B22561">
              <w:rPr>
                <w:rFonts w:ascii="Times New Roman" w:hAnsi="Times New Roman"/>
                <w:sz w:val="20"/>
                <w:szCs w:val="20"/>
              </w:rPr>
              <w:t xml:space="preserve"> 2010</w:t>
            </w:r>
          </w:p>
        </w:tc>
      </w:tr>
    </w:tbl>
    <w:p w:rsidR="004A7CD5" w:rsidRPr="00DD3D61" w:rsidRDefault="004A7CD5" w:rsidP="00E00AD9">
      <w:pPr>
        <w:spacing w:line="240" w:lineRule="auto"/>
        <w:rPr>
          <w:rFonts w:ascii="Times New Roman" w:hAnsi="Times New Roman"/>
          <w:sz w:val="24"/>
          <w:szCs w:val="24"/>
        </w:rPr>
      </w:pPr>
    </w:p>
    <w:p w:rsidR="00E00AD9" w:rsidRPr="0062577F" w:rsidRDefault="00E00AD9" w:rsidP="00E00AD9">
      <w:pPr>
        <w:pStyle w:val="Paragraphedeliste"/>
        <w:spacing w:line="240" w:lineRule="auto"/>
        <w:ind w:left="360"/>
        <w:rPr>
          <w:rFonts w:ascii="Times New Roman" w:hAnsi="Times New Roman"/>
          <w:sz w:val="24"/>
          <w:szCs w:val="24"/>
        </w:rPr>
      </w:pPr>
    </w:p>
    <w:p w:rsidR="00E00AD9" w:rsidRPr="00F012EC" w:rsidRDefault="00E00AD9" w:rsidP="00E00AD9">
      <w:pPr>
        <w:spacing w:line="276" w:lineRule="auto"/>
        <w:rPr>
          <w:rFonts w:ascii="Times New Roman" w:hAnsi="Times New Roman"/>
          <w:sz w:val="24"/>
          <w:szCs w:val="24"/>
        </w:rPr>
      </w:pPr>
      <w:r>
        <w:rPr>
          <w:rFonts w:ascii="Times New Roman" w:hAnsi="Times New Roman"/>
          <w:sz w:val="24"/>
          <w:szCs w:val="24"/>
        </w:rPr>
        <w:t>Du côté des hommes, ces caractéristiques sont pratiquement identiques sauf que la taille du ménage est plus élevée  (</w:t>
      </w:r>
      <w:r w:rsidRPr="0062577F">
        <w:rPr>
          <w:rFonts w:ascii="Times New Roman" w:hAnsi="Times New Roman"/>
          <w:sz w:val="24"/>
          <w:szCs w:val="24"/>
        </w:rPr>
        <w:t>5 personnes ou plus</w:t>
      </w:r>
      <w:r>
        <w:rPr>
          <w:rFonts w:ascii="Times New Roman" w:hAnsi="Times New Roman"/>
          <w:sz w:val="24"/>
          <w:szCs w:val="24"/>
        </w:rPr>
        <w:t xml:space="preserve">). Ceci semble mettre en exergue </w:t>
      </w:r>
      <w:r w:rsidRPr="00F012EC">
        <w:rPr>
          <w:rFonts w:ascii="Times New Roman" w:hAnsi="Times New Roman"/>
          <w:sz w:val="24"/>
          <w:szCs w:val="24"/>
        </w:rPr>
        <w:t xml:space="preserve">l’accès à la planification familiale et </w:t>
      </w:r>
      <w:r>
        <w:rPr>
          <w:rFonts w:ascii="Times New Roman" w:hAnsi="Times New Roman"/>
          <w:sz w:val="24"/>
          <w:szCs w:val="24"/>
        </w:rPr>
        <w:t xml:space="preserve">aux services de garde d’enfants comme obstacles à l’accès au pouvoir économique des femmes dans cette catégorie de ménage. </w:t>
      </w:r>
    </w:p>
    <w:p w:rsidR="00E00AD9" w:rsidRPr="0062577F" w:rsidRDefault="00E00AD9" w:rsidP="00E00AD9">
      <w:pPr>
        <w:spacing w:line="276" w:lineRule="auto"/>
        <w:rPr>
          <w:rFonts w:ascii="Times New Roman" w:hAnsi="Times New Roman"/>
          <w:sz w:val="24"/>
          <w:szCs w:val="24"/>
        </w:rPr>
      </w:pPr>
    </w:p>
    <w:p w:rsidR="00E00AD9" w:rsidRDefault="00E00AD9" w:rsidP="00E00AD9">
      <w:pPr>
        <w:pStyle w:val="Paragraphedeliste"/>
        <w:spacing w:line="276" w:lineRule="auto"/>
        <w:ind w:left="360"/>
        <w:rPr>
          <w:rFonts w:ascii="Times New Roman" w:hAnsi="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B22561" w:rsidRPr="003E6F2A" w:rsidTr="0031347F">
        <w:trPr>
          <w:trHeight w:val="347"/>
        </w:trPr>
        <w:tc>
          <w:tcPr>
            <w:tcW w:w="9286" w:type="dxa"/>
            <w:shd w:val="clear" w:color="auto" w:fill="92CDDC" w:themeFill="accent5" w:themeFillTint="99"/>
          </w:tcPr>
          <w:p w:rsidR="00B22561" w:rsidRPr="003E6F2A" w:rsidRDefault="00B22561" w:rsidP="00D60CFD">
            <w:pPr>
              <w:pStyle w:val="Lgende"/>
              <w:framePr w:wrap="around"/>
            </w:pPr>
            <w:bookmarkStart w:id="201" w:name="_Toc369714361"/>
            <w:r>
              <w:t xml:space="preserve">Figure 6. </w:t>
            </w:r>
            <w:r w:rsidR="004F064D">
              <w:fldChar w:fldCharType="begin"/>
            </w:r>
            <w:r w:rsidR="004F064D">
              <w:instrText xml:space="preserve"> SEQ Figure_6. \* ARABIC </w:instrText>
            </w:r>
            <w:r w:rsidR="004F064D">
              <w:fldChar w:fldCharType="separate"/>
            </w:r>
            <w:r w:rsidR="00AB1967">
              <w:rPr>
                <w:noProof/>
              </w:rPr>
              <w:t>2</w:t>
            </w:r>
            <w:r w:rsidR="004F064D">
              <w:rPr>
                <w:noProof/>
              </w:rPr>
              <w:fldChar w:fldCharType="end"/>
            </w:r>
            <w:r w:rsidRPr="003E6F2A">
              <w:t>:</w:t>
            </w:r>
            <w:r w:rsidRPr="00650DD6">
              <w:t>Profil des hommes selon la mobilité dans la pauvreté et suivant les caractéristiques sociodémographiques</w:t>
            </w:r>
            <w:bookmarkEnd w:id="201"/>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B22561" w:rsidTr="0031347F">
        <w:tc>
          <w:tcPr>
            <w:tcW w:w="9286" w:type="dxa"/>
            <w:shd w:val="clear" w:color="auto" w:fill="DAEEF3" w:themeFill="accent5" w:themeFillTint="33"/>
          </w:tcPr>
          <w:p w:rsidR="00B22561" w:rsidRDefault="00B22561" w:rsidP="0031347F">
            <w:pPr>
              <w:spacing w:before="120" w:after="120" w:line="240" w:lineRule="auto"/>
              <w:ind w:left="-57"/>
              <w:jc w:val="center"/>
            </w:pPr>
            <w:r w:rsidRPr="00B22561">
              <w:rPr>
                <w:noProof/>
                <w:lang w:eastAsia="fr-FR"/>
              </w:rPr>
              <w:drawing>
                <wp:inline distT="0" distB="0" distL="0" distR="0" wp14:anchorId="05014C75" wp14:editId="1DDEC82C">
                  <wp:extent cx="5759450" cy="3057525"/>
                  <wp:effectExtent l="19050" t="19050" r="12700" b="28575"/>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srcRect l="2666" t="3426" r="889" b="1713"/>
                          <a:stretch>
                            <a:fillRect/>
                          </a:stretch>
                        </pic:blipFill>
                        <pic:spPr bwMode="auto">
                          <a:xfrm>
                            <a:off x="0" y="0"/>
                            <a:ext cx="5759450" cy="3057525"/>
                          </a:xfrm>
                          <a:prstGeom prst="rect">
                            <a:avLst/>
                          </a:prstGeom>
                          <a:noFill/>
                          <a:ln w="9525">
                            <a:solidFill>
                              <a:schemeClr val="accent1"/>
                            </a:solidFill>
                            <a:miter lim="800000"/>
                            <a:headEnd/>
                            <a:tailEnd/>
                          </a:ln>
                        </pic:spPr>
                      </pic:pic>
                    </a:graphicData>
                  </a:graphic>
                </wp:inline>
              </w:drawing>
            </w:r>
          </w:p>
        </w:tc>
      </w:tr>
      <w:tr w:rsidR="00B22561" w:rsidRPr="00B22561" w:rsidTr="0031347F">
        <w:tc>
          <w:tcPr>
            <w:tcW w:w="9286" w:type="dxa"/>
            <w:shd w:val="clear" w:color="auto" w:fill="DAEEF3" w:themeFill="accent5" w:themeFillTint="33"/>
          </w:tcPr>
          <w:p w:rsidR="00B22561" w:rsidRPr="00B22561" w:rsidRDefault="00B22561" w:rsidP="0031347F">
            <w:pPr>
              <w:spacing w:line="240" w:lineRule="auto"/>
              <w:rPr>
                <w:rFonts w:ascii="Times New Roman" w:hAnsi="Times New Roman"/>
                <w:sz w:val="20"/>
                <w:szCs w:val="20"/>
              </w:rPr>
            </w:pPr>
            <w:r w:rsidRPr="00B22561">
              <w:rPr>
                <w:rFonts w:ascii="Times New Roman" w:hAnsi="Times New Roman"/>
                <w:sz w:val="20"/>
                <w:szCs w:val="20"/>
              </w:rPr>
              <w:t>Source : INSAE, EMICoV  2010</w:t>
            </w:r>
          </w:p>
        </w:tc>
      </w:tr>
    </w:tbl>
    <w:p w:rsidR="00B22561" w:rsidRDefault="00B22561" w:rsidP="00E00AD9">
      <w:pPr>
        <w:spacing w:line="240" w:lineRule="auto"/>
        <w:rPr>
          <w:rFonts w:ascii="Times New Roman" w:hAnsi="Times New Roman"/>
          <w:sz w:val="24"/>
          <w:szCs w:val="24"/>
        </w:rPr>
      </w:pPr>
    </w:p>
    <w:p w:rsidR="00E00AD9" w:rsidRPr="00650DD6" w:rsidRDefault="00E00AD9" w:rsidP="00E00AD9">
      <w:pPr>
        <w:spacing w:line="240" w:lineRule="auto"/>
        <w:rPr>
          <w:rFonts w:ascii="Times New Roman" w:hAnsi="Times New Roman"/>
          <w:sz w:val="24"/>
          <w:szCs w:val="24"/>
        </w:rPr>
      </w:pPr>
    </w:p>
    <w:p w:rsidR="00E00AD9" w:rsidRDefault="00E00AD9" w:rsidP="00E00AD9">
      <w:pPr>
        <w:pStyle w:val="Sansinterligne"/>
        <w:spacing w:line="276" w:lineRule="auto"/>
        <w:rPr>
          <w:rFonts w:ascii="Times New Roman" w:hAnsi="Times New Roman"/>
          <w:sz w:val="24"/>
          <w:szCs w:val="24"/>
        </w:rPr>
      </w:pPr>
      <w:r>
        <w:rPr>
          <w:rFonts w:ascii="Times New Roman" w:hAnsi="Times New Roman"/>
          <w:sz w:val="24"/>
          <w:szCs w:val="24"/>
        </w:rPr>
        <w:t>Les résultats montrent ainsi que l</w:t>
      </w:r>
      <w:r w:rsidRPr="00E05850">
        <w:rPr>
          <w:rFonts w:ascii="Times New Roman" w:hAnsi="Times New Roman"/>
          <w:sz w:val="24"/>
          <w:szCs w:val="24"/>
        </w:rPr>
        <w:t xml:space="preserve">’âge, le niveau d’instruction, la taille du ménage, </w:t>
      </w:r>
      <w:r>
        <w:rPr>
          <w:rFonts w:ascii="Times New Roman" w:hAnsi="Times New Roman"/>
          <w:sz w:val="24"/>
          <w:szCs w:val="24"/>
        </w:rPr>
        <w:t>le statut migratoire,</w:t>
      </w:r>
      <w:r w:rsidRPr="00E05850">
        <w:rPr>
          <w:rFonts w:ascii="Times New Roman" w:hAnsi="Times New Roman"/>
          <w:sz w:val="24"/>
          <w:szCs w:val="24"/>
        </w:rPr>
        <w:t xml:space="preserve"> le type d’emploi, la catégorie socioprofessionnelle et la branche d’activités sont des facteurs de différenciation du niveau de pauvreté aussi bien chez les hommes que chez les femmes.</w:t>
      </w:r>
    </w:p>
    <w:p w:rsidR="00E00AD9" w:rsidRDefault="00E00AD9" w:rsidP="00E00AD9">
      <w:pPr>
        <w:pStyle w:val="Sansinterligne"/>
        <w:spacing w:line="276" w:lineRule="auto"/>
        <w:rPr>
          <w:rFonts w:ascii="Times New Roman" w:hAnsi="Times New Roman"/>
          <w:sz w:val="24"/>
          <w:szCs w:val="24"/>
        </w:rPr>
      </w:pPr>
    </w:p>
    <w:p w:rsidR="00E00AD9" w:rsidRPr="00E05850" w:rsidRDefault="00E00AD9" w:rsidP="00E00AD9">
      <w:pPr>
        <w:pStyle w:val="Sansinterligne"/>
        <w:spacing w:line="276" w:lineRule="auto"/>
        <w:rPr>
          <w:rFonts w:ascii="Times New Roman" w:hAnsi="Times New Roman"/>
          <w:sz w:val="24"/>
          <w:szCs w:val="24"/>
        </w:rPr>
      </w:pPr>
      <w:r w:rsidRPr="00E05850">
        <w:rPr>
          <w:rFonts w:ascii="Times New Roman" w:hAnsi="Times New Roman"/>
          <w:sz w:val="24"/>
          <w:szCs w:val="24"/>
        </w:rPr>
        <w:t xml:space="preserve">Pour l’âge, les personnes âgées </w:t>
      </w:r>
      <w:r>
        <w:rPr>
          <w:rFonts w:ascii="Times New Roman" w:hAnsi="Times New Roman"/>
          <w:sz w:val="24"/>
          <w:szCs w:val="24"/>
        </w:rPr>
        <w:t xml:space="preserve">de 55 ans et plus </w:t>
      </w:r>
      <w:r w:rsidRPr="00E05850">
        <w:rPr>
          <w:rFonts w:ascii="Times New Roman" w:hAnsi="Times New Roman"/>
          <w:sz w:val="24"/>
          <w:szCs w:val="24"/>
        </w:rPr>
        <w:t xml:space="preserve">ont des risques moins élevés d’être pauvres que les jeunes de moins de 35 ans. Les femmes comme les hommes de 35 à 44 ans ont des risques moins élevés que tous les autres groupes d’âges. Le risque le moins élevé se retrouve chez les chefs de ménages hommes de 55 ans et plus et chez les femmes chefs de ménages de 45-54 ans. L’écart d’âge entre les époux étant de 5,9 ans (EDSB2, 2006), on comprend que ces deux groupes d’âges puissent contenir les hommes et les femmes chefs de ménages ayant le moindre risque de devenir </w:t>
      </w:r>
      <w:r>
        <w:rPr>
          <w:rFonts w:ascii="Times New Roman" w:hAnsi="Times New Roman"/>
          <w:sz w:val="24"/>
          <w:szCs w:val="24"/>
        </w:rPr>
        <w:t xml:space="preserve">pauvres </w:t>
      </w:r>
      <w:r w:rsidRPr="00E05850">
        <w:rPr>
          <w:rFonts w:ascii="Times New Roman" w:hAnsi="Times New Roman"/>
          <w:sz w:val="24"/>
          <w:szCs w:val="24"/>
        </w:rPr>
        <w:t xml:space="preserve">par rapport au groupe des jeunes de moins de 35 ans. </w:t>
      </w:r>
    </w:p>
    <w:p w:rsidR="00E00AD9" w:rsidRPr="00E05850" w:rsidRDefault="00E00AD9" w:rsidP="00E00AD9">
      <w:pPr>
        <w:pStyle w:val="Sansinterligne"/>
        <w:spacing w:line="276" w:lineRule="auto"/>
        <w:rPr>
          <w:rFonts w:ascii="Times New Roman" w:hAnsi="Times New Roman"/>
          <w:sz w:val="24"/>
          <w:szCs w:val="24"/>
        </w:rPr>
      </w:pPr>
    </w:p>
    <w:p w:rsidR="00E00AD9" w:rsidRDefault="00E00AD9" w:rsidP="00E00AD9">
      <w:pPr>
        <w:pStyle w:val="Sansinterligne"/>
        <w:spacing w:line="276" w:lineRule="auto"/>
        <w:rPr>
          <w:rFonts w:ascii="Times New Roman" w:hAnsi="Times New Roman"/>
          <w:color w:val="000000"/>
          <w:sz w:val="24"/>
          <w:szCs w:val="24"/>
        </w:rPr>
      </w:pPr>
      <w:r w:rsidRPr="00E05850">
        <w:rPr>
          <w:rFonts w:ascii="Times New Roman" w:hAnsi="Times New Roman"/>
          <w:sz w:val="24"/>
          <w:szCs w:val="24"/>
        </w:rPr>
        <w:t xml:space="preserve">Le niveau d’instruction a un effet plus bénéfique chez les femmes que chez les hommes parce qu’à niveau d’instruction égal le risque de pauvreté est moins élevé chez la femme </w:t>
      </w:r>
      <w:r>
        <w:rPr>
          <w:rFonts w:ascii="Times New Roman" w:hAnsi="Times New Roman"/>
          <w:sz w:val="24"/>
          <w:szCs w:val="24"/>
        </w:rPr>
        <w:t xml:space="preserve">que </w:t>
      </w:r>
      <w:r w:rsidRPr="00E05850">
        <w:rPr>
          <w:rFonts w:ascii="Times New Roman" w:hAnsi="Times New Roman"/>
          <w:sz w:val="24"/>
          <w:szCs w:val="24"/>
        </w:rPr>
        <w:t xml:space="preserve">chez l’homme. Au fur et à mesure qu’évolue le niveau d’instruction, les femmes et les hommes ont des risques plus faibles de devenir pauvres. </w:t>
      </w:r>
      <w:r>
        <w:rPr>
          <w:rFonts w:ascii="Times New Roman" w:hAnsi="Times New Roman"/>
          <w:sz w:val="24"/>
          <w:szCs w:val="24"/>
        </w:rPr>
        <w:t>Or, comme on peut le noter, l</w:t>
      </w:r>
      <w:r>
        <w:rPr>
          <w:rFonts w:ascii="Times New Roman" w:hAnsi="Times New Roman"/>
          <w:color w:val="000000"/>
          <w:sz w:val="24"/>
          <w:szCs w:val="24"/>
        </w:rPr>
        <w:t xml:space="preserve">e niveau d’instruction de la femme est globalement plus faible que chez l’homme. </w:t>
      </w:r>
    </w:p>
    <w:p w:rsidR="00E00AD9" w:rsidRDefault="00E00AD9" w:rsidP="00E00AD9">
      <w:pPr>
        <w:pStyle w:val="Sansinterligne"/>
        <w:spacing w:line="276" w:lineRule="auto"/>
        <w:rPr>
          <w:rFonts w:ascii="Times New Roman" w:hAnsi="Times New Roman"/>
          <w:color w:val="000000"/>
          <w:sz w:val="24"/>
          <w:szCs w:val="24"/>
        </w:rPr>
      </w:pPr>
    </w:p>
    <w:p w:rsidR="00E00AD9" w:rsidRDefault="00E00AD9" w:rsidP="00E00AD9">
      <w:pPr>
        <w:pStyle w:val="Sansinterligne"/>
        <w:spacing w:line="276" w:lineRule="auto"/>
        <w:rPr>
          <w:rFonts w:ascii="Times New Roman" w:hAnsi="Times New Roman"/>
          <w:color w:val="000000"/>
          <w:sz w:val="24"/>
          <w:szCs w:val="24"/>
        </w:rPr>
      </w:pPr>
    </w:p>
    <w:p w:rsidR="005A3930" w:rsidRDefault="005A3930" w:rsidP="00E00AD9">
      <w:pPr>
        <w:pStyle w:val="Sansinterligne"/>
        <w:spacing w:line="276" w:lineRule="auto"/>
        <w:rPr>
          <w:rFonts w:ascii="Times New Roman" w:hAnsi="Times New Roman"/>
          <w:color w:val="000000"/>
          <w:sz w:val="24"/>
          <w:szCs w:val="24"/>
        </w:rPr>
      </w:pPr>
    </w:p>
    <w:p w:rsidR="005A3930" w:rsidRDefault="005A3930" w:rsidP="00E00AD9">
      <w:pPr>
        <w:pStyle w:val="Sansinterligne"/>
        <w:spacing w:line="276" w:lineRule="auto"/>
        <w:rPr>
          <w:rFonts w:ascii="Times New Roman" w:hAnsi="Times New Roman"/>
          <w:color w:val="000000"/>
          <w:sz w:val="24"/>
          <w:szCs w:val="24"/>
        </w:rPr>
      </w:pPr>
    </w:p>
    <w:p w:rsidR="005A3930" w:rsidRDefault="005A3930" w:rsidP="00E00AD9">
      <w:pPr>
        <w:pStyle w:val="Sansinterligne"/>
        <w:spacing w:line="276" w:lineRule="auto"/>
        <w:rPr>
          <w:rFonts w:ascii="Times New Roman" w:hAnsi="Times New Roman"/>
          <w:color w:val="000000"/>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5A3930" w:rsidRPr="005A3930" w:rsidTr="005A3930">
        <w:tc>
          <w:tcPr>
            <w:tcW w:w="9286" w:type="dxa"/>
            <w:shd w:val="clear" w:color="auto" w:fill="92CDDC" w:themeFill="accent5" w:themeFillTint="99"/>
          </w:tcPr>
          <w:p w:rsidR="005A3930" w:rsidRPr="005A3930" w:rsidRDefault="005A3930" w:rsidP="00C701F1">
            <w:pPr>
              <w:spacing w:line="240" w:lineRule="auto"/>
              <w:ind w:left="-57"/>
              <w:rPr>
                <w:rFonts w:ascii="Times New Roman" w:hAnsi="Times New Roman"/>
                <w:noProof/>
                <w:sz w:val="24"/>
                <w:szCs w:val="24"/>
                <w:lang w:eastAsia="fr-FR"/>
              </w:rPr>
            </w:pPr>
            <w:bookmarkStart w:id="202" w:name="_Toc373430716"/>
            <w:r w:rsidRPr="005A3930">
              <w:rPr>
                <w:rFonts w:ascii="Times New Roman" w:hAnsi="Times New Roman"/>
                <w:sz w:val="24"/>
                <w:szCs w:val="24"/>
              </w:rPr>
              <w:t>Graphique 6.</w:t>
            </w:r>
            <w:r w:rsidR="00182C97" w:rsidRPr="005A3930">
              <w:rPr>
                <w:rFonts w:ascii="Times New Roman" w:hAnsi="Times New Roman"/>
                <w:sz w:val="24"/>
                <w:szCs w:val="24"/>
              </w:rPr>
              <w:fldChar w:fldCharType="begin"/>
            </w:r>
            <w:r w:rsidRPr="005A3930">
              <w:rPr>
                <w:rFonts w:ascii="Times New Roman" w:hAnsi="Times New Roman"/>
                <w:sz w:val="24"/>
                <w:szCs w:val="24"/>
              </w:rPr>
              <w:instrText xml:space="preserve"> SEQ Graphique_6. \* ARABIC </w:instrText>
            </w:r>
            <w:r w:rsidR="00182C97" w:rsidRPr="005A3930">
              <w:rPr>
                <w:rFonts w:ascii="Times New Roman" w:hAnsi="Times New Roman"/>
                <w:sz w:val="24"/>
                <w:szCs w:val="24"/>
              </w:rPr>
              <w:fldChar w:fldCharType="separate"/>
            </w:r>
            <w:r w:rsidR="00AB1967">
              <w:rPr>
                <w:rFonts w:ascii="Times New Roman" w:hAnsi="Times New Roman"/>
                <w:noProof/>
                <w:sz w:val="24"/>
                <w:szCs w:val="24"/>
              </w:rPr>
              <w:t>1</w:t>
            </w:r>
            <w:r w:rsidR="00182C97" w:rsidRPr="005A3930">
              <w:rPr>
                <w:rFonts w:ascii="Times New Roman" w:hAnsi="Times New Roman"/>
                <w:sz w:val="24"/>
                <w:szCs w:val="24"/>
              </w:rPr>
              <w:fldChar w:fldCharType="end"/>
            </w:r>
            <w:r w:rsidRPr="005A3930">
              <w:rPr>
                <w:rFonts w:ascii="Times New Roman" w:hAnsi="Times New Roman"/>
                <w:sz w:val="24"/>
                <w:szCs w:val="24"/>
              </w:rPr>
              <w:t xml:space="preserve">: Répartition (%) des ménages selon le niveau d’instruction et le sexe du chef </w:t>
            </w:r>
            <w:r w:rsidR="00C701F1" w:rsidRPr="005A3930">
              <w:rPr>
                <w:rFonts w:ascii="Times New Roman" w:hAnsi="Times New Roman"/>
                <w:sz w:val="24"/>
                <w:szCs w:val="24"/>
              </w:rPr>
              <w:t>d</w:t>
            </w:r>
            <w:r w:rsidR="00C701F1">
              <w:rPr>
                <w:rFonts w:ascii="Times New Roman" w:hAnsi="Times New Roman"/>
                <w:sz w:val="24"/>
                <w:szCs w:val="24"/>
              </w:rPr>
              <w:t>e</w:t>
            </w:r>
            <w:r w:rsidR="00C701F1" w:rsidRPr="005A3930">
              <w:rPr>
                <w:rFonts w:ascii="Times New Roman" w:hAnsi="Times New Roman"/>
                <w:sz w:val="24"/>
                <w:szCs w:val="24"/>
              </w:rPr>
              <w:t xml:space="preserve"> </w:t>
            </w:r>
            <w:r w:rsidRPr="005A3930">
              <w:rPr>
                <w:rFonts w:ascii="Times New Roman" w:hAnsi="Times New Roman"/>
                <w:sz w:val="24"/>
                <w:szCs w:val="24"/>
              </w:rPr>
              <w:t>ménage</w:t>
            </w:r>
            <w:bookmarkEnd w:id="202"/>
          </w:p>
        </w:tc>
      </w:tr>
      <w:tr w:rsidR="00B22561" w:rsidTr="0031347F">
        <w:tc>
          <w:tcPr>
            <w:tcW w:w="9286" w:type="dxa"/>
            <w:shd w:val="clear" w:color="auto" w:fill="DAEEF3" w:themeFill="accent5" w:themeFillTint="33"/>
          </w:tcPr>
          <w:p w:rsidR="00B22561" w:rsidRDefault="00B22561" w:rsidP="0031347F">
            <w:pPr>
              <w:spacing w:before="120" w:after="120" w:line="240" w:lineRule="auto"/>
              <w:ind w:left="-57"/>
              <w:jc w:val="center"/>
            </w:pPr>
            <w:r w:rsidRPr="00B22561">
              <w:rPr>
                <w:noProof/>
                <w:lang w:eastAsia="fr-FR"/>
              </w:rPr>
              <w:drawing>
                <wp:inline distT="0" distB="0" distL="0" distR="0" wp14:anchorId="06B20526" wp14:editId="767C2904">
                  <wp:extent cx="5743395" cy="2743200"/>
                  <wp:effectExtent l="19050" t="0" r="9705" b="0"/>
                  <wp:docPr id="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r w:rsidR="00B22561" w:rsidRPr="00B22561" w:rsidTr="0031347F">
        <w:tc>
          <w:tcPr>
            <w:tcW w:w="9286" w:type="dxa"/>
            <w:shd w:val="clear" w:color="auto" w:fill="DAEEF3" w:themeFill="accent5" w:themeFillTint="33"/>
          </w:tcPr>
          <w:p w:rsidR="00B22561" w:rsidRPr="00B22561" w:rsidRDefault="00B22561" w:rsidP="0031347F">
            <w:pPr>
              <w:spacing w:line="240" w:lineRule="auto"/>
              <w:rPr>
                <w:rFonts w:ascii="Times New Roman" w:hAnsi="Times New Roman"/>
                <w:sz w:val="20"/>
                <w:szCs w:val="20"/>
              </w:rPr>
            </w:pPr>
            <w:r w:rsidRPr="00B22561">
              <w:rPr>
                <w:rFonts w:ascii="Times New Roman" w:hAnsi="Times New Roman"/>
                <w:sz w:val="20"/>
                <w:szCs w:val="20"/>
              </w:rPr>
              <w:t>Source : INSAE, EMICoV  201</w:t>
            </w:r>
            <w:r w:rsidR="00F415B6">
              <w:rPr>
                <w:rFonts w:ascii="Times New Roman" w:hAnsi="Times New Roman"/>
                <w:sz w:val="20"/>
                <w:szCs w:val="20"/>
              </w:rPr>
              <w:t>1</w:t>
            </w:r>
          </w:p>
        </w:tc>
      </w:tr>
    </w:tbl>
    <w:p w:rsidR="00E00AD9" w:rsidRDefault="00E00AD9" w:rsidP="00E00AD9">
      <w:pPr>
        <w:pStyle w:val="Sansinterligne"/>
        <w:spacing w:line="276" w:lineRule="auto"/>
        <w:rPr>
          <w:rFonts w:ascii="Times New Roman" w:hAnsi="Times New Roman"/>
          <w:color w:val="000000"/>
          <w:sz w:val="24"/>
          <w:szCs w:val="24"/>
        </w:rPr>
      </w:pPr>
    </w:p>
    <w:p w:rsidR="00E00AD9" w:rsidRDefault="00E00AD9" w:rsidP="00E00AD9">
      <w:pPr>
        <w:pStyle w:val="Sansinterligne"/>
        <w:spacing w:line="276" w:lineRule="auto"/>
        <w:rPr>
          <w:rFonts w:ascii="Times New Roman" w:hAnsi="Times New Roman"/>
          <w:color w:val="000000"/>
          <w:sz w:val="24"/>
          <w:szCs w:val="24"/>
        </w:rPr>
      </w:pPr>
      <w:r>
        <w:rPr>
          <w:rFonts w:ascii="Times New Roman" w:hAnsi="Times New Roman"/>
          <w:color w:val="000000"/>
          <w:sz w:val="24"/>
          <w:szCs w:val="24"/>
        </w:rPr>
        <w:t xml:space="preserve">L’indice de parité de la scolarisation, favorable à la petite fille entre 0 et 4 ans à l’école préscolaire, lui est défavorable à partir de 5 ans et va en se réduisant jusqu’à l’enseignement supérieur. </w:t>
      </w:r>
    </w:p>
    <w:p w:rsidR="00E00AD9" w:rsidRDefault="00E00AD9" w:rsidP="00E00AD9">
      <w:pPr>
        <w:spacing w:after="120" w:line="240" w:lineRule="auto"/>
        <w:rPr>
          <w:rFonts w:ascii="Times New Roman" w:hAnsi="Times New Roman"/>
          <w:b/>
          <w:color w:val="000000"/>
          <w:sz w:val="24"/>
          <w:szCs w:val="24"/>
        </w:rPr>
      </w:pPr>
    </w:p>
    <w:tbl>
      <w:tblPr>
        <w:tblStyle w:val="Grilledutableau"/>
        <w:tblW w:w="8910" w:type="dxa"/>
        <w:tblInd w:w="108" w:type="dxa"/>
        <w:tblLook w:val="04A0" w:firstRow="1" w:lastRow="0" w:firstColumn="1" w:lastColumn="0" w:noHBand="0" w:noVBand="1"/>
      </w:tblPr>
      <w:tblGrid>
        <w:gridCol w:w="3998"/>
        <w:gridCol w:w="1164"/>
        <w:gridCol w:w="1292"/>
        <w:gridCol w:w="1235"/>
        <w:gridCol w:w="1221"/>
      </w:tblGrid>
      <w:tr w:rsidR="00B22561" w:rsidRPr="007371E6" w:rsidTr="00F415B6">
        <w:trPr>
          <w:trHeight w:val="384"/>
        </w:trPr>
        <w:tc>
          <w:tcPr>
            <w:tcW w:w="8910" w:type="dxa"/>
            <w:gridSpan w:val="5"/>
            <w:tcBorders>
              <w:top w:val="nil"/>
              <w:left w:val="nil"/>
              <w:bottom w:val="double" w:sz="4" w:space="0" w:color="auto"/>
              <w:right w:val="nil"/>
            </w:tcBorders>
            <w:shd w:val="clear" w:color="auto" w:fill="92CDDC" w:themeFill="accent5" w:themeFillTint="99"/>
          </w:tcPr>
          <w:p w:rsidR="00B22561" w:rsidRPr="007371E6" w:rsidRDefault="007371E6" w:rsidP="00F415B6">
            <w:pPr>
              <w:spacing w:line="240" w:lineRule="auto"/>
              <w:jc w:val="left"/>
              <w:rPr>
                <w:rFonts w:ascii="Times New Roman" w:hAnsi="Times New Roman"/>
                <w:color w:val="000000"/>
                <w:sz w:val="24"/>
                <w:szCs w:val="24"/>
              </w:rPr>
            </w:pPr>
            <w:bookmarkStart w:id="203" w:name="_Toc369714532"/>
            <w:bookmarkStart w:id="204" w:name="_Toc369720921"/>
            <w:r w:rsidRPr="007371E6">
              <w:rPr>
                <w:rFonts w:ascii="Times New Roman" w:hAnsi="Times New Roman"/>
                <w:sz w:val="24"/>
                <w:szCs w:val="24"/>
              </w:rPr>
              <w:t>Tableau 6.</w:t>
            </w:r>
            <w:r w:rsidR="00182C97" w:rsidRPr="007371E6">
              <w:rPr>
                <w:rFonts w:ascii="Times New Roman" w:hAnsi="Times New Roman"/>
                <w:sz w:val="24"/>
                <w:szCs w:val="24"/>
              </w:rPr>
              <w:fldChar w:fldCharType="begin"/>
            </w:r>
            <w:r w:rsidRPr="007371E6">
              <w:rPr>
                <w:rFonts w:ascii="Times New Roman" w:hAnsi="Times New Roman"/>
                <w:sz w:val="24"/>
                <w:szCs w:val="24"/>
              </w:rPr>
              <w:instrText xml:space="preserve"> SEQ Tableau_6. \* ARABIC </w:instrText>
            </w:r>
            <w:r w:rsidR="00182C97" w:rsidRPr="007371E6">
              <w:rPr>
                <w:rFonts w:ascii="Times New Roman" w:hAnsi="Times New Roman"/>
                <w:sz w:val="24"/>
                <w:szCs w:val="24"/>
              </w:rPr>
              <w:fldChar w:fldCharType="separate"/>
            </w:r>
            <w:r w:rsidR="00AB1967">
              <w:rPr>
                <w:rFonts w:ascii="Times New Roman" w:hAnsi="Times New Roman"/>
                <w:noProof/>
                <w:sz w:val="24"/>
                <w:szCs w:val="24"/>
              </w:rPr>
              <w:t>5</w:t>
            </w:r>
            <w:r w:rsidR="00182C97" w:rsidRPr="007371E6">
              <w:rPr>
                <w:rFonts w:ascii="Times New Roman" w:hAnsi="Times New Roman"/>
                <w:sz w:val="24"/>
                <w:szCs w:val="24"/>
              </w:rPr>
              <w:fldChar w:fldCharType="end"/>
            </w:r>
            <w:r w:rsidR="00B22561" w:rsidRPr="007371E6">
              <w:rPr>
                <w:rFonts w:ascii="Times New Roman" w:hAnsi="Times New Roman"/>
                <w:color w:val="000000"/>
                <w:sz w:val="24"/>
                <w:szCs w:val="24"/>
              </w:rPr>
              <w:t>: indice de parité dans les divers ordres d’enseignement en 2011</w:t>
            </w:r>
            <w:bookmarkEnd w:id="203"/>
            <w:bookmarkEnd w:id="204"/>
          </w:p>
        </w:tc>
      </w:tr>
      <w:tr w:rsidR="00E00AD9" w:rsidRPr="00E92D66" w:rsidTr="00F415B6">
        <w:trPr>
          <w:trHeight w:val="384"/>
        </w:trPr>
        <w:tc>
          <w:tcPr>
            <w:tcW w:w="3998" w:type="dxa"/>
            <w:tcBorders>
              <w:top w:val="double" w:sz="4" w:space="0" w:color="auto"/>
              <w:left w:val="nil"/>
              <w:bottom w:val="single" w:sz="4" w:space="0" w:color="000000"/>
              <w:right w:val="nil"/>
            </w:tcBorders>
            <w:shd w:val="clear" w:color="auto" w:fill="DAEEF3" w:themeFill="accent5" w:themeFillTint="33"/>
          </w:tcPr>
          <w:p w:rsidR="00E00AD9" w:rsidRDefault="00E00AD9" w:rsidP="00C464FF">
            <w:pPr>
              <w:spacing w:line="240" w:lineRule="auto"/>
              <w:rPr>
                <w:rFonts w:ascii="Times New Roman" w:hAnsi="Times New Roman"/>
                <w:sz w:val="24"/>
                <w:szCs w:val="24"/>
              </w:rPr>
            </w:pPr>
            <w:r>
              <w:rPr>
                <w:rFonts w:ascii="Times New Roman" w:hAnsi="Times New Roman"/>
                <w:sz w:val="24"/>
                <w:szCs w:val="24"/>
              </w:rPr>
              <w:t>I</w:t>
            </w:r>
            <w:r w:rsidRPr="00E92D66">
              <w:rPr>
                <w:rFonts w:ascii="Times New Roman" w:hAnsi="Times New Roman"/>
                <w:sz w:val="24"/>
                <w:szCs w:val="24"/>
              </w:rPr>
              <w:t>ndicateur / IP</w:t>
            </w:r>
          </w:p>
        </w:tc>
        <w:tc>
          <w:tcPr>
            <w:tcW w:w="1164" w:type="dxa"/>
            <w:tcBorders>
              <w:top w:val="double" w:sz="4" w:space="0" w:color="auto"/>
              <w:left w:val="nil"/>
              <w:bottom w:val="single" w:sz="4" w:space="0" w:color="000000"/>
              <w:right w:val="nil"/>
            </w:tcBorders>
            <w:shd w:val="clear" w:color="auto" w:fill="DAEEF3" w:themeFill="accent5" w:themeFillTint="33"/>
          </w:tcPr>
          <w:p w:rsidR="00E00AD9" w:rsidRDefault="00E00AD9" w:rsidP="00C464FF">
            <w:pPr>
              <w:spacing w:line="240" w:lineRule="auto"/>
              <w:rPr>
                <w:rFonts w:ascii="Times New Roman" w:hAnsi="Times New Roman"/>
                <w:sz w:val="24"/>
                <w:szCs w:val="24"/>
              </w:rPr>
            </w:pPr>
            <w:r w:rsidRPr="00E92D66">
              <w:rPr>
                <w:rFonts w:ascii="Times New Roman" w:hAnsi="Times New Roman"/>
                <w:sz w:val="24"/>
                <w:szCs w:val="24"/>
              </w:rPr>
              <w:t>0-4 ans</w:t>
            </w:r>
          </w:p>
        </w:tc>
        <w:tc>
          <w:tcPr>
            <w:tcW w:w="1292" w:type="dxa"/>
            <w:tcBorders>
              <w:top w:val="double" w:sz="4" w:space="0" w:color="auto"/>
              <w:left w:val="nil"/>
              <w:bottom w:val="single" w:sz="4" w:space="0" w:color="000000"/>
              <w:right w:val="nil"/>
            </w:tcBorders>
            <w:shd w:val="clear" w:color="auto" w:fill="DAEEF3" w:themeFill="accent5" w:themeFillTint="33"/>
          </w:tcPr>
          <w:p w:rsidR="00E00AD9" w:rsidRDefault="00E00AD9" w:rsidP="00C464FF">
            <w:pPr>
              <w:spacing w:line="240" w:lineRule="auto"/>
              <w:rPr>
                <w:rFonts w:ascii="Times New Roman" w:hAnsi="Times New Roman"/>
                <w:sz w:val="24"/>
                <w:szCs w:val="24"/>
              </w:rPr>
            </w:pPr>
            <w:r w:rsidRPr="00E92D66">
              <w:rPr>
                <w:rFonts w:ascii="Times New Roman" w:hAnsi="Times New Roman"/>
                <w:sz w:val="24"/>
                <w:szCs w:val="24"/>
              </w:rPr>
              <w:t>5-9 ans</w:t>
            </w:r>
          </w:p>
        </w:tc>
        <w:tc>
          <w:tcPr>
            <w:tcW w:w="1235" w:type="dxa"/>
            <w:tcBorders>
              <w:top w:val="double" w:sz="4" w:space="0" w:color="auto"/>
              <w:left w:val="nil"/>
              <w:bottom w:val="single" w:sz="4" w:space="0" w:color="000000"/>
              <w:right w:val="nil"/>
            </w:tcBorders>
            <w:shd w:val="clear" w:color="auto" w:fill="DAEEF3" w:themeFill="accent5" w:themeFillTint="33"/>
          </w:tcPr>
          <w:p w:rsidR="00E00AD9" w:rsidRDefault="00E00AD9" w:rsidP="00C464FF">
            <w:pPr>
              <w:spacing w:line="240" w:lineRule="auto"/>
              <w:rPr>
                <w:rFonts w:ascii="Times New Roman" w:hAnsi="Times New Roman"/>
                <w:sz w:val="24"/>
                <w:szCs w:val="24"/>
              </w:rPr>
            </w:pPr>
            <w:r w:rsidRPr="00E92D66">
              <w:rPr>
                <w:rFonts w:ascii="Times New Roman" w:hAnsi="Times New Roman"/>
                <w:sz w:val="24"/>
                <w:szCs w:val="24"/>
              </w:rPr>
              <w:t xml:space="preserve">10-14 ans </w:t>
            </w:r>
          </w:p>
        </w:tc>
        <w:tc>
          <w:tcPr>
            <w:tcW w:w="1221" w:type="dxa"/>
            <w:tcBorders>
              <w:top w:val="double" w:sz="4" w:space="0" w:color="auto"/>
              <w:left w:val="nil"/>
              <w:bottom w:val="single" w:sz="4" w:space="0" w:color="000000"/>
              <w:right w:val="nil"/>
            </w:tcBorders>
            <w:shd w:val="clear" w:color="auto" w:fill="DAEEF3" w:themeFill="accent5" w:themeFillTint="33"/>
          </w:tcPr>
          <w:p w:rsidR="00E00AD9" w:rsidRDefault="00E00AD9" w:rsidP="00C464FF">
            <w:pPr>
              <w:spacing w:line="240" w:lineRule="auto"/>
              <w:rPr>
                <w:rFonts w:ascii="Times New Roman" w:hAnsi="Times New Roman"/>
                <w:sz w:val="24"/>
                <w:szCs w:val="24"/>
              </w:rPr>
            </w:pPr>
            <w:r>
              <w:rPr>
                <w:rFonts w:ascii="Times New Roman" w:hAnsi="Times New Roman"/>
                <w:sz w:val="24"/>
                <w:szCs w:val="24"/>
              </w:rPr>
              <w:t>15</w:t>
            </w:r>
            <w:r w:rsidRPr="00E92D66">
              <w:rPr>
                <w:rFonts w:ascii="Times New Roman" w:hAnsi="Times New Roman"/>
                <w:sz w:val="24"/>
                <w:szCs w:val="24"/>
              </w:rPr>
              <w:t xml:space="preserve">–18 ans </w:t>
            </w:r>
          </w:p>
        </w:tc>
      </w:tr>
      <w:tr w:rsidR="00E00AD9" w:rsidRPr="00E92D66" w:rsidTr="00F415B6">
        <w:trPr>
          <w:trHeight w:val="396"/>
        </w:trPr>
        <w:tc>
          <w:tcPr>
            <w:tcW w:w="3998" w:type="dxa"/>
            <w:tcBorders>
              <w:top w:val="single" w:sz="4" w:space="0" w:color="000000"/>
              <w:left w:val="nil"/>
              <w:bottom w:val="nil"/>
              <w:right w:val="nil"/>
            </w:tcBorders>
            <w:shd w:val="clear" w:color="auto" w:fill="DAEEF3" w:themeFill="accent5" w:themeFillTint="33"/>
            <w:vAlign w:val="center"/>
          </w:tcPr>
          <w:p w:rsidR="00E00AD9" w:rsidRDefault="00E00AD9" w:rsidP="00F415B6">
            <w:pPr>
              <w:spacing w:line="240" w:lineRule="auto"/>
              <w:jc w:val="left"/>
              <w:rPr>
                <w:rFonts w:ascii="Times New Roman" w:eastAsia="Times New Roman" w:hAnsi="Times New Roman"/>
                <w:sz w:val="24"/>
                <w:szCs w:val="24"/>
                <w:lang w:eastAsia="fr-FR"/>
              </w:rPr>
            </w:pPr>
            <w:r w:rsidRPr="00E92D66">
              <w:rPr>
                <w:rFonts w:ascii="Times New Roman" w:eastAsia="Times New Roman" w:hAnsi="Times New Roman"/>
                <w:sz w:val="24"/>
                <w:szCs w:val="24"/>
                <w:lang w:eastAsia="fr-FR"/>
              </w:rPr>
              <w:t>Taux de scolarisation préscolaire</w:t>
            </w:r>
          </w:p>
        </w:tc>
        <w:tc>
          <w:tcPr>
            <w:tcW w:w="1164" w:type="dxa"/>
            <w:tcBorders>
              <w:top w:val="single" w:sz="4" w:space="0" w:color="000000"/>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r w:rsidRPr="00E92D66">
              <w:rPr>
                <w:rFonts w:ascii="Times New Roman" w:eastAsia="Times New Roman" w:hAnsi="Times New Roman"/>
                <w:sz w:val="24"/>
                <w:szCs w:val="24"/>
                <w:lang w:eastAsia="fr-FR"/>
              </w:rPr>
              <w:t>1,06</w:t>
            </w:r>
          </w:p>
        </w:tc>
        <w:tc>
          <w:tcPr>
            <w:tcW w:w="1292" w:type="dxa"/>
            <w:tcBorders>
              <w:top w:val="single" w:sz="4" w:space="0" w:color="000000"/>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35" w:type="dxa"/>
            <w:tcBorders>
              <w:top w:val="single" w:sz="4" w:space="0" w:color="000000"/>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21" w:type="dxa"/>
            <w:tcBorders>
              <w:top w:val="single" w:sz="4" w:space="0" w:color="000000"/>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r>
      <w:tr w:rsidR="00E00AD9" w:rsidRPr="00E92D66" w:rsidTr="00F415B6">
        <w:trPr>
          <w:trHeight w:val="384"/>
        </w:trPr>
        <w:tc>
          <w:tcPr>
            <w:tcW w:w="3998" w:type="dxa"/>
            <w:tcBorders>
              <w:top w:val="nil"/>
              <w:left w:val="nil"/>
              <w:bottom w:val="nil"/>
              <w:right w:val="nil"/>
            </w:tcBorders>
            <w:shd w:val="clear" w:color="auto" w:fill="DAEEF3" w:themeFill="accent5" w:themeFillTint="33"/>
            <w:vAlign w:val="center"/>
          </w:tcPr>
          <w:p w:rsidR="00E00AD9" w:rsidRDefault="00E00AD9" w:rsidP="00F415B6">
            <w:pPr>
              <w:spacing w:line="240" w:lineRule="auto"/>
              <w:jc w:val="left"/>
              <w:rPr>
                <w:rFonts w:ascii="Times New Roman" w:hAnsi="Times New Roman"/>
                <w:sz w:val="24"/>
                <w:szCs w:val="24"/>
              </w:rPr>
            </w:pPr>
            <w:r w:rsidRPr="00E92D66">
              <w:rPr>
                <w:rFonts w:ascii="Times New Roman" w:eastAsia="Times New Roman" w:hAnsi="Times New Roman"/>
                <w:sz w:val="24"/>
                <w:szCs w:val="24"/>
                <w:lang w:eastAsia="fr-FR"/>
              </w:rPr>
              <w:t xml:space="preserve">Taux net de scolarisation au primaire </w:t>
            </w:r>
          </w:p>
        </w:tc>
        <w:tc>
          <w:tcPr>
            <w:tcW w:w="1164"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92"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r w:rsidRPr="00E92D66">
              <w:rPr>
                <w:rFonts w:ascii="Times New Roman" w:eastAsia="Times New Roman" w:hAnsi="Times New Roman"/>
                <w:sz w:val="24"/>
                <w:szCs w:val="24"/>
                <w:lang w:eastAsia="fr-FR"/>
              </w:rPr>
              <w:t>0,93</w:t>
            </w:r>
          </w:p>
        </w:tc>
        <w:tc>
          <w:tcPr>
            <w:tcW w:w="1235"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21"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r>
      <w:tr w:rsidR="00E00AD9" w:rsidRPr="00E92D66" w:rsidTr="00F415B6">
        <w:trPr>
          <w:trHeight w:val="384"/>
        </w:trPr>
        <w:tc>
          <w:tcPr>
            <w:tcW w:w="3998" w:type="dxa"/>
            <w:tcBorders>
              <w:top w:val="nil"/>
              <w:left w:val="nil"/>
              <w:bottom w:val="nil"/>
              <w:right w:val="nil"/>
            </w:tcBorders>
            <w:shd w:val="clear" w:color="auto" w:fill="DAEEF3" w:themeFill="accent5" w:themeFillTint="33"/>
            <w:vAlign w:val="center"/>
          </w:tcPr>
          <w:p w:rsidR="00E00AD9" w:rsidRDefault="00E00AD9" w:rsidP="00F415B6">
            <w:pPr>
              <w:spacing w:line="240" w:lineRule="auto"/>
              <w:jc w:val="left"/>
              <w:rPr>
                <w:rFonts w:ascii="Times New Roman" w:hAnsi="Times New Roman"/>
                <w:sz w:val="24"/>
                <w:szCs w:val="24"/>
              </w:rPr>
            </w:pPr>
            <w:r w:rsidRPr="00E92D66">
              <w:rPr>
                <w:rFonts w:ascii="Times New Roman" w:eastAsia="Times New Roman" w:hAnsi="Times New Roman"/>
                <w:sz w:val="24"/>
                <w:szCs w:val="24"/>
                <w:lang w:eastAsia="fr-FR"/>
              </w:rPr>
              <w:t>Taux net de scolarisation au secondaire</w:t>
            </w:r>
          </w:p>
        </w:tc>
        <w:tc>
          <w:tcPr>
            <w:tcW w:w="1164"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92"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35"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r w:rsidRPr="00E92D66">
              <w:rPr>
                <w:rFonts w:ascii="Times New Roman" w:eastAsia="Times New Roman" w:hAnsi="Times New Roman"/>
                <w:sz w:val="24"/>
                <w:szCs w:val="24"/>
                <w:lang w:eastAsia="fr-FR"/>
              </w:rPr>
              <w:t>0,64</w:t>
            </w:r>
          </w:p>
        </w:tc>
        <w:tc>
          <w:tcPr>
            <w:tcW w:w="1221"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r>
      <w:tr w:rsidR="00E00AD9" w:rsidRPr="00E92D66" w:rsidTr="00F415B6">
        <w:trPr>
          <w:trHeight w:val="396"/>
        </w:trPr>
        <w:tc>
          <w:tcPr>
            <w:tcW w:w="3998" w:type="dxa"/>
            <w:tcBorders>
              <w:top w:val="nil"/>
              <w:left w:val="nil"/>
              <w:bottom w:val="nil"/>
              <w:right w:val="nil"/>
            </w:tcBorders>
            <w:shd w:val="clear" w:color="auto" w:fill="DAEEF3" w:themeFill="accent5" w:themeFillTint="33"/>
            <w:vAlign w:val="center"/>
          </w:tcPr>
          <w:p w:rsidR="00E00AD9" w:rsidRDefault="00E00AD9" w:rsidP="00F415B6">
            <w:pPr>
              <w:spacing w:line="240" w:lineRule="auto"/>
              <w:jc w:val="left"/>
              <w:rPr>
                <w:rFonts w:ascii="Times New Roman" w:hAnsi="Times New Roman"/>
                <w:sz w:val="24"/>
                <w:szCs w:val="24"/>
              </w:rPr>
            </w:pPr>
            <w:r w:rsidRPr="00E92D66">
              <w:rPr>
                <w:rFonts w:ascii="Times New Roman" w:eastAsia="Times New Roman" w:hAnsi="Times New Roman"/>
                <w:sz w:val="24"/>
                <w:szCs w:val="24"/>
                <w:lang w:eastAsia="fr-FR"/>
              </w:rPr>
              <w:t>Taux d'inscription au supérieur</w:t>
            </w:r>
          </w:p>
        </w:tc>
        <w:tc>
          <w:tcPr>
            <w:tcW w:w="1164"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92"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35"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1221" w:type="dxa"/>
            <w:tcBorders>
              <w:top w:val="nil"/>
              <w:left w:val="nil"/>
              <w:bottom w:val="nil"/>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r w:rsidRPr="00E92D66">
              <w:rPr>
                <w:rFonts w:ascii="Times New Roman" w:eastAsia="Times New Roman" w:hAnsi="Times New Roman"/>
                <w:sz w:val="24"/>
                <w:szCs w:val="24"/>
                <w:lang w:eastAsia="fr-FR"/>
              </w:rPr>
              <w:t>0,29</w:t>
            </w:r>
          </w:p>
        </w:tc>
      </w:tr>
      <w:tr w:rsidR="00E00AD9" w:rsidRPr="00E92D66" w:rsidTr="00F415B6">
        <w:trPr>
          <w:trHeight w:val="524"/>
        </w:trPr>
        <w:tc>
          <w:tcPr>
            <w:tcW w:w="3998" w:type="dxa"/>
            <w:tcBorders>
              <w:top w:val="nil"/>
              <w:left w:val="nil"/>
              <w:bottom w:val="double" w:sz="4" w:space="0" w:color="auto"/>
              <w:right w:val="nil"/>
            </w:tcBorders>
            <w:shd w:val="clear" w:color="auto" w:fill="DAEEF3" w:themeFill="accent5" w:themeFillTint="33"/>
            <w:vAlign w:val="center"/>
          </w:tcPr>
          <w:p w:rsidR="00E00AD9" w:rsidRDefault="00E00AD9" w:rsidP="00F415B6">
            <w:pPr>
              <w:spacing w:line="240" w:lineRule="auto"/>
              <w:jc w:val="left"/>
              <w:rPr>
                <w:rFonts w:ascii="Times New Roman" w:hAnsi="Times New Roman"/>
                <w:sz w:val="24"/>
                <w:szCs w:val="24"/>
              </w:rPr>
            </w:pPr>
            <w:r w:rsidRPr="00E92D66">
              <w:rPr>
                <w:rFonts w:ascii="Times New Roman" w:eastAsia="Times New Roman" w:hAnsi="Times New Roman"/>
                <w:sz w:val="24"/>
                <w:szCs w:val="24"/>
                <w:lang w:eastAsia="fr-FR"/>
              </w:rPr>
              <w:t>Proportion d’élèves qui commencent la première année et terminent leurs études primaires</w:t>
            </w:r>
          </w:p>
        </w:tc>
        <w:tc>
          <w:tcPr>
            <w:tcW w:w="1164" w:type="dxa"/>
            <w:tcBorders>
              <w:top w:val="nil"/>
              <w:left w:val="nil"/>
              <w:bottom w:val="double" w:sz="4" w:space="0" w:color="auto"/>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c>
          <w:tcPr>
            <w:tcW w:w="2527" w:type="dxa"/>
            <w:gridSpan w:val="2"/>
            <w:tcBorders>
              <w:top w:val="nil"/>
              <w:left w:val="nil"/>
              <w:bottom w:val="double" w:sz="4" w:space="0" w:color="auto"/>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r w:rsidRPr="00E92D66">
              <w:rPr>
                <w:rFonts w:ascii="Times New Roman" w:hAnsi="Times New Roman"/>
                <w:sz w:val="24"/>
                <w:szCs w:val="24"/>
              </w:rPr>
              <w:t>0,75</w:t>
            </w:r>
          </w:p>
        </w:tc>
        <w:tc>
          <w:tcPr>
            <w:tcW w:w="1221" w:type="dxa"/>
            <w:tcBorders>
              <w:top w:val="nil"/>
              <w:left w:val="nil"/>
              <w:bottom w:val="double" w:sz="4" w:space="0" w:color="auto"/>
              <w:right w:val="nil"/>
            </w:tcBorders>
            <w:shd w:val="clear" w:color="auto" w:fill="DAEEF3" w:themeFill="accent5" w:themeFillTint="33"/>
            <w:vAlign w:val="center"/>
          </w:tcPr>
          <w:p w:rsidR="00E00AD9" w:rsidRDefault="00E00AD9" w:rsidP="00B22561">
            <w:pPr>
              <w:spacing w:line="240" w:lineRule="auto"/>
              <w:jc w:val="center"/>
              <w:rPr>
                <w:rFonts w:ascii="Times New Roman" w:hAnsi="Times New Roman"/>
                <w:sz w:val="24"/>
                <w:szCs w:val="24"/>
              </w:rPr>
            </w:pPr>
          </w:p>
        </w:tc>
      </w:tr>
      <w:tr w:rsidR="00B22561" w:rsidRPr="00F415B6" w:rsidTr="00F415B6">
        <w:trPr>
          <w:trHeight w:val="154"/>
        </w:trPr>
        <w:tc>
          <w:tcPr>
            <w:tcW w:w="8910" w:type="dxa"/>
            <w:gridSpan w:val="5"/>
            <w:tcBorders>
              <w:top w:val="double" w:sz="4" w:space="0" w:color="auto"/>
              <w:left w:val="nil"/>
              <w:bottom w:val="nil"/>
              <w:right w:val="nil"/>
            </w:tcBorders>
            <w:shd w:val="clear" w:color="auto" w:fill="DAEEF3" w:themeFill="accent5" w:themeFillTint="33"/>
          </w:tcPr>
          <w:p w:rsidR="00B22561" w:rsidRPr="00F415B6" w:rsidRDefault="00B22561" w:rsidP="00F415B6">
            <w:pPr>
              <w:spacing w:line="240" w:lineRule="auto"/>
              <w:rPr>
                <w:rFonts w:ascii="Times New Roman" w:hAnsi="Times New Roman"/>
                <w:color w:val="000000"/>
                <w:sz w:val="20"/>
                <w:szCs w:val="20"/>
              </w:rPr>
            </w:pPr>
            <w:r w:rsidRPr="00F415B6">
              <w:rPr>
                <w:rFonts w:ascii="Times New Roman" w:hAnsi="Times New Roman"/>
                <w:color w:val="000000"/>
                <w:sz w:val="20"/>
                <w:szCs w:val="20"/>
              </w:rPr>
              <w:t>Source : EMICoV, 2011</w:t>
            </w:r>
          </w:p>
        </w:tc>
      </w:tr>
    </w:tbl>
    <w:p w:rsidR="00B22561" w:rsidRDefault="00B22561" w:rsidP="00E00AD9">
      <w:pPr>
        <w:spacing w:after="120" w:line="276" w:lineRule="auto"/>
        <w:rPr>
          <w:rFonts w:ascii="Times New Roman" w:hAnsi="Times New Roman"/>
          <w:color w:val="000000"/>
          <w:sz w:val="24"/>
          <w:szCs w:val="24"/>
        </w:rPr>
      </w:pPr>
    </w:p>
    <w:p w:rsidR="00E00AD9" w:rsidRDefault="00E00AD9" w:rsidP="00E00AD9">
      <w:pPr>
        <w:autoSpaceDE w:val="0"/>
        <w:autoSpaceDN w:val="0"/>
        <w:adjustRightInd w:val="0"/>
        <w:spacing w:line="276" w:lineRule="auto"/>
        <w:rPr>
          <w:rFonts w:ascii="Times New Roman" w:hAnsi="Times New Roman"/>
          <w:sz w:val="24"/>
          <w:szCs w:val="24"/>
        </w:rPr>
      </w:pPr>
      <w:r w:rsidRPr="00E05850">
        <w:rPr>
          <w:rFonts w:ascii="Times New Roman" w:hAnsi="Times New Roman"/>
          <w:sz w:val="24"/>
          <w:szCs w:val="24"/>
        </w:rPr>
        <w:t xml:space="preserve">Le travail salarié dans le secteur public ou privé est un facteur de réduction de la pauvreté. En effet, le risque de devenir pauvre est plus élevé aussi bien chez les hommes que chez les femmes qui ne sont pas </w:t>
      </w:r>
      <w:r>
        <w:rPr>
          <w:rFonts w:ascii="Times New Roman" w:hAnsi="Times New Roman"/>
          <w:sz w:val="24"/>
          <w:szCs w:val="24"/>
        </w:rPr>
        <w:t>salariés</w:t>
      </w:r>
      <w:r w:rsidRPr="00E05850">
        <w:rPr>
          <w:rFonts w:ascii="Times New Roman" w:hAnsi="Times New Roman"/>
          <w:sz w:val="24"/>
          <w:szCs w:val="24"/>
        </w:rPr>
        <w:t>. Pour la femme inactive ou chômeu</w:t>
      </w:r>
      <w:r>
        <w:rPr>
          <w:rFonts w:ascii="Times New Roman" w:hAnsi="Times New Roman"/>
          <w:sz w:val="24"/>
          <w:szCs w:val="24"/>
        </w:rPr>
        <w:t>se</w:t>
      </w:r>
      <w:r w:rsidRPr="00E05850">
        <w:rPr>
          <w:rFonts w:ascii="Times New Roman" w:hAnsi="Times New Roman"/>
          <w:sz w:val="24"/>
          <w:szCs w:val="24"/>
        </w:rPr>
        <w:t>, le risque (1,8) est plus élevé que chez l’homme (1,5). Toutefois, lorsque la femme chef de ménage est un</w:t>
      </w:r>
      <w:r>
        <w:rPr>
          <w:rFonts w:ascii="Times New Roman" w:hAnsi="Times New Roman"/>
          <w:sz w:val="24"/>
          <w:szCs w:val="24"/>
        </w:rPr>
        <w:t xml:space="preserve">e indépendante du </w:t>
      </w:r>
      <w:r w:rsidRPr="00E05850">
        <w:rPr>
          <w:rFonts w:ascii="Times New Roman" w:hAnsi="Times New Roman"/>
          <w:sz w:val="24"/>
          <w:szCs w:val="24"/>
        </w:rPr>
        <w:t>secteur privé, elle se retrouve moins pauvre qu’une femme travaillant dans le secteur public ou privé et aussi moins pauvre qu’un homme chef de ménage indépendant du secteur privé.</w:t>
      </w:r>
      <w:r w:rsidR="005A3930">
        <w:rPr>
          <w:rFonts w:ascii="Times New Roman" w:hAnsi="Times New Roman"/>
          <w:sz w:val="24"/>
          <w:szCs w:val="24"/>
        </w:rPr>
        <w:t xml:space="preserve"> </w:t>
      </w:r>
      <w:r w:rsidRPr="00E05850">
        <w:rPr>
          <w:rFonts w:ascii="Times New Roman" w:hAnsi="Times New Roman"/>
          <w:sz w:val="24"/>
          <w:szCs w:val="24"/>
        </w:rPr>
        <w:t xml:space="preserve">Cela signifie que les femmes exerçant une activité indépendante ont des revenus qui </w:t>
      </w:r>
      <w:r w:rsidRPr="00E60D97">
        <w:rPr>
          <w:rFonts w:ascii="Times New Roman" w:hAnsi="Times New Roman"/>
          <w:sz w:val="24"/>
          <w:szCs w:val="24"/>
        </w:rPr>
        <w:t xml:space="preserve">leur permettent de satisfaire mieux leur besoin de consommation que les hommes. </w:t>
      </w:r>
      <w:r>
        <w:rPr>
          <w:rFonts w:ascii="Times New Roman" w:hAnsi="Times New Roman"/>
          <w:sz w:val="24"/>
          <w:szCs w:val="24"/>
        </w:rPr>
        <w:t>« </w:t>
      </w:r>
      <w:r w:rsidRPr="00E60D97">
        <w:rPr>
          <w:rFonts w:ascii="Times New Roman" w:hAnsi="Times New Roman"/>
          <w:sz w:val="24"/>
          <w:szCs w:val="24"/>
        </w:rPr>
        <w:t xml:space="preserve">Les femmes s’adonnent plus au travail indépendant que les hommes. Une double explication possible est donnée pour un tel choix : premièrement, les activités indépendantes s’accommodent mieux avec le niveau d’éducation moyennement plus faible des femmes ; </w:t>
      </w:r>
      <w:r>
        <w:rPr>
          <w:rFonts w:ascii="Times New Roman" w:hAnsi="Times New Roman"/>
          <w:sz w:val="24"/>
          <w:szCs w:val="24"/>
        </w:rPr>
        <w:t>d</w:t>
      </w:r>
      <w:r w:rsidRPr="00E60D97">
        <w:rPr>
          <w:rFonts w:ascii="Times New Roman" w:hAnsi="Times New Roman"/>
          <w:sz w:val="24"/>
          <w:szCs w:val="24"/>
        </w:rPr>
        <w:t>euxièmement, ces activités offrent aux femmes la flexibilité nécessaire pour associer famille et travail</w:t>
      </w:r>
      <w:r>
        <w:rPr>
          <w:rFonts w:ascii="Times New Roman" w:hAnsi="Times New Roman"/>
          <w:sz w:val="24"/>
          <w:szCs w:val="24"/>
        </w:rPr>
        <w:t> » (E</w:t>
      </w:r>
      <w:r w:rsidRPr="003D6F15">
        <w:rPr>
          <w:rFonts w:ascii="Times New Roman" w:hAnsi="Times New Roman"/>
          <w:sz w:val="24"/>
          <w:szCs w:val="24"/>
        </w:rPr>
        <w:t>tude sur l’emploi des femmes au B</w:t>
      </w:r>
      <w:r>
        <w:rPr>
          <w:rFonts w:ascii="Times New Roman" w:hAnsi="Times New Roman"/>
          <w:sz w:val="24"/>
          <w:szCs w:val="24"/>
        </w:rPr>
        <w:t>é</w:t>
      </w:r>
      <w:r w:rsidRPr="003D6F15">
        <w:rPr>
          <w:rFonts w:ascii="Times New Roman" w:hAnsi="Times New Roman"/>
          <w:sz w:val="24"/>
          <w:szCs w:val="24"/>
        </w:rPr>
        <w:t>nin</w:t>
      </w:r>
      <w:r>
        <w:rPr>
          <w:rFonts w:ascii="Times New Roman" w:hAnsi="Times New Roman"/>
          <w:sz w:val="24"/>
          <w:szCs w:val="24"/>
        </w:rPr>
        <w:t>, 2011)</w:t>
      </w:r>
      <w:r w:rsidRPr="00E60D97">
        <w:rPr>
          <w:rFonts w:ascii="Times New Roman" w:hAnsi="Times New Roman"/>
          <w:sz w:val="24"/>
          <w:szCs w:val="24"/>
        </w:rPr>
        <w:t xml:space="preserve">.  </w:t>
      </w:r>
    </w:p>
    <w:p w:rsidR="00E00AD9" w:rsidRPr="00E60D97" w:rsidRDefault="00E00AD9" w:rsidP="00E00AD9">
      <w:pPr>
        <w:autoSpaceDE w:val="0"/>
        <w:autoSpaceDN w:val="0"/>
        <w:adjustRightInd w:val="0"/>
        <w:spacing w:line="276" w:lineRule="auto"/>
        <w:rPr>
          <w:rFonts w:ascii="Times New Roman" w:hAnsi="Times New Roman"/>
          <w:sz w:val="24"/>
          <w:szCs w:val="24"/>
        </w:rPr>
      </w:pPr>
    </w:p>
    <w:p w:rsidR="00E00AD9" w:rsidRDefault="00E00AD9" w:rsidP="00E00AD9">
      <w:pPr>
        <w:pStyle w:val="Sansinterligne"/>
        <w:spacing w:line="276" w:lineRule="auto"/>
        <w:rPr>
          <w:rFonts w:ascii="Times New Roman" w:hAnsi="Times New Roman"/>
          <w:sz w:val="24"/>
          <w:szCs w:val="24"/>
        </w:rPr>
      </w:pPr>
      <w:r>
        <w:rPr>
          <w:rFonts w:ascii="Times New Roman" w:hAnsi="Times New Roman"/>
          <w:sz w:val="24"/>
          <w:szCs w:val="24"/>
        </w:rPr>
        <w:t>Le secteur agricole hors coton semble être celui où le niveau de pauvreté est le plus élevé chez les hommes chefs de ménages. Cette branche de l’agriculture correspond à l’agriculture vivrière, l’</w:t>
      </w:r>
      <w:r>
        <w:rPr>
          <w:rFonts w:ascii="Times New Roman" w:eastAsia="Times New Roman" w:hAnsi="Times New Roman"/>
          <w:color w:val="000000"/>
          <w:sz w:val="24"/>
          <w:szCs w:val="24"/>
          <w:lang w:eastAsia="fr-FR"/>
        </w:rPr>
        <w:t xml:space="preserve">agriculture destinée à l'industrie ou l'exportation, à l’élevage et à la chasse, à la sylviculture et services annexes et à la pêche. </w:t>
      </w:r>
      <w:r>
        <w:rPr>
          <w:rFonts w:ascii="Times New Roman" w:hAnsi="Times New Roman"/>
          <w:sz w:val="24"/>
          <w:szCs w:val="24"/>
        </w:rPr>
        <w:t>La branche agroalimentaire semble plus profitable aux hommes qu’aux femmes. Alors qu’elle présente un risque de pauvreté moindre, chez les femmes chefs de ménages, l’agroalimentaire entraîne un risque de pauvreté plus élevé que la pauvreté des femmes travaillant dans l’agriculture, hors coton. Le niveau d’instruction de la femme pourrait être un handicap pour sa pleine réussite dans la branche agroalimentaire composée d’industrie et d’artisanat. La branche agriculture hors coton est celle qui expose aussi bien les femmes que les hommes à un niveau de pauvreté plus élevé.Ce résultat sous-entend ainsi l’existence de</w:t>
      </w:r>
      <w:r w:rsidRPr="001064B7">
        <w:rPr>
          <w:rFonts w:ascii="Times New Roman" w:hAnsi="Times New Roman"/>
          <w:sz w:val="24"/>
          <w:szCs w:val="24"/>
        </w:rPr>
        <w:t xml:space="preserve"> différences sexo</w:t>
      </w:r>
      <w:r>
        <w:rPr>
          <w:rFonts w:ascii="Times New Roman" w:hAnsi="Times New Roman"/>
          <w:sz w:val="24"/>
          <w:szCs w:val="24"/>
        </w:rPr>
        <w:t>-</w:t>
      </w:r>
      <w:r w:rsidRPr="001064B7">
        <w:rPr>
          <w:rFonts w:ascii="Times New Roman" w:hAnsi="Times New Roman"/>
          <w:sz w:val="24"/>
          <w:szCs w:val="24"/>
        </w:rPr>
        <w:t xml:space="preserve">spécifiques de productivité agricole </w:t>
      </w:r>
      <w:r>
        <w:rPr>
          <w:rFonts w:ascii="Times New Roman" w:hAnsi="Times New Roman"/>
          <w:sz w:val="24"/>
          <w:szCs w:val="24"/>
        </w:rPr>
        <w:t>qui pourrai</w:t>
      </w:r>
      <w:r w:rsidR="007259DF">
        <w:rPr>
          <w:rFonts w:ascii="Times New Roman" w:hAnsi="Times New Roman"/>
          <w:sz w:val="24"/>
          <w:szCs w:val="24"/>
        </w:rPr>
        <w:t>en</w:t>
      </w:r>
      <w:r>
        <w:rPr>
          <w:rFonts w:ascii="Times New Roman" w:hAnsi="Times New Roman"/>
          <w:sz w:val="24"/>
          <w:szCs w:val="24"/>
        </w:rPr>
        <w:t>t s’</w:t>
      </w:r>
      <w:r w:rsidRPr="001064B7">
        <w:rPr>
          <w:rFonts w:ascii="Times New Roman" w:hAnsi="Times New Roman"/>
          <w:sz w:val="24"/>
          <w:szCs w:val="24"/>
        </w:rPr>
        <w:t>explique</w:t>
      </w:r>
      <w:r>
        <w:rPr>
          <w:rFonts w:ascii="Times New Roman" w:hAnsi="Times New Roman"/>
          <w:sz w:val="24"/>
          <w:szCs w:val="24"/>
        </w:rPr>
        <w:t>r</w:t>
      </w:r>
      <w:r w:rsidR="007259DF">
        <w:rPr>
          <w:rFonts w:ascii="Times New Roman" w:hAnsi="Times New Roman"/>
          <w:sz w:val="24"/>
          <w:szCs w:val="24"/>
        </w:rPr>
        <w:t xml:space="preserve"> </w:t>
      </w:r>
      <w:r>
        <w:rPr>
          <w:rFonts w:ascii="Times New Roman" w:hAnsi="Times New Roman"/>
          <w:sz w:val="24"/>
          <w:szCs w:val="24"/>
        </w:rPr>
        <w:t>par les</w:t>
      </w:r>
      <w:r w:rsidRPr="001064B7">
        <w:rPr>
          <w:rFonts w:ascii="Times New Roman" w:hAnsi="Times New Roman"/>
          <w:sz w:val="24"/>
          <w:szCs w:val="24"/>
        </w:rPr>
        <w:t xml:space="preserve"> inégalités d’accès aux intrants agricoles et à la technologie</w:t>
      </w:r>
      <w:r>
        <w:rPr>
          <w:rFonts w:ascii="Times New Roman" w:hAnsi="Times New Roman"/>
          <w:sz w:val="24"/>
          <w:szCs w:val="24"/>
        </w:rPr>
        <w:t xml:space="preserve">. </w:t>
      </w:r>
    </w:p>
    <w:p w:rsidR="00E00AD9" w:rsidRDefault="00E00AD9" w:rsidP="00E00AD9">
      <w:pPr>
        <w:spacing w:line="240" w:lineRule="auto"/>
        <w:rPr>
          <w:rFonts w:ascii="Times New Roman" w:hAnsi="Times New Roman"/>
          <w:sz w:val="24"/>
          <w:szCs w:val="24"/>
        </w:rPr>
      </w:pPr>
    </w:p>
    <w:p w:rsidR="00E00AD9" w:rsidRDefault="00E00AD9" w:rsidP="00E00AD9">
      <w:pPr>
        <w:pStyle w:val="Sansinterligne"/>
        <w:spacing w:line="276" w:lineRule="auto"/>
        <w:rPr>
          <w:rFonts w:ascii="Times New Roman" w:hAnsi="Times New Roman"/>
          <w:sz w:val="24"/>
          <w:szCs w:val="24"/>
        </w:rPr>
      </w:pPr>
      <w:r>
        <w:rPr>
          <w:rFonts w:ascii="Times New Roman" w:hAnsi="Times New Roman"/>
          <w:sz w:val="24"/>
          <w:szCs w:val="24"/>
        </w:rPr>
        <w:t>Par ailleurs, l</w:t>
      </w:r>
      <w:r w:rsidRPr="00E60D97">
        <w:rPr>
          <w:rFonts w:ascii="Times New Roman" w:hAnsi="Times New Roman"/>
          <w:sz w:val="24"/>
          <w:szCs w:val="24"/>
        </w:rPr>
        <w:t>es hommes qui ont un travail irrégulier</w:t>
      </w:r>
      <w:r w:rsidRPr="00E05850">
        <w:rPr>
          <w:rFonts w:ascii="Times New Roman" w:hAnsi="Times New Roman"/>
          <w:sz w:val="24"/>
          <w:szCs w:val="24"/>
        </w:rPr>
        <w:t xml:space="preserve"> cour</w:t>
      </w:r>
      <w:r>
        <w:rPr>
          <w:rFonts w:ascii="Times New Roman" w:hAnsi="Times New Roman"/>
          <w:sz w:val="24"/>
          <w:szCs w:val="24"/>
        </w:rPr>
        <w:t>en</w:t>
      </w:r>
      <w:r w:rsidRPr="00E05850">
        <w:rPr>
          <w:rFonts w:ascii="Times New Roman" w:hAnsi="Times New Roman"/>
          <w:sz w:val="24"/>
          <w:szCs w:val="24"/>
        </w:rPr>
        <w:t>t plus de risque</w:t>
      </w:r>
      <w:r>
        <w:rPr>
          <w:rFonts w:ascii="Times New Roman" w:hAnsi="Times New Roman"/>
          <w:sz w:val="24"/>
          <w:szCs w:val="24"/>
        </w:rPr>
        <w:t>s</w:t>
      </w:r>
      <w:r w:rsidRPr="00E05850">
        <w:rPr>
          <w:rFonts w:ascii="Times New Roman" w:hAnsi="Times New Roman"/>
          <w:sz w:val="24"/>
          <w:szCs w:val="24"/>
        </w:rPr>
        <w:t xml:space="preserve"> de devenir pauvre</w:t>
      </w:r>
      <w:r>
        <w:rPr>
          <w:rFonts w:ascii="Times New Roman" w:hAnsi="Times New Roman"/>
          <w:sz w:val="24"/>
          <w:szCs w:val="24"/>
        </w:rPr>
        <w:t>s</w:t>
      </w:r>
      <w:r w:rsidRPr="00E05850">
        <w:rPr>
          <w:rFonts w:ascii="Times New Roman" w:hAnsi="Times New Roman"/>
          <w:sz w:val="24"/>
          <w:szCs w:val="24"/>
        </w:rPr>
        <w:t xml:space="preserve"> monétaire</w:t>
      </w:r>
      <w:r>
        <w:rPr>
          <w:rFonts w:ascii="Times New Roman" w:hAnsi="Times New Roman"/>
          <w:sz w:val="24"/>
          <w:szCs w:val="24"/>
        </w:rPr>
        <w:t>ment</w:t>
      </w:r>
      <w:r w:rsidRPr="00E05850">
        <w:rPr>
          <w:rFonts w:ascii="Times New Roman" w:hAnsi="Times New Roman"/>
          <w:sz w:val="24"/>
          <w:szCs w:val="24"/>
        </w:rPr>
        <w:t xml:space="preserve"> que ceux qui ont un travail continu. Dans le cas des femmes, c’est la tendance contraire qui s’observe due au fait que le temps irrégulier peut permettre aux femmes de faire des activités secondaires dans le secteur informel. </w:t>
      </w:r>
    </w:p>
    <w:p w:rsidR="00E00AD9" w:rsidRDefault="00E00AD9" w:rsidP="00E00AD9">
      <w:pPr>
        <w:pStyle w:val="Sansinterligne"/>
        <w:spacing w:line="276" w:lineRule="auto"/>
        <w:rPr>
          <w:rFonts w:ascii="Times New Roman" w:hAnsi="Times New Roman"/>
          <w:sz w:val="24"/>
          <w:szCs w:val="24"/>
        </w:rPr>
      </w:pPr>
    </w:p>
    <w:p w:rsidR="00E00AD9" w:rsidRDefault="00E00AD9" w:rsidP="00E00AD9">
      <w:pPr>
        <w:pStyle w:val="Sansinterligne"/>
        <w:spacing w:line="276" w:lineRule="auto"/>
        <w:rPr>
          <w:rFonts w:ascii="Times New Roman" w:hAnsi="Times New Roman"/>
          <w:sz w:val="24"/>
          <w:szCs w:val="24"/>
        </w:rPr>
      </w:pPr>
      <w:r>
        <w:rPr>
          <w:rFonts w:ascii="Times New Roman" w:hAnsi="Times New Roman"/>
          <w:sz w:val="24"/>
          <w:szCs w:val="24"/>
        </w:rPr>
        <w:t xml:space="preserve">La taille du ménage constitue également un déterminant important des inégalités d’accès. En effet, une famille de plus de 8 personnes accroît plus la pauvreté chez la femme que chez l’homme : le risque des ménages est multiplié par 15,67 chez les hommes alors que chez les femmes le risque est multiplié par 18,67 par rapport aux ménages comportant trois </w:t>
      </w:r>
      <w:r w:rsidR="00DE7F72">
        <w:rPr>
          <w:rFonts w:ascii="Times New Roman" w:hAnsi="Times New Roman"/>
          <w:sz w:val="24"/>
          <w:szCs w:val="24"/>
        </w:rPr>
        <w:t>membres</w:t>
      </w:r>
      <w:r>
        <w:rPr>
          <w:rFonts w:ascii="Times New Roman" w:hAnsi="Times New Roman"/>
          <w:sz w:val="24"/>
          <w:szCs w:val="24"/>
        </w:rPr>
        <w:t>.</w:t>
      </w:r>
      <w:r w:rsidR="005A3930">
        <w:rPr>
          <w:rFonts w:ascii="Times New Roman" w:hAnsi="Times New Roman"/>
          <w:sz w:val="24"/>
          <w:szCs w:val="24"/>
        </w:rPr>
        <w:t xml:space="preserve"> </w:t>
      </w:r>
      <w:r>
        <w:rPr>
          <w:rFonts w:ascii="Times New Roman" w:hAnsi="Times New Roman"/>
          <w:sz w:val="24"/>
          <w:szCs w:val="24"/>
        </w:rPr>
        <w:t xml:space="preserve">La grande de taille  et la composition du ménage prédisposent essentiellement les femmes à des travaux familiaux non rémunérés. </w:t>
      </w:r>
    </w:p>
    <w:p w:rsidR="00E00AD9" w:rsidRDefault="00E00AD9" w:rsidP="00E00AD9">
      <w:pPr>
        <w:pStyle w:val="Sansinterligne"/>
        <w:spacing w:line="276" w:lineRule="auto"/>
        <w:rPr>
          <w:rFonts w:ascii="Times New Roman" w:hAnsi="Times New Roman"/>
          <w:sz w:val="24"/>
          <w:szCs w:val="24"/>
        </w:rPr>
      </w:pPr>
    </w:p>
    <w:p w:rsidR="00151476" w:rsidRDefault="00151476" w:rsidP="00151476">
      <w:pPr>
        <w:pStyle w:val="Sansinterligne"/>
        <w:spacing w:line="276" w:lineRule="auto"/>
        <w:rPr>
          <w:rFonts w:ascii="Times New Roman" w:hAnsi="Times New Roman"/>
          <w:sz w:val="24"/>
          <w:szCs w:val="24"/>
        </w:rPr>
      </w:pPr>
      <w:r>
        <w:rPr>
          <w:rFonts w:ascii="Times New Roman" w:hAnsi="Times New Roman"/>
          <w:sz w:val="24"/>
          <w:szCs w:val="24"/>
        </w:rPr>
        <w:t xml:space="preserve">Par ailleurs, les résultats semblent montrer que les ménages dirigés par les femmes sont moins pauvres en raison de l’auto-sélection qu’elles réalisent par rapport à leur situation matrimoniale. </w:t>
      </w:r>
      <w:r w:rsidRPr="000A1D2E">
        <w:rPr>
          <w:rFonts w:ascii="Times New Roman" w:hAnsi="Times New Roman"/>
          <w:sz w:val="24"/>
          <w:szCs w:val="24"/>
        </w:rPr>
        <w:t>En effet, les femmes chef de ménages mariés ont 1</w:t>
      </w:r>
      <w:r w:rsidR="004315AA" w:rsidRPr="000A1D2E">
        <w:rPr>
          <w:rFonts w:ascii="Times New Roman" w:hAnsi="Times New Roman"/>
          <w:sz w:val="24"/>
          <w:szCs w:val="24"/>
        </w:rPr>
        <w:t xml:space="preserve"> à </w:t>
      </w:r>
      <w:r w:rsidRPr="000A1D2E">
        <w:rPr>
          <w:rFonts w:ascii="Times New Roman" w:hAnsi="Times New Roman"/>
          <w:sz w:val="24"/>
          <w:szCs w:val="24"/>
        </w:rPr>
        <w:t>2 fois plus de chance de connaitre la pauvreté monétaire et le noyau de dur de la pauvreté que les célibataires ou les divorcées. Ce</w:t>
      </w:r>
      <w:r>
        <w:rPr>
          <w:rFonts w:ascii="Times New Roman" w:hAnsi="Times New Roman"/>
          <w:sz w:val="24"/>
          <w:szCs w:val="24"/>
        </w:rPr>
        <w:t xml:space="preserve"> risque est respectivement multiplié par 1</w:t>
      </w:r>
      <w:r w:rsidR="004315AA">
        <w:rPr>
          <w:rFonts w:ascii="Times New Roman" w:hAnsi="Times New Roman"/>
          <w:sz w:val="24"/>
          <w:szCs w:val="24"/>
        </w:rPr>
        <w:t>,5 et 1</w:t>
      </w:r>
      <w:r>
        <w:rPr>
          <w:rFonts w:ascii="Times New Roman" w:hAnsi="Times New Roman"/>
          <w:sz w:val="24"/>
          <w:szCs w:val="24"/>
        </w:rPr>
        <w:t xml:space="preserve"> par rapport aux ménages dirigés par les hommes. </w:t>
      </w:r>
      <w:r w:rsidRPr="003110C9">
        <w:rPr>
          <w:rFonts w:ascii="Times New Roman" w:hAnsi="Times New Roman"/>
          <w:sz w:val="24"/>
          <w:szCs w:val="24"/>
        </w:rPr>
        <w:t>Ce résultat souligne ainsi, l’influence des dynamiques au sein du ménage et du fardeau du poids démographique sur le bien-être des ménages.</w:t>
      </w:r>
      <w:r>
        <w:rPr>
          <w:rFonts w:ascii="Times New Roman" w:hAnsi="Times New Roman"/>
          <w:sz w:val="24"/>
          <w:szCs w:val="24"/>
        </w:rPr>
        <w:t xml:space="preserve"> </w:t>
      </w:r>
    </w:p>
    <w:p w:rsidR="00151476" w:rsidRDefault="00151476" w:rsidP="00E00AD9">
      <w:pPr>
        <w:pStyle w:val="Sansinterligne"/>
        <w:spacing w:line="276" w:lineRule="auto"/>
        <w:rPr>
          <w:rFonts w:ascii="Times New Roman" w:hAnsi="Times New Roman"/>
          <w:sz w:val="24"/>
          <w:szCs w:val="24"/>
        </w:rPr>
      </w:pPr>
    </w:p>
    <w:p w:rsidR="00E00AD9" w:rsidRPr="008717CD" w:rsidRDefault="00E00AD9" w:rsidP="00E00AD9">
      <w:pPr>
        <w:spacing w:line="276" w:lineRule="auto"/>
        <w:rPr>
          <w:rFonts w:ascii="Times New Roman" w:hAnsi="Times New Roman"/>
          <w:sz w:val="24"/>
          <w:szCs w:val="24"/>
        </w:rPr>
      </w:pPr>
      <w:r>
        <w:rPr>
          <w:rFonts w:ascii="Times New Roman" w:hAnsi="Times New Roman"/>
          <w:sz w:val="24"/>
          <w:szCs w:val="24"/>
        </w:rPr>
        <w:t xml:space="preserve">Au regard des obstacles ci-dessus mentionnés, les résultats obtenus </w:t>
      </w:r>
      <w:r w:rsidR="007259DF">
        <w:rPr>
          <w:rFonts w:ascii="Times New Roman" w:hAnsi="Times New Roman"/>
          <w:sz w:val="24"/>
          <w:szCs w:val="24"/>
        </w:rPr>
        <w:t xml:space="preserve">mettent </w:t>
      </w:r>
      <w:r>
        <w:rPr>
          <w:rFonts w:ascii="Times New Roman" w:hAnsi="Times New Roman"/>
          <w:sz w:val="24"/>
          <w:szCs w:val="24"/>
        </w:rPr>
        <w:t xml:space="preserve">davantage en exergue </w:t>
      </w:r>
      <w:r w:rsidRPr="00F012EC">
        <w:rPr>
          <w:rFonts w:ascii="Times New Roman" w:hAnsi="Times New Roman"/>
          <w:sz w:val="24"/>
          <w:szCs w:val="24"/>
        </w:rPr>
        <w:t xml:space="preserve">la </w:t>
      </w:r>
      <w:r>
        <w:rPr>
          <w:rFonts w:ascii="Times New Roman" w:hAnsi="Times New Roman"/>
          <w:sz w:val="24"/>
          <w:szCs w:val="24"/>
        </w:rPr>
        <w:t xml:space="preserve">faible </w:t>
      </w:r>
      <w:r w:rsidRPr="00F012EC">
        <w:rPr>
          <w:rFonts w:ascii="Times New Roman" w:hAnsi="Times New Roman"/>
          <w:sz w:val="24"/>
          <w:szCs w:val="24"/>
        </w:rPr>
        <w:t>valeur accordée à l’éducation des filles</w:t>
      </w:r>
      <w:r>
        <w:rPr>
          <w:rFonts w:ascii="Times New Roman" w:hAnsi="Times New Roman"/>
          <w:sz w:val="24"/>
          <w:szCs w:val="24"/>
        </w:rPr>
        <w:t xml:space="preserve">, </w:t>
      </w:r>
      <w:r w:rsidR="007259DF">
        <w:rPr>
          <w:rFonts w:ascii="Times New Roman" w:hAnsi="Times New Roman"/>
          <w:sz w:val="24"/>
          <w:szCs w:val="24"/>
        </w:rPr>
        <w:t xml:space="preserve">à </w:t>
      </w:r>
      <w:r>
        <w:rPr>
          <w:rFonts w:ascii="Times New Roman" w:hAnsi="Times New Roman"/>
          <w:sz w:val="24"/>
          <w:szCs w:val="24"/>
        </w:rPr>
        <w:t xml:space="preserve">l’accès </w:t>
      </w:r>
      <w:r w:rsidRPr="00F012EC">
        <w:rPr>
          <w:rFonts w:ascii="Times New Roman" w:hAnsi="Times New Roman"/>
          <w:sz w:val="24"/>
          <w:szCs w:val="24"/>
        </w:rPr>
        <w:t xml:space="preserve">limité </w:t>
      </w:r>
      <w:r>
        <w:rPr>
          <w:rFonts w:ascii="Times New Roman" w:hAnsi="Times New Roman"/>
          <w:sz w:val="24"/>
          <w:szCs w:val="24"/>
        </w:rPr>
        <w:t xml:space="preserve">des femmes </w:t>
      </w:r>
      <w:r w:rsidRPr="00F012EC">
        <w:rPr>
          <w:rFonts w:ascii="Times New Roman" w:hAnsi="Times New Roman"/>
          <w:sz w:val="24"/>
          <w:szCs w:val="24"/>
        </w:rPr>
        <w:t>à l’éducation et au perfectionnement des compétences et un pouvoir de négociation plus faible dans les marchés de l’emp</w:t>
      </w:r>
      <w:r>
        <w:rPr>
          <w:rFonts w:ascii="Times New Roman" w:hAnsi="Times New Roman"/>
          <w:sz w:val="24"/>
          <w:szCs w:val="24"/>
        </w:rPr>
        <w:t xml:space="preserve">loi qui pourrait être illustré  par le taux relativement élevé du sous-emploi lié au revenu de l’activité principale. On peut aussi mentionner </w:t>
      </w:r>
      <w:r w:rsidRPr="00F012EC">
        <w:rPr>
          <w:rFonts w:ascii="Times New Roman" w:hAnsi="Times New Roman"/>
          <w:sz w:val="24"/>
          <w:szCs w:val="24"/>
        </w:rPr>
        <w:t>le fardeau</w:t>
      </w:r>
      <w:r w:rsidR="00151476" w:rsidRPr="00151476">
        <w:rPr>
          <w:rFonts w:ascii="Times New Roman" w:hAnsi="Times New Roman"/>
          <w:sz w:val="24"/>
          <w:szCs w:val="24"/>
        </w:rPr>
        <w:t xml:space="preserve"> </w:t>
      </w:r>
      <w:r w:rsidR="00151476">
        <w:rPr>
          <w:rFonts w:ascii="Times New Roman" w:hAnsi="Times New Roman"/>
          <w:sz w:val="24"/>
          <w:szCs w:val="24"/>
        </w:rPr>
        <w:t>de la composition du ménage,</w:t>
      </w:r>
      <w:r w:rsidRPr="00F012EC">
        <w:rPr>
          <w:rFonts w:ascii="Times New Roman" w:hAnsi="Times New Roman"/>
          <w:sz w:val="24"/>
          <w:szCs w:val="24"/>
        </w:rPr>
        <w:t xml:space="preserve"> du travail productif ou du soin des proches sans rémunération</w:t>
      </w:r>
      <w:r>
        <w:rPr>
          <w:rFonts w:ascii="Times New Roman" w:hAnsi="Times New Roman"/>
          <w:sz w:val="24"/>
          <w:szCs w:val="24"/>
        </w:rPr>
        <w:t xml:space="preserve"> pour la raison évoquée ci-dessus et les secteurs d’activité à productivité faible.</w:t>
      </w:r>
    </w:p>
    <w:p w:rsidR="00E00AD9" w:rsidRDefault="00E00AD9" w:rsidP="00E00AD9">
      <w:pPr>
        <w:spacing w:line="276" w:lineRule="auto"/>
        <w:rPr>
          <w:rFonts w:ascii="Times New Roman" w:hAnsi="Times New Roman"/>
          <w:sz w:val="24"/>
          <w:szCs w:val="24"/>
        </w:rPr>
      </w:pPr>
    </w:p>
    <w:p w:rsidR="00DE7F72" w:rsidRDefault="00DE7F72" w:rsidP="00E00AD9">
      <w:pPr>
        <w:spacing w:line="276" w:lineRule="auto"/>
        <w:rPr>
          <w:rFonts w:ascii="Times New Roman" w:hAnsi="Times New Roman"/>
          <w:sz w:val="24"/>
          <w:szCs w:val="24"/>
        </w:rPr>
      </w:pPr>
    </w:p>
    <w:p w:rsidR="00E00AD9" w:rsidRPr="00670743" w:rsidRDefault="00E00AD9" w:rsidP="00670743">
      <w:pPr>
        <w:pStyle w:val="Titre2"/>
        <w:spacing w:before="0" w:after="0"/>
        <w:rPr>
          <w:rFonts w:ascii="Times New Roman" w:hAnsi="Times New Roman" w:cs="Times New Roman"/>
          <w:i w:val="0"/>
          <w:color w:val="31849B" w:themeColor="accent5" w:themeShade="BF"/>
        </w:rPr>
      </w:pPr>
      <w:bookmarkStart w:id="205" w:name="_Toc382322959"/>
      <w:r w:rsidRPr="00670743">
        <w:rPr>
          <w:rFonts w:ascii="Times New Roman" w:hAnsi="Times New Roman" w:cs="Times New Roman"/>
          <w:i w:val="0"/>
          <w:color w:val="31849B" w:themeColor="accent5" w:themeShade="BF"/>
        </w:rPr>
        <w:t>6.5</w:t>
      </w:r>
      <w:r w:rsidR="005A3930">
        <w:rPr>
          <w:rFonts w:ascii="Times New Roman" w:hAnsi="Times New Roman" w:cs="Times New Roman"/>
          <w:i w:val="0"/>
          <w:color w:val="31849B" w:themeColor="accent5" w:themeShade="BF"/>
        </w:rPr>
        <w:t xml:space="preserve"> </w:t>
      </w:r>
      <w:r w:rsidRPr="00670743">
        <w:rPr>
          <w:rFonts w:ascii="Times New Roman" w:hAnsi="Times New Roman" w:cs="Times New Roman"/>
          <w:i w:val="0"/>
          <w:color w:val="31849B" w:themeColor="accent5" w:themeShade="BF"/>
        </w:rPr>
        <w:t>Conclusion</w:t>
      </w:r>
      <w:bookmarkEnd w:id="205"/>
    </w:p>
    <w:p w:rsidR="00E00AD9" w:rsidRPr="00670743" w:rsidRDefault="00E00AD9" w:rsidP="00E00AD9">
      <w:pPr>
        <w:spacing w:line="276" w:lineRule="auto"/>
        <w:rPr>
          <w:rFonts w:ascii="Times New Roman" w:hAnsi="Times New Roman"/>
          <w:sz w:val="12"/>
          <w:szCs w:val="12"/>
        </w:rPr>
      </w:pPr>
    </w:p>
    <w:p w:rsidR="00E00AD9" w:rsidRPr="00471BE3" w:rsidRDefault="00E00AD9" w:rsidP="00E00AD9">
      <w:pPr>
        <w:spacing w:line="276" w:lineRule="auto"/>
        <w:rPr>
          <w:rFonts w:ascii="Times New Roman" w:hAnsi="Times New Roman"/>
          <w:sz w:val="24"/>
          <w:szCs w:val="24"/>
        </w:rPr>
      </w:pPr>
      <w:r w:rsidRPr="001064B7">
        <w:rPr>
          <w:rFonts w:ascii="Times New Roman" w:hAnsi="Times New Roman"/>
          <w:sz w:val="24"/>
          <w:szCs w:val="24"/>
        </w:rPr>
        <w:t>Ce chapitre tente d’élucider l</w:t>
      </w:r>
      <w:r>
        <w:rPr>
          <w:rFonts w:ascii="Times New Roman" w:hAnsi="Times New Roman"/>
          <w:sz w:val="24"/>
          <w:szCs w:val="24"/>
        </w:rPr>
        <w:t xml:space="preserve">e niveau relativement faible de la pauvreté qui caractérise les ménages dirigés par les </w:t>
      </w:r>
      <w:r w:rsidRPr="001064B7">
        <w:rPr>
          <w:rFonts w:ascii="Times New Roman" w:hAnsi="Times New Roman"/>
          <w:sz w:val="24"/>
          <w:szCs w:val="24"/>
        </w:rPr>
        <w:t xml:space="preserve">femmes </w:t>
      </w:r>
      <w:r>
        <w:rPr>
          <w:rFonts w:ascii="Times New Roman" w:hAnsi="Times New Roman"/>
          <w:sz w:val="24"/>
          <w:szCs w:val="24"/>
        </w:rPr>
        <w:t>relativement à ceux dirigés par les</w:t>
      </w:r>
      <w:r w:rsidRPr="001064B7">
        <w:rPr>
          <w:rFonts w:ascii="Times New Roman" w:hAnsi="Times New Roman"/>
          <w:sz w:val="24"/>
          <w:szCs w:val="24"/>
        </w:rPr>
        <w:t xml:space="preserve"> hommes. L’analyse est focalisée sur</w:t>
      </w:r>
      <w:r>
        <w:rPr>
          <w:rFonts w:ascii="Times New Roman" w:hAnsi="Times New Roman"/>
          <w:sz w:val="24"/>
          <w:szCs w:val="24"/>
        </w:rPr>
        <w:t xml:space="preserve"> les </w:t>
      </w:r>
      <w:r w:rsidRPr="001064B7">
        <w:rPr>
          <w:rFonts w:ascii="Times New Roman" w:hAnsi="Times New Roman"/>
          <w:sz w:val="24"/>
          <w:szCs w:val="24"/>
        </w:rPr>
        <w:t>inégalités d’accès entre sexe</w:t>
      </w:r>
      <w:r w:rsidR="007259DF">
        <w:rPr>
          <w:rFonts w:ascii="Times New Roman" w:hAnsi="Times New Roman"/>
          <w:sz w:val="24"/>
          <w:szCs w:val="24"/>
        </w:rPr>
        <w:t>s</w:t>
      </w:r>
      <w:r w:rsidRPr="001064B7">
        <w:rPr>
          <w:rFonts w:ascii="Times New Roman" w:hAnsi="Times New Roman"/>
          <w:sz w:val="24"/>
          <w:szCs w:val="24"/>
        </w:rPr>
        <w:t>, notamment le pouvoir économique des femmes. Il est</w:t>
      </w:r>
      <w:r w:rsidR="005A3930">
        <w:rPr>
          <w:rFonts w:ascii="Times New Roman" w:hAnsi="Times New Roman"/>
          <w:sz w:val="24"/>
          <w:szCs w:val="24"/>
        </w:rPr>
        <w:t xml:space="preserve"> </w:t>
      </w:r>
      <w:r w:rsidRPr="001064B7">
        <w:rPr>
          <w:rFonts w:ascii="Times New Roman" w:hAnsi="Times New Roman"/>
          <w:sz w:val="24"/>
          <w:szCs w:val="24"/>
        </w:rPr>
        <w:t>basé sur l’Indice de Développement et des Inégalités entre les Sexes en Afrique (IDISA).</w:t>
      </w:r>
    </w:p>
    <w:p w:rsidR="00E00AD9" w:rsidRPr="00670743" w:rsidRDefault="00E00AD9" w:rsidP="00E00AD9">
      <w:pPr>
        <w:spacing w:line="276" w:lineRule="auto"/>
        <w:rPr>
          <w:rFonts w:ascii="Times New Roman" w:hAnsi="Times New Roman"/>
          <w:sz w:val="12"/>
          <w:szCs w:val="12"/>
          <w:highlight w:val="yellow"/>
        </w:rPr>
      </w:pPr>
    </w:p>
    <w:p w:rsidR="00E00AD9" w:rsidRPr="008F0B37" w:rsidRDefault="00E00AD9" w:rsidP="00E00AD9">
      <w:pPr>
        <w:spacing w:line="276" w:lineRule="auto"/>
        <w:rPr>
          <w:rFonts w:ascii="Times New Roman" w:hAnsi="Times New Roman"/>
          <w:sz w:val="24"/>
          <w:szCs w:val="24"/>
        </w:rPr>
      </w:pPr>
      <w:r w:rsidRPr="001064B7">
        <w:rPr>
          <w:rFonts w:ascii="Times New Roman" w:hAnsi="Times New Roman"/>
          <w:sz w:val="24"/>
          <w:szCs w:val="24"/>
        </w:rPr>
        <w:t xml:space="preserve">Les résultats montrent que malgré leur faible pouvoir économique, les ménages dirigés par les femmes sont moins vulnérables à la pauvreté que </w:t>
      </w:r>
      <w:r w:rsidR="007259DF">
        <w:rPr>
          <w:rFonts w:ascii="Times New Roman" w:hAnsi="Times New Roman"/>
          <w:sz w:val="24"/>
          <w:szCs w:val="24"/>
        </w:rPr>
        <w:t xml:space="preserve">ceux dirigés par </w:t>
      </w:r>
      <w:r w:rsidRPr="001064B7">
        <w:rPr>
          <w:rFonts w:ascii="Times New Roman" w:hAnsi="Times New Roman"/>
          <w:sz w:val="24"/>
          <w:szCs w:val="24"/>
        </w:rPr>
        <w:t xml:space="preserve">les hommes. Cette situation s’expliquerait en partie par le fait que les ménages dirigés par les femmes sont plus exposées aux chocs économiques qui ont un impact limité sur la pauvreté. Ce qui n’est pas le cas pour les ménages dirigés par les hommes qui ont davantage subi des chocs biophysiques qui </w:t>
      </w:r>
      <w:r w:rsidR="007259DF">
        <w:rPr>
          <w:rFonts w:ascii="Times New Roman" w:hAnsi="Times New Roman"/>
          <w:sz w:val="24"/>
          <w:szCs w:val="24"/>
        </w:rPr>
        <w:t xml:space="preserve">se </w:t>
      </w:r>
      <w:r w:rsidRPr="001064B7">
        <w:rPr>
          <w:rFonts w:ascii="Times New Roman" w:hAnsi="Times New Roman"/>
          <w:sz w:val="24"/>
          <w:szCs w:val="24"/>
        </w:rPr>
        <w:t xml:space="preserve">sont avérés comme un des déterminants de la pauvreté au Bénin. En outre, </w:t>
      </w:r>
      <w:r>
        <w:rPr>
          <w:rFonts w:ascii="Times New Roman" w:hAnsi="Times New Roman"/>
          <w:sz w:val="24"/>
          <w:szCs w:val="24"/>
        </w:rPr>
        <w:t xml:space="preserve">les </w:t>
      </w:r>
      <w:r w:rsidRPr="006A6A25">
        <w:rPr>
          <w:rFonts w:ascii="Times New Roman" w:hAnsi="Times New Roman"/>
          <w:sz w:val="24"/>
          <w:szCs w:val="24"/>
        </w:rPr>
        <w:t xml:space="preserve"> stratégies de lutte contre la pauvreté </w:t>
      </w:r>
      <w:r>
        <w:rPr>
          <w:rFonts w:ascii="Times New Roman" w:hAnsi="Times New Roman"/>
          <w:sz w:val="24"/>
          <w:szCs w:val="24"/>
        </w:rPr>
        <w:t xml:space="preserve">mises en œuvre telles que </w:t>
      </w:r>
      <w:r w:rsidRPr="006A6A25">
        <w:rPr>
          <w:rFonts w:ascii="Times New Roman" w:hAnsi="Times New Roman"/>
          <w:sz w:val="24"/>
          <w:szCs w:val="24"/>
        </w:rPr>
        <w:t>le programm</w:t>
      </w:r>
      <w:r>
        <w:rPr>
          <w:rFonts w:ascii="Times New Roman" w:hAnsi="Times New Roman"/>
          <w:sz w:val="24"/>
          <w:szCs w:val="24"/>
        </w:rPr>
        <w:t>e</w:t>
      </w:r>
      <w:r w:rsidRPr="006A6A25">
        <w:rPr>
          <w:rFonts w:ascii="Times New Roman" w:hAnsi="Times New Roman"/>
          <w:sz w:val="24"/>
          <w:szCs w:val="24"/>
        </w:rPr>
        <w:t xml:space="preserve"> de microcrédit aux plus pauvres </w:t>
      </w:r>
      <w:r>
        <w:rPr>
          <w:rFonts w:ascii="Times New Roman" w:hAnsi="Times New Roman"/>
          <w:sz w:val="24"/>
          <w:szCs w:val="24"/>
        </w:rPr>
        <w:t>semble avoir plus  profité</w:t>
      </w:r>
      <w:r w:rsidRPr="006A6A25">
        <w:rPr>
          <w:rFonts w:ascii="Times New Roman" w:hAnsi="Times New Roman"/>
          <w:sz w:val="24"/>
          <w:szCs w:val="24"/>
        </w:rPr>
        <w:t xml:space="preserve"> aux femmes qu’aux hommes</w:t>
      </w:r>
      <w:r>
        <w:rPr>
          <w:rFonts w:ascii="Times New Roman" w:hAnsi="Times New Roman"/>
          <w:sz w:val="24"/>
          <w:szCs w:val="24"/>
        </w:rPr>
        <w:t xml:space="preserve">. </w:t>
      </w:r>
    </w:p>
    <w:p w:rsidR="00E00AD9" w:rsidRPr="00670743" w:rsidRDefault="00E00AD9" w:rsidP="00E00AD9">
      <w:pPr>
        <w:spacing w:line="276" w:lineRule="auto"/>
        <w:rPr>
          <w:rFonts w:ascii="Times New Roman" w:hAnsi="Times New Roman"/>
          <w:sz w:val="12"/>
          <w:szCs w:val="12"/>
          <w:highlight w:val="yellow"/>
        </w:rPr>
      </w:pPr>
    </w:p>
    <w:p w:rsidR="00767C6D" w:rsidRDefault="00E00AD9" w:rsidP="00F415B6">
      <w:pPr>
        <w:spacing w:line="276" w:lineRule="auto"/>
        <w:rPr>
          <w:rFonts w:ascii="Times New Roman" w:hAnsi="Times New Roman"/>
          <w:b/>
          <w:sz w:val="24"/>
          <w:szCs w:val="24"/>
        </w:rPr>
      </w:pPr>
      <w:r>
        <w:rPr>
          <w:rFonts w:ascii="Times New Roman" w:hAnsi="Times New Roman"/>
          <w:sz w:val="24"/>
          <w:szCs w:val="24"/>
        </w:rPr>
        <w:t xml:space="preserve">Les obstacles fondés sur le sexe qui expliquent les inégalités d’accès en termes de pouvoir économique  au Bénin sont liés au </w:t>
      </w:r>
      <w:r w:rsidRPr="00E05850">
        <w:rPr>
          <w:rFonts w:ascii="Times New Roman" w:hAnsi="Times New Roman"/>
          <w:sz w:val="24"/>
          <w:szCs w:val="24"/>
        </w:rPr>
        <w:t xml:space="preserve">niveau d’instruction, </w:t>
      </w:r>
      <w:r w:rsidR="007259DF">
        <w:rPr>
          <w:rFonts w:ascii="Times New Roman" w:hAnsi="Times New Roman"/>
          <w:sz w:val="24"/>
          <w:szCs w:val="24"/>
        </w:rPr>
        <w:t xml:space="preserve">à </w:t>
      </w:r>
      <w:r w:rsidRPr="00E05850">
        <w:rPr>
          <w:rFonts w:ascii="Times New Roman" w:hAnsi="Times New Roman"/>
          <w:sz w:val="24"/>
          <w:szCs w:val="24"/>
        </w:rPr>
        <w:t>la taille du ménage</w:t>
      </w:r>
      <w:r>
        <w:rPr>
          <w:rFonts w:ascii="Times New Roman" w:hAnsi="Times New Roman"/>
          <w:sz w:val="24"/>
          <w:szCs w:val="24"/>
        </w:rPr>
        <w:t xml:space="preserve">, </w:t>
      </w:r>
      <w:r w:rsidR="007259DF">
        <w:rPr>
          <w:rFonts w:ascii="Times New Roman" w:hAnsi="Times New Roman"/>
          <w:sz w:val="24"/>
          <w:szCs w:val="24"/>
        </w:rPr>
        <w:t>au</w:t>
      </w:r>
      <w:r w:rsidR="007259DF" w:rsidRPr="00E05850">
        <w:rPr>
          <w:rFonts w:ascii="Times New Roman" w:hAnsi="Times New Roman"/>
          <w:sz w:val="24"/>
          <w:szCs w:val="24"/>
        </w:rPr>
        <w:t xml:space="preserve"> </w:t>
      </w:r>
      <w:r w:rsidRPr="00E05850">
        <w:rPr>
          <w:rFonts w:ascii="Times New Roman" w:hAnsi="Times New Roman"/>
          <w:sz w:val="24"/>
          <w:szCs w:val="24"/>
        </w:rPr>
        <w:t>type d’emploi, la catégorie socioprofessionnelle</w:t>
      </w:r>
      <w:r w:rsidR="007259DF">
        <w:rPr>
          <w:rFonts w:ascii="Times New Roman" w:hAnsi="Times New Roman"/>
          <w:sz w:val="24"/>
          <w:szCs w:val="24"/>
        </w:rPr>
        <w:t>,</w:t>
      </w:r>
      <w:r w:rsidRPr="00E05850">
        <w:rPr>
          <w:rFonts w:ascii="Times New Roman" w:hAnsi="Times New Roman"/>
          <w:sz w:val="24"/>
          <w:szCs w:val="24"/>
        </w:rPr>
        <w:t xml:space="preserve"> </w:t>
      </w:r>
      <w:r w:rsidR="007259DF">
        <w:rPr>
          <w:rFonts w:ascii="Times New Roman" w:hAnsi="Times New Roman"/>
          <w:sz w:val="24"/>
          <w:szCs w:val="24"/>
        </w:rPr>
        <w:t xml:space="preserve">à </w:t>
      </w:r>
      <w:r w:rsidRPr="00E05850">
        <w:rPr>
          <w:rFonts w:ascii="Times New Roman" w:hAnsi="Times New Roman"/>
          <w:sz w:val="24"/>
          <w:szCs w:val="24"/>
        </w:rPr>
        <w:t>la branche d’activités</w:t>
      </w:r>
      <w:r>
        <w:rPr>
          <w:rFonts w:ascii="Times New Roman" w:hAnsi="Times New Roman"/>
          <w:sz w:val="24"/>
          <w:szCs w:val="24"/>
        </w:rPr>
        <w:t xml:space="preserve">, au milieu de résidence, </w:t>
      </w:r>
      <w:r w:rsidR="007259DF">
        <w:rPr>
          <w:rFonts w:ascii="Times New Roman" w:hAnsi="Times New Roman"/>
          <w:sz w:val="24"/>
          <w:szCs w:val="24"/>
        </w:rPr>
        <w:t xml:space="preserve">à </w:t>
      </w:r>
      <w:r>
        <w:rPr>
          <w:rFonts w:ascii="Times New Roman" w:hAnsi="Times New Roman"/>
          <w:sz w:val="24"/>
          <w:szCs w:val="24"/>
        </w:rPr>
        <w:t>l</w:t>
      </w:r>
      <w:r w:rsidRPr="00E05850">
        <w:rPr>
          <w:rFonts w:ascii="Times New Roman" w:hAnsi="Times New Roman"/>
          <w:sz w:val="24"/>
          <w:szCs w:val="24"/>
        </w:rPr>
        <w:t>’âge</w:t>
      </w:r>
      <w:r w:rsidR="007259DF">
        <w:rPr>
          <w:rFonts w:ascii="Times New Roman" w:hAnsi="Times New Roman"/>
          <w:sz w:val="24"/>
          <w:szCs w:val="24"/>
        </w:rPr>
        <w:t>,</w:t>
      </w:r>
      <w:r>
        <w:rPr>
          <w:rFonts w:ascii="Times New Roman" w:hAnsi="Times New Roman"/>
          <w:sz w:val="24"/>
          <w:szCs w:val="24"/>
        </w:rPr>
        <w:t xml:space="preserve"> au </w:t>
      </w:r>
      <w:r w:rsidRPr="001064B7">
        <w:rPr>
          <w:rFonts w:ascii="Times New Roman" w:hAnsi="Times New Roman"/>
          <w:sz w:val="24"/>
          <w:szCs w:val="24"/>
        </w:rPr>
        <w:t>statut migratoire</w:t>
      </w:r>
      <w:r w:rsidR="007259DF">
        <w:rPr>
          <w:rFonts w:ascii="Times New Roman" w:hAnsi="Times New Roman"/>
          <w:sz w:val="24"/>
          <w:szCs w:val="24"/>
        </w:rPr>
        <w:t xml:space="preserve"> et à la situation matrimoniale</w:t>
      </w:r>
      <w:r>
        <w:rPr>
          <w:rFonts w:ascii="Times New Roman" w:hAnsi="Times New Roman"/>
          <w:sz w:val="24"/>
          <w:szCs w:val="24"/>
        </w:rPr>
        <w:t xml:space="preserve">. </w:t>
      </w:r>
      <w:r w:rsidR="005A3930">
        <w:rPr>
          <w:rFonts w:ascii="Times New Roman" w:hAnsi="Times New Roman"/>
          <w:sz w:val="24"/>
          <w:szCs w:val="24"/>
        </w:rPr>
        <w:t xml:space="preserve">Ils  </w:t>
      </w:r>
      <w:r>
        <w:rPr>
          <w:rFonts w:ascii="Times New Roman" w:hAnsi="Times New Roman"/>
          <w:sz w:val="24"/>
          <w:szCs w:val="24"/>
        </w:rPr>
        <w:t xml:space="preserve">constituent des </w:t>
      </w:r>
      <w:r w:rsidRPr="00E05850">
        <w:rPr>
          <w:rFonts w:ascii="Times New Roman" w:hAnsi="Times New Roman"/>
          <w:sz w:val="24"/>
          <w:szCs w:val="24"/>
        </w:rPr>
        <w:t xml:space="preserve"> facteurs de différenciation du niveau de pauvreté aussi bien chez les hommes que chez les femmes.</w:t>
      </w:r>
      <w:r>
        <w:rPr>
          <w:rFonts w:ascii="Times New Roman" w:hAnsi="Times New Roman"/>
          <w:sz w:val="24"/>
          <w:szCs w:val="24"/>
        </w:rPr>
        <w:t xml:space="preserve"> Toutefois, la taille du ménage met en exergue le fardeau du </w:t>
      </w:r>
      <w:r w:rsidRPr="00F012EC">
        <w:rPr>
          <w:rFonts w:ascii="Times New Roman" w:hAnsi="Times New Roman"/>
          <w:sz w:val="24"/>
          <w:szCs w:val="24"/>
        </w:rPr>
        <w:t>travail sans rémunération</w:t>
      </w:r>
      <w:r>
        <w:rPr>
          <w:rFonts w:ascii="Times New Roman" w:hAnsi="Times New Roman"/>
          <w:sz w:val="24"/>
          <w:szCs w:val="24"/>
        </w:rPr>
        <w:t xml:space="preserve"> qui caractérise les femmes.</w:t>
      </w:r>
    </w:p>
    <w:p w:rsidR="00E00AD9" w:rsidRDefault="00E00AD9" w:rsidP="00AB68B9">
      <w:pPr>
        <w:spacing w:line="276" w:lineRule="auto"/>
        <w:jc w:val="center"/>
        <w:rPr>
          <w:rFonts w:ascii="Times New Roman" w:hAnsi="Times New Roman"/>
          <w:b/>
          <w:sz w:val="24"/>
          <w:szCs w:val="24"/>
        </w:rPr>
      </w:pPr>
    </w:p>
    <w:p w:rsidR="00E00AD9" w:rsidRDefault="00E00AD9"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p w:rsidR="00554AF3" w:rsidRDefault="00554AF3" w:rsidP="00AB68B9">
      <w:pPr>
        <w:spacing w:line="276" w:lineRule="auto"/>
        <w:jc w:val="center"/>
        <w:rPr>
          <w:rFonts w:ascii="Times New Roman" w:hAnsi="Times New Roman"/>
          <w:b/>
          <w:sz w:val="24"/>
          <w:szCs w:val="24"/>
        </w:r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2977"/>
        <w:gridCol w:w="6521"/>
        <w:gridCol w:w="992"/>
      </w:tblGrid>
      <w:tr w:rsidR="00F415B6" w:rsidTr="0031347F">
        <w:trPr>
          <w:trHeight w:val="1696"/>
        </w:trPr>
        <w:tc>
          <w:tcPr>
            <w:tcW w:w="1418" w:type="dxa"/>
            <w:tcBorders>
              <w:right w:val="thinThickSmallGap" w:sz="24" w:space="0" w:color="FFFFFF" w:themeColor="background1"/>
            </w:tcBorders>
            <w:shd w:val="clear" w:color="auto" w:fill="92CDDC" w:themeFill="accent5" w:themeFillTint="99"/>
          </w:tcPr>
          <w:p w:rsidR="00F415B6" w:rsidRPr="00494CC8" w:rsidRDefault="00F415B6" w:rsidP="0031347F">
            <w:pPr>
              <w:pStyle w:val="Titre1"/>
              <w:jc w:val="center"/>
              <w:outlineLvl w:val="0"/>
              <w:rPr>
                <w:rFonts w:ascii="Times New Roman" w:hAnsi="Times New Roman" w:cs="Times New Roman"/>
                <w:sz w:val="28"/>
                <w:szCs w:val="28"/>
              </w:rPr>
            </w:pPr>
          </w:p>
        </w:tc>
        <w:tc>
          <w:tcPr>
            <w:tcW w:w="2977" w:type="dxa"/>
            <w:tcBorders>
              <w:top w:val="thinThickSmallGap" w:sz="24" w:space="0" w:color="FFFFFF" w:themeColor="background1"/>
              <w:left w:val="thinThickSmallGap" w:sz="24" w:space="0" w:color="FFFFFF" w:themeColor="background1"/>
              <w:bottom w:val="single" w:sz="4" w:space="0" w:color="92CDDC" w:themeColor="accent5" w:themeTint="99"/>
              <w:right w:val="thinThickMediumGap" w:sz="24" w:space="0" w:color="92CDDC" w:themeColor="accent5" w:themeTint="99"/>
            </w:tcBorders>
          </w:tcPr>
          <w:p w:rsidR="00F415B6" w:rsidRPr="00E04E53" w:rsidRDefault="00F415B6" w:rsidP="0031347F">
            <w:pPr>
              <w:pStyle w:val="Titre1"/>
              <w:spacing w:before="120" w:after="0" w:line="240" w:lineRule="auto"/>
              <w:jc w:val="center"/>
              <w:outlineLvl w:val="0"/>
              <w:rPr>
                <w:rFonts w:ascii="Times New Roman" w:hAnsi="Times New Roman" w:cs="Times New Roman"/>
                <w:sz w:val="52"/>
                <w:szCs w:val="52"/>
              </w:rPr>
            </w:pPr>
            <w:bookmarkStart w:id="206" w:name="_Toc382322960"/>
            <w:r w:rsidRPr="00E04E53">
              <w:rPr>
                <w:rFonts w:ascii="Times New Roman" w:hAnsi="Times New Roman" w:cs="Times New Roman"/>
                <w:sz w:val="52"/>
                <w:szCs w:val="52"/>
              </w:rPr>
              <w:t>CHAPITRE</w:t>
            </w:r>
            <w:bookmarkEnd w:id="206"/>
          </w:p>
          <w:p w:rsidR="00F415B6" w:rsidRPr="00E04E53" w:rsidRDefault="00F415B6" w:rsidP="0031347F">
            <w:pPr>
              <w:pStyle w:val="Titre1"/>
              <w:spacing w:before="0" w:after="0" w:line="240" w:lineRule="auto"/>
              <w:jc w:val="center"/>
              <w:outlineLvl w:val="0"/>
              <w:rPr>
                <w:rFonts w:ascii="Times New Roman" w:hAnsi="Times New Roman" w:cs="Times New Roman"/>
                <w:sz w:val="96"/>
                <w:szCs w:val="96"/>
              </w:rPr>
            </w:pPr>
            <w:bookmarkStart w:id="207" w:name="_Toc382322961"/>
            <w:r>
              <w:rPr>
                <w:rFonts w:ascii="Times New Roman" w:hAnsi="Times New Roman" w:cs="Times New Roman"/>
                <w:sz w:val="96"/>
                <w:szCs w:val="96"/>
              </w:rPr>
              <w:t>7</w:t>
            </w:r>
            <w:bookmarkEnd w:id="207"/>
          </w:p>
        </w:tc>
        <w:tc>
          <w:tcPr>
            <w:tcW w:w="6521" w:type="dxa"/>
            <w:tcBorders>
              <w:top w:val="single" w:sz="4" w:space="0" w:color="DAEEF3" w:themeColor="accent5" w:themeTint="33"/>
              <w:left w:val="thinThickMediumGap" w:sz="24" w:space="0" w:color="92CDDC" w:themeColor="accent5" w:themeTint="99"/>
              <w:bottom w:val="single" w:sz="4" w:space="0" w:color="DAEEF3" w:themeColor="accent5" w:themeTint="33"/>
              <w:right w:val="single" w:sz="4" w:space="0" w:color="92CDDC" w:themeColor="accent5" w:themeTint="99"/>
            </w:tcBorders>
            <w:shd w:val="clear" w:color="auto" w:fill="DAEEF3" w:themeFill="accent5" w:themeFillTint="33"/>
          </w:tcPr>
          <w:p w:rsidR="00F415B6" w:rsidRPr="00F415B6" w:rsidRDefault="00F415B6" w:rsidP="00F415B6">
            <w:pPr>
              <w:pStyle w:val="Titre1"/>
              <w:spacing w:before="0" w:after="0" w:line="276" w:lineRule="auto"/>
              <w:jc w:val="center"/>
              <w:outlineLvl w:val="0"/>
              <w:rPr>
                <w:rFonts w:ascii="Times New Roman" w:hAnsi="Times New Roman"/>
                <w:sz w:val="52"/>
                <w:szCs w:val="52"/>
              </w:rPr>
            </w:pPr>
            <w:bookmarkStart w:id="208" w:name="_Toc382322962"/>
            <w:r w:rsidRPr="001064B7">
              <w:rPr>
                <w:rFonts w:ascii="Times New Roman" w:hAnsi="Times New Roman"/>
                <w:sz w:val="52"/>
                <w:szCs w:val="52"/>
              </w:rPr>
              <w:t>Suivi de la pauvreté au Bénin</w:t>
            </w:r>
            <w:bookmarkEnd w:id="208"/>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F415B6" w:rsidRPr="00E04E53" w:rsidRDefault="00F415B6" w:rsidP="0031347F">
            <w:pPr>
              <w:pStyle w:val="Titre1"/>
              <w:spacing w:line="240" w:lineRule="auto"/>
              <w:jc w:val="center"/>
              <w:outlineLvl w:val="0"/>
              <w:rPr>
                <w:rFonts w:ascii="Times New Roman" w:hAnsi="Times New Roman" w:cs="Times New Roman"/>
                <w:sz w:val="52"/>
                <w:szCs w:val="52"/>
              </w:rPr>
            </w:pPr>
          </w:p>
        </w:tc>
      </w:tr>
    </w:tbl>
    <w:p w:rsidR="00F415B6" w:rsidRPr="00F415B6" w:rsidRDefault="00F415B6" w:rsidP="00F415B6">
      <w:pPr>
        <w:pStyle w:val="Titre2"/>
        <w:spacing w:before="120" w:line="240" w:lineRule="auto"/>
        <w:rPr>
          <w:rFonts w:ascii="Times New Roman" w:hAnsi="Times New Roman"/>
          <w:b w:val="0"/>
          <w:i w:val="0"/>
          <w:sz w:val="24"/>
          <w:szCs w:val="24"/>
          <w:lang w:val="fr-CA"/>
        </w:rPr>
      </w:pPr>
    </w:p>
    <w:p w:rsidR="00995F69" w:rsidRPr="00F305E5" w:rsidRDefault="00995F69" w:rsidP="003232C4">
      <w:pPr>
        <w:pStyle w:val="Titre2"/>
        <w:spacing w:line="240" w:lineRule="auto"/>
        <w:rPr>
          <w:rFonts w:ascii="Times New Roman" w:hAnsi="Times New Roman"/>
          <w:i w:val="0"/>
          <w:color w:val="31849B" w:themeColor="accent5" w:themeShade="BF"/>
          <w:lang w:val="fr-CA"/>
        </w:rPr>
      </w:pPr>
      <w:bookmarkStart w:id="209" w:name="_Toc382322963"/>
      <w:r w:rsidRPr="00F305E5">
        <w:rPr>
          <w:rFonts w:ascii="Times New Roman" w:hAnsi="Times New Roman"/>
          <w:i w:val="0"/>
          <w:color w:val="31849B" w:themeColor="accent5" w:themeShade="BF"/>
          <w:lang w:val="fr-CA"/>
        </w:rPr>
        <w:t>7.1</w:t>
      </w:r>
      <w:r w:rsidR="005A3930">
        <w:rPr>
          <w:rFonts w:ascii="Times New Roman" w:hAnsi="Times New Roman"/>
          <w:i w:val="0"/>
          <w:color w:val="31849B" w:themeColor="accent5" w:themeShade="BF"/>
          <w:lang w:val="fr-CA"/>
        </w:rPr>
        <w:t xml:space="preserve"> </w:t>
      </w:r>
      <w:r w:rsidRPr="00F305E5">
        <w:rPr>
          <w:rFonts w:ascii="Times New Roman" w:hAnsi="Times New Roman"/>
          <w:i w:val="0"/>
          <w:color w:val="31849B" w:themeColor="accent5" w:themeShade="BF"/>
          <w:lang w:val="fr-CA"/>
        </w:rPr>
        <w:t>Introduction</w:t>
      </w:r>
      <w:bookmarkEnd w:id="209"/>
    </w:p>
    <w:p w:rsidR="00995F69" w:rsidRDefault="00995F69" w:rsidP="003232C4">
      <w:pPr>
        <w:spacing w:line="276" w:lineRule="auto"/>
        <w:rPr>
          <w:rFonts w:ascii="Times New Roman" w:hAnsi="Times New Roman"/>
          <w:sz w:val="24"/>
          <w:szCs w:val="24"/>
        </w:rPr>
      </w:pPr>
    </w:p>
    <w:p w:rsidR="00995F69" w:rsidRPr="007B43D0" w:rsidRDefault="00995F69" w:rsidP="003232C4">
      <w:pPr>
        <w:spacing w:line="276" w:lineRule="auto"/>
        <w:rPr>
          <w:rFonts w:ascii="Times New Roman" w:hAnsi="Times New Roman"/>
          <w:sz w:val="24"/>
          <w:szCs w:val="24"/>
        </w:rPr>
      </w:pPr>
      <w:r w:rsidRPr="007B43D0">
        <w:rPr>
          <w:rFonts w:ascii="Times New Roman" w:hAnsi="Times New Roman"/>
          <w:sz w:val="24"/>
          <w:szCs w:val="24"/>
        </w:rPr>
        <w:t xml:space="preserve">Depuis 1999, le Bénin s’est </w:t>
      </w:r>
      <w:r w:rsidRPr="006646F8">
        <w:rPr>
          <w:rFonts w:ascii="Times New Roman" w:hAnsi="Times New Roman"/>
          <w:sz w:val="24"/>
          <w:szCs w:val="24"/>
        </w:rPr>
        <w:t>engagé dans l’élaboration et la mise</w:t>
      </w:r>
      <w:r w:rsidR="005A3930">
        <w:rPr>
          <w:rFonts w:ascii="Times New Roman" w:hAnsi="Times New Roman"/>
          <w:sz w:val="24"/>
          <w:szCs w:val="24"/>
        </w:rPr>
        <w:t xml:space="preserve"> </w:t>
      </w:r>
      <w:r w:rsidRPr="006646F8">
        <w:rPr>
          <w:rFonts w:ascii="Times New Roman" w:hAnsi="Times New Roman"/>
          <w:sz w:val="24"/>
          <w:szCs w:val="24"/>
        </w:rPr>
        <w:t>en œuvre des stratégies de croissance pour la réduction de la pauvreté</w:t>
      </w:r>
      <w:r w:rsidRPr="007B43D0">
        <w:rPr>
          <w:rFonts w:ascii="Times New Roman" w:hAnsi="Times New Roman"/>
          <w:sz w:val="24"/>
          <w:szCs w:val="24"/>
        </w:rPr>
        <w:t xml:space="preserve"> qui servent de cadre stratégique de développement à court et moyen termes, et de dialogue avec les Partenaires Techniques et Financiers. Après la Stratégie de Réduction de la Pauvreté Intérimaire (SRPI), ébauchée en 2000, le Bénin a préparé et mis en œuvre deux documents de Stratégie </w:t>
      </w:r>
      <w:r w:rsidR="005A3930">
        <w:rPr>
          <w:rFonts w:ascii="Times New Roman" w:hAnsi="Times New Roman"/>
          <w:sz w:val="24"/>
          <w:szCs w:val="24"/>
        </w:rPr>
        <w:t>à savoir</w:t>
      </w:r>
      <w:r w:rsidRPr="007B43D0">
        <w:rPr>
          <w:rFonts w:ascii="Times New Roman" w:hAnsi="Times New Roman"/>
          <w:sz w:val="24"/>
          <w:szCs w:val="24"/>
        </w:rPr>
        <w:t xml:space="preserve"> la Stratégie de Réduction de la Pauvreté pour la période 2003-2005 et la Stratégie de Croissance pour la Réduction de la Pauvreté SCRP (2007-2009). </w:t>
      </w:r>
    </w:p>
    <w:p w:rsidR="00995F69" w:rsidRDefault="00995F69" w:rsidP="003232C4">
      <w:pPr>
        <w:spacing w:line="276" w:lineRule="auto"/>
        <w:rPr>
          <w:rFonts w:ascii="Times New Roman" w:hAnsi="Times New Roman"/>
          <w:sz w:val="24"/>
          <w:szCs w:val="24"/>
        </w:rPr>
      </w:pPr>
    </w:p>
    <w:p w:rsidR="00995F69" w:rsidRPr="007D0444" w:rsidRDefault="00995F69" w:rsidP="003232C4">
      <w:pPr>
        <w:spacing w:line="276" w:lineRule="auto"/>
        <w:rPr>
          <w:rFonts w:ascii="Times New Roman" w:hAnsi="Times New Roman"/>
          <w:sz w:val="24"/>
          <w:szCs w:val="24"/>
        </w:rPr>
      </w:pPr>
      <w:r w:rsidRPr="007B43D0">
        <w:rPr>
          <w:rFonts w:ascii="Times New Roman" w:hAnsi="Times New Roman"/>
          <w:sz w:val="24"/>
          <w:szCs w:val="24"/>
        </w:rPr>
        <w:t xml:space="preserve">Le 16 mars 2011, le Gouvernement du Bénin a adopté la Stratégie de Croissance pour la Réduction de la Pauvreté de la troisième génération pour la période 2011-2015. Tirant leçon de la mise en œuvre de SCRP (2007-2009), le Gouvernement a retenu un dispositif amélioré de suivi-évaluation qui met l’accent sur une forte implication des parties prenantes et un partage clair des rôles et responsabilités des acteurs. Aussi, le Gouvernement a t-il engagé plusieurs réformes pour assurer le suivi de pauvreté et des conditions de vie des ménages au Bénin. Il est abordé dans cette section: i) </w:t>
      </w:r>
      <w:r w:rsidR="00032C72">
        <w:rPr>
          <w:rFonts w:ascii="Times New Roman" w:hAnsi="Times New Roman"/>
          <w:sz w:val="24"/>
          <w:szCs w:val="24"/>
        </w:rPr>
        <w:t>L</w:t>
      </w:r>
      <w:r w:rsidR="00032C72" w:rsidRPr="007B43D0">
        <w:rPr>
          <w:rFonts w:ascii="Times New Roman" w:hAnsi="Times New Roman"/>
          <w:sz w:val="24"/>
          <w:szCs w:val="24"/>
        </w:rPr>
        <w:t xml:space="preserve">es </w:t>
      </w:r>
      <w:r w:rsidRPr="007B43D0">
        <w:rPr>
          <w:rFonts w:ascii="Times New Roman" w:hAnsi="Times New Roman"/>
          <w:sz w:val="24"/>
          <w:szCs w:val="24"/>
        </w:rPr>
        <w:t xml:space="preserve">approches méthodologiques pour le suivi de la pauvreté  au Bénin; ii) </w:t>
      </w:r>
      <w:r w:rsidR="00032C72">
        <w:rPr>
          <w:rFonts w:ascii="Times New Roman" w:hAnsi="Times New Roman"/>
          <w:sz w:val="24"/>
          <w:szCs w:val="24"/>
        </w:rPr>
        <w:t>L</w:t>
      </w:r>
      <w:r w:rsidR="0074366C" w:rsidRPr="007B43D0">
        <w:rPr>
          <w:rFonts w:ascii="Times New Roman" w:hAnsi="Times New Roman"/>
          <w:sz w:val="24"/>
          <w:szCs w:val="24"/>
        </w:rPr>
        <w:t xml:space="preserve">es </w:t>
      </w:r>
      <w:r w:rsidRPr="007B43D0">
        <w:rPr>
          <w:rFonts w:ascii="Times New Roman" w:hAnsi="Times New Roman"/>
          <w:sz w:val="24"/>
          <w:szCs w:val="24"/>
        </w:rPr>
        <w:t xml:space="preserve">enquêtes auprès des ménages au Bénin pour le suivi de la pauvreté ii) Méthodologie de calcul des indicateurs de pauvreté à partir des différentes enquêtes iii) Rappel du dispositif de suivi de la pauvreté au Bénin ; et v) </w:t>
      </w:r>
      <w:r w:rsidR="00032C72">
        <w:rPr>
          <w:rFonts w:ascii="Times New Roman" w:hAnsi="Times New Roman"/>
          <w:sz w:val="24"/>
          <w:szCs w:val="24"/>
        </w:rPr>
        <w:t>L</w:t>
      </w:r>
      <w:r w:rsidR="0074366C" w:rsidRPr="007B43D0">
        <w:rPr>
          <w:rFonts w:ascii="Times New Roman" w:hAnsi="Times New Roman"/>
          <w:sz w:val="24"/>
          <w:szCs w:val="24"/>
        </w:rPr>
        <w:t xml:space="preserve">es </w:t>
      </w:r>
      <w:r w:rsidRPr="007B43D0">
        <w:rPr>
          <w:rFonts w:ascii="Times New Roman" w:hAnsi="Times New Roman"/>
          <w:sz w:val="24"/>
          <w:szCs w:val="24"/>
        </w:rPr>
        <w:t xml:space="preserve">bonnes pratiques en matière </w:t>
      </w:r>
      <w:r w:rsidRPr="006646F8">
        <w:rPr>
          <w:rFonts w:ascii="Times New Roman" w:hAnsi="Times New Roman"/>
          <w:sz w:val="24"/>
          <w:szCs w:val="24"/>
        </w:rPr>
        <w:t>de suivi de la pauvreté au Bénin.</w:t>
      </w:r>
    </w:p>
    <w:p w:rsidR="00995F69" w:rsidRPr="007D0444" w:rsidRDefault="00995F69" w:rsidP="003232C4">
      <w:pPr>
        <w:spacing w:line="276" w:lineRule="auto"/>
        <w:rPr>
          <w:rFonts w:ascii="Times New Roman" w:hAnsi="Times New Roman"/>
          <w:sz w:val="24"/>
          <w:szCs w:val="24"/>
        </w:rPr>
      </w:pPr>
    </w:p>
    <w:p w:rsidR="00995F69" w:rsidRPr="00F305E5" w:rsidRDefault="00995F69">
      <w:pPr>
        <w:pStyle w:val="Titre2"/>
        <w:spacing w:before="0" w:after="0" w:line="276" w:lineRule="auto"/>
        <w:rPr>
          <w:rFonts w:ascii="Times New Roman" w:hAnsi="Times New Roman"/>
          <w:color w:val="31849B" w:themeColor="accent5" w:themeShade="BF"/>
          <w:sz w:val="24"/>
          <w:szCs w:val="24"/>
        </w:rPr>
      </w:pPr>
      <w:bookmarkStart w:id="210" w:name="_Toc382322964"/>
      <w:r w:rsidRPr="00F305E5">
        <w:rPr>
          <w:rFonts w:ascii="Times New Roman" w:hAnsi="Times New Roman"/>
          <w:i w:val="0"/>
          <w:color w:val="31849B" w:themeColor="accent5" w:themeShade="BF"/>
        </w:rPr>
        <w:t>7.2</w:t>
      </w:r>
      <w:r w:rsidR="0074366C">
        <w:rPr>
          <w:rFonts w:ascii="Times New Roman" w:hAnsi="Times New Roman"/>
          <w:i w:val="0"/>
          <w:color w:val="31849B" w:themeColor="accent5" w:themeShade="BF"/>
        </w:rPr>
        <w:t xml:space="preserve"> </w:t>
      </w:r>
      <w:r w:rsidRPr="00F305E5">
        <w:rPr>
          <w:rFonts w:ascii="Times New Roman" w:hAnsi="Times New Roman"/>
          <w:i w:val="0"/>
          <w:color w:val="31849B" w:themeColor="accent5" w:themeShade="BF"/>
        </w:rPr>
        <w:t xml:space="preserve">Bref rappel de l’architecture du dispositif de suivi de la Stratégie de Croissance pour la </w:t>
      </w:r>
      <w:r w:rsidR="007259DF">
        <w:rPr>
          <w:rFonts w:ascii="Times New Roman" w:hAnsi="Times New Roman"/>
          <w:i w:val="0"/>
          <w:color w:val="31849B" w:themeColor="accent5" w:themeShade="BF"/>
        </w:rPr>
        <w:t>R</w:t>
      </w:r>
      <w:r w:rsidR="007259DF" w:rsidRPr="00F305E5">
        <w:rPr>
          <w:rFonts w:ascii="Times New Roman" w:hAnsi="Times New Roman"/>
          <w:i w:val="0"/>
          <w:color w:val="31849B" w:themeColor="accent5" w:themeShade="BF"/>
        </w:rPr>
        <w:t xml:space="preserve">éduction </w:t>
      </w:r>
      <w:r w:rsidRPr="00F305E5">
        <w:rPr>
          <w:rFonts w:ascii="Times New Roman" w:hAnsi="Times New Roman"/>
          <w:i w:val="0"/>
          <w:color w:val="31849B" w:themeColor="accent5" w:themeShade="BF"/>
        </w:rPr>
        <w:t xml:space="preserve">de la </w:t>
      </w:r>
      <w:r w:rsidR="007259DF">
        <w:rPr>
          <w:rFonts w:ascii="Times New Roman" w:hAnsi="Times New Roman"/>
          <w:i w:val="0"/>
          <w:color w:val="31849B" w:themeColor="accent5" w:themeShade="BF"/>
        </w:rPr>
        <w:t>P</w:t>
      </w:r>
      <w:r w:rsidR="007259DF" w:rsidRPr="00F305E5">
        <w:rPr>
          <w:rFonts w:ascii="Times New Roman" w:hAnsi="Times New Roman"/>
          <w:i w:val="0"/>
          <w:color w:val="31849B" w:themeColor="accent5" w:themeShade="BF"/>
        </w:rPr>
        <w:t xml:space="preserve">auvreté </w:t>
      </w:r>
      <w:r w:rsidRPr="00F305E5">
        <w:rPr>
          <w:rFonts w:ascii="Times New Roman" w:hAnsi="Times New Roman"/>
          <w:i w:val="0"/>
          <w:color w:val="31849B" w:themeColor="accent5" w:themeShade="BF"/>
        </w:rPr>
        <w:t>au Bénin.</w:t>
      </w:r>
      <w:bookmarkEnd w:id="210"/>
      <w:r w:rsidRPr="00F305E5">
        <w:rPr>
          <w:rFonts w:ascii="Times New Roman" w:hAnsi="Times New Roman"/>
          <w:i w:val="0"/>
          <w:color w:val="31849B" w:themeColor="accent5" w:themeShade="BF"/>
        </w:rPr>
        <w:t> </w:t>
      </w:r>
    </w:p>
    <w:p w:rsidR="00995F69" w:rsidRDefault="00995F69" w:rsidP="003232C4">
      <w:pPr>
        <w:spacing w:line="276"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Pr>
          <w:rFonts w:ascii="Times New Roman" w:hAnsi="Times New Roman"/>
          <w:sz w:val="24"/>
          <w:szCs w:val="24"/>
        </w:rPr>
        <w:t xml:space="preserve">Le suivi de la pauvreté au Bénin est réalisé à travers le </w:t>
      </w:r>
      <w:r w:rsidRPr="007B43D0">
        <w:rPr>
          <w:rFonts w:ascii="Times New Roman" w:hAnsi="Times New Roman"/>
          <w:sz w:val="24"/>
          <w:szCs w:val="24"/>
        </w:rPr>
        <w:t>dispositif de suivi de la SCRP</w:t>
      </w:r>
      <w:r>
        <w:rPr>
          <w:rFonts w:ascii="Times New Roman" w:hAnsi="Times New Roman"/>
          <w:sz w:val="24"/>
          <w:szCs w:val="24"/>
        </w:rPr>
        <w:t>. Son objectif</w:t>
      </w:r>
      <w:r w:rsidRPr="007B43D0">
        <w:rPr>
          <w:rFonts w:ascii="Times New Roman" w:hAnsi="Times New Roman"/>
          <w:sz w:val="24"/>
          <w:szCs w:val="24"/>
        </w:rPr>
        <w:t xml:space="preserve"> est de disposer à terme d’un système national adéquat, capable de mesurer périodiquement la pertinence, l’efficacité, l’efficience et la pérennité des actions menées dans le cadre de la mise en œuvre de la SCRP. En d’autres termes, le système mis en place permettra non seulement d’obtenir une meilleure connaissance des conditions de vie des populations, mais également d’apprécier les résultats et impacts des politiques, programmes et projets de développement mis en œuvre dans le cadre de la Stratégie de Croissance pour la Réduction de la Pauvreté, en rapport avec l'environnement social, culturel, économique, politique et géographique du pays</w:t>
      </w:r>
      <w:r>
        <w:rPr>
          <w:rFonts w:ascii="Times New Roman" w:hAnsi="Times New Roman"/>
          <w:sz w:val="24"/>
          <w:szCs w:val="24"/>
        </w:rPr>
        <w:t xml:space="preserve">. Il est décliné comme ci-après : </w:t>
      </w:r>
    </w:p>
    <w:p w:rsidR="00995F69" w:rsidRDefault="00995F69" w:rsidP="003232C4">
      <w:pPr>
        <w:spacing w:line="276"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7B43D0">
        <w:rPr>
          <w:rFonts w:ascii="Times New Roman" w:hAnsi="Times New Roman"/>
          <w:b/>
          <w:sz w:val="24"/>
          <w:szCs w:val="24"/>
        </w:rPr>
        <w:t>Les structures et organes</w:t>
      </w:r>
      <w:r>
        <w:rPr>
          <w:rFonts w:ascii="Times New Roman" w:hAnsi="Times New Roman"/>
          <w:b/>
          <w:sz w:val="24"/>
          <w:szCs w:val="24"/>
        </w:rPr>
        <w:t xml:space="preserve"> : </w:t>
      </w:r>
      <w:r w:rsidRPr="007B43D0">
        <w:rPr>
          <w:rFonts w:ascii="Times New Roman" w:hAnsi="Times New Roman"/>
          <w:sz w:val="24"/>
          <w:szCs w:val="24"/>
        </w:rPr>
        <w:t>Le dispositif institutionnel de suivi de la SCRP est articulé autour de deux niveaux que sont i) le niveau stratégique et politique  et ii) le niveau technique. Des structures et organes spécifiques animent ces deux niveaux d</w:t>
      </w:r>
      <w:r>
        <w:rPr>
          <w:rFonts w:ascii="Times New Roman" w:hAnsi="Times New Roman"/>
          <w:sz w:val="24"/>
          <w:szCs w:val="24"/>
        </w:rPr>
        <w:t>u dispositif. I</w:t>
      </w:r>
      <w:r w:rsidRPr="007B43D0">
        <w:rPr>
          <w:rFonts w:ascii="Times New Roman" w:hAnsi="Times New Roman"/>
          <w:sz w:val="24"/>
          <w:szCs w:val="24"/>
        </w:rPr>
        <w:t>l s’agit de : i) un  Conseil d’orienta</w:t>
      </w:r>
      <w:r>
        <w:rPr>
          <w:rFonts w:ascii="Times New Roman" w:hAnsi="Times New Roman"/>
          <w:sz w:val="24"/>
          <w:szCs w:val="24"/>
        </w:rPr>
        <w:t xml:space="preserve">tion pour le niveau politique  </w:t>
      </w:r>
      <w:r w:rsidRPr="007B43D0">
        <w:rPr>
          <w:rFonts w:ascii="Times New Roman" w:hAnsi="Times New Roman"/>
          <w:sz w:val="24"/>
          <w:szCs w:val="24"/>
        </w:rPr>
        <w:t>et un Comité de pilotage ; des groupes technique</w:t>
      </w:r>
      <w:r>
        <w:rPr>
          <w:rFonts w:ascii="Times New Roman" w:hAnsi="Times New Roman"/>
          <w:sz w:val="24"/>
          <w:szCs w:val="24"/>
        </w:rPr>
        <w:t>s</w:t>
      </w:r>
      <w:r w:rsidRPr="007B43D0">
        <w:rPr>
          <w:rFonts w:ascii="Times New Roman" w:hAnsi="Times New Roman"/>
          <w:sz w:val="24"/>
          <w:szCs w:val="24"/>
        </w:rPr>
        <w:t xml:space="preserve"> et sectoriels, les Comités Départementaux de Suivi  et les Comités Communaux de Suivi pour le niveau technique.</w:t>
      </w:r>
    </w:p>
    <w:p w:rsidR="00995F69" w:rsidRDefault="00995F69" w:rsidP="003232C4">
      <w:pPr>
        <w:spacing w:line="276" w:lineRule="auto"/>
        <w:rPr>
          <w:rFonts w:ascii="Times New Roman" w:hAnsi="Times New Roman"/>
          <w:sz w:val="24"/>
          <w:szCs w:val="24"/>
        </w:rPr>
      </w:pPr>
      <w:r>
        <w:rPr>
          <w:rFonts w:ascii="Times New Roman" w:hAnsi="Times New Roman"/>
          <w:noProof/>
          <w:sz w:val="24"/>
          <w:szCs w:val="24"/>
          <w:lang w:eastAsia="fr-FR"/>
        </w:rPr>
        <w:drawing>
          <wp:inline distT="0" distB="0" distL="0" distR="0" wp14:anchorId="143E70B9" wp14:editId="3A771CD5">
            <wp:extent cx="6051550" cy="4385945"/>
            <wp:effectExtent l="57150" t="0" r="0" b="52705"/>
            <wp:docPr id="16" name="D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00995F69" w:rsidRDefault="00995F69" w:rsidP="003232C4">
      <w:pPr>
        <w:spacing w:line="276"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Pr>
          <w:rFonts w:ascii="Times New Roman" w:hAnsi="Times New Roman"/>
          <w:sz w:val="24"/>
          <w:szCs w:val="24"/>
        </w:rPr>
        <w:t>Source : SCRP 2009-2013</w:t>
      </w:r>
    </w:p>
    <w:p w:rsidR="00995F69" w:rsidRPr="007B43D0" w:rsidRDefault="00995F69" w:rsidP="003232C4">
      <w:pPr>
        <w:spacing w:line="276" w:lineRule="auto"/>
        <w:rPr>
          <w:rFonts w:ascii="Times New Roman" w:hAnsi="Times New Roman"/>
          <w:sz w:val="24"/>
          <w:szCs w:val="24"/>
        </w:rPr>
      </w:pPr>
    </w:p>
    <w:p w:rsidR="00995F69" w:rsidRDefault="00995F69" w:rsidP="00930D19">
      <w:pPr>
        <w:pStyle w:val="Paragraphedeliste"/>
        <w:numPr>
          <w:ilvl w:val="0"/>
          <w:numId w:val="20"/>
        </w:numPr>
        <w:spacing w:line="276" w:lineRule="auto"/>
        <w:ind w:left="0"/>
        <w:rPr>
          <w:rFonts w:ascii="Times New Roman" w:hAnsi="Times New Roman"/>
          <w:sz w:val="24"/>
          <w:szCs w:val="24"/>
        </w:rPr>
      </w:pPr>
      <w:r w:rsidRPr="006646F8">
        <w:rPr>
          <w:rFonts w:ascii="Times New Roman" w:hAnsi="Times New Roman"/>
          <w:b/>
          <w:sz w:val="24"/>
          <w:szCs w:val="24"/>
        </w:rPr>
        <w:t xml:space="preserve">Le </w:t>
      </w:r>
      <w:r w:rsidR="0074366C">
        <w:rPr>
          <w:rFonts w:ascii="Times New Roman" w:hAnsi="Times New Roman"/>
          <w:b/>
          <w:sz w:val="24"/>
          <w:szCs w:val="24"/>
        </w:rPr>
        <w:t>Comité</w:t>
      </w:r>
      <w:r w:rsidR="0074366C" w:rsidRPr="006646F8">
        <w:rPr>
          <w:rFonts w:ascii="Times New Roman" w:hAnsi="Times New Roman"/>
          <w:b/>
          <w:sz w:val="24"/>
          <w:szCs w:val="24"/>
        </w:rPr>
        <w:t xml:space="preserve"> </w:t>
      </w:r>
      <w:r w:rsidRPr="006646F8">
        <w:rPr>
          <w:rFonts w:ascii="Times New Roman" w:hAnsi="Times New Roman"/>
          <w:b/>
          <w:sz w:val="24"/>
          <w:szCs w:val="24"/>
        </w:rPr>
        <w:t>d’orientation</w:t>
      </w:r>
      <w:r w:rsidR="0074366C">
        <w:rPr>
          <w:rFonts w:ascii="Times New Roman" w:hAnsi="Times New Roman"/>
          <w:b/>
          <w:sz w:val="24"/>
          <w:szCs w:val="24"/>
        </w:rPr>
        <w:t xml:space="preserve"> </w:t>
      </w:r>
      <w:r w:rsidRPr="006646F8">
        <w:rPr>
          <w:rFonts w:ascii="Times New Roman" w:hAnsi="Times New Roman"/>
          <w:sz w:val="24"/>
          <w:szCs w:val="24"/>
        </w:rPr>
        <w:t>est la plus haute instance du dispositif. Il est chargé de donner les grandes orientations pour le suivi, la mise en œuvre et la coordination de la SCRP (2011-2015). Il est l’instance de dialogue politique entre le Gouvernement et les Partenaires Techniques et Financiers.</w:t>
      </w:r>
    </w:p>
    <w:p w:rsidR="00995F69" w:rsidRDefault="00995F69" w:rsidP="001D6886">
      <w:pPr>
        <w:pStyle w:val="Paragraphedeliste"/>
        <w:spacing w:line="240" w:lineRule="auto"/>
        <w:ind w:left="360"/>
        <w:rPr>
          <w:rFonts w:ascii="Times New Roman" w:hAnsi="Times New Roman"/>
          <w:b/>
          <w:sz w:val="24"/>
          <w:szCs w:val="24"/>
        </w:rPr>
      </w:pPr>
    </w:p>
    <w:p w:rsidR="00995F69" w:rsidRDefault="00995F69">
      <w:pPr>
        <w:spacing w:line="276" w:lineRule="auto"/>
        <w:rPr>
          <w:rFonts w:ascii="Times New Roman" w:hAnsi="Times New Roman"/>
          <w:sz w:val="24"/>
          <w:szCs w:val="24"/>
        </w:rPr>
      </w:pPr>
      <w:r w:rsidRPr="001064B7">
        <w:rPr>
          <w:rFonts w:ascii="Times New Roman" w:hAnsi="Times New Roman"/>
          <w:sz w:val="24"/>
          <w:szCs w:val="24"/>
        </w:rPr>
        <w:t>Il est composé du Ministre en charge du Développement et de la Prospective, du Ministre de l’Economie et des Finances (MEF), des Ministres en charge des départements sectoriels  et des chefs de missions diplomatiques et est présidée par le Ministre en charge du Développement et de la Prospective. Le MEF assure la</w:t>
      </w:r>
      <w:r w:rsidR="0074366C">
        <w:rPr>
          <w:rFonts w:ascii="Times New Roman" w:hAnsi="Times New Roman"/>
          <w:sz w:val="24"/>
          <w:szCs w:val="24"/>
        </w:rPr>
        <w:t xml:space="preserve"> </w:t>
      </w:r>
      <w:r w:rsidRPr="001064B7">
        <w:rPr>
          <w:rFonts w:ascii="Times New Roman" w:hAnsi="Times New Roman"/>
          <w:sz w:val="24"/>
          <w:szCs w:val="24"/>
        </w:rPr>
        <w:t>vice</w:t>
      </w:r>
      <w:r w:rsidR="007259DF">
        <w:rPr>
          <w:rFonts w:ascii="Times New Roman" w:hAnsi="Times New Roman"/>
          <w:sz w:val="24"/>
          <w:szCs w:val="24"/>
        </w:rPr>
        <w:t>-</w:t>
      </w:r>
      <w:r w:rsidRPr="001064B7">
        <w:rPr>
          <w:rFonts w:ascii="Times New Roman" w:hAnsi="Times New Roman"/>
          <w:sz w:val="24"/>
          <w:szCs w:val="24"/>
        </w:rPr>
        <w:t>présidence. La Cellule de Suivi des Programmes Economiques et Financiers joue le rôle de rapporteur de cette instance. A ce titre, elle prépare en collaboration avec les membres du comité de pilotage les sessions du comité d’orientation et tient le secrétariat des différentes sessions.</w:t>
      </w:r>
    </w:p>
    <w:p w:rsidR="00995F69" w:rsidRDefault="00995F69">
      <w:pPr>
        <w:spacing w:line="276" w:lineRule="auto"/>
        <w:rPr>
          <w:rFonts w:ascii="Times New Roman" w:hAnsi="Times New Roman"/>
          <w:sz w:val="24"/>
          <w:szCs w:val="24"/>
        </w:rPr>
      </w:pPr>
    </w:p>
    <w:p w:rsidR="00995F69" w:rsidRDefault="00995F69">
      <w:pPr>
        <w:spacing w:line="276" w:lineRule="auto"/>
        <w:rPr>
          <w:rFonts w:ascii="Times New Roman" w:hAnsi="Times New Roman"/>
          <w:sz w:val="24"/>
          <w:szCs w:val="24"/>
        </w:rPr>
      </w:pPr>
      <w:r w:rsidRPr="007B43D0">
        <w:rPr>
          <w:rFonts w:ascii="Times New Roman" w:hAnsi="Times New Roman"/>
          <w:sz w:val="24"/>
          <w:szCs w:val="24"/>
        </w:rPr>
        <w:t xml:space="preserve">Le </w:t>
      </w:r>
      <w:r w:rsidR="00A45BA1">
        <w:rPr>
          <w:rFonts w:ascii="Times New Roman" w:hAnsi="Times New Roman"/>
          <w:sz w:val="24"/>
          <w:szCs w:val="24"/>
        </w:rPr>
        <w:t>Comité</w:t>
      </w:r>
      <w:r w:rsidR="00A45BA1" w:rsidRPr="007B43D0">
        <w:rPr>
          <w:rFonts w:ascii="Times New Roman" w:hAnsi="Times New Roman"/>
          <w:sz w:val="24"/>
          <w:szCs w:val="24"/>
        </w:rPr>
        <w:t xml:space="preserve"> </w:t>
      </w:r>
      <w:r w:rsidRPr="007B43D0">
        <w:rPr>
          <w:rFonts w:ascii="Times New Roman" w:hAnsi="Times New Roman"/>
          <w:sz w:val="24"/>
          <w:szCs w:val="24"/>
        </w:rPr>
        <w:t xml:space="preserve">se réunit au moins une fois par semestre. La revue annuelle conjointe sur la SCRP constitue un moment solennel pour examiner les progrès réalisés dans la mise en œuvre de la SCRP, en présence  de tous les membres du Conseil d’orientation et du Comite de  pilotage. </w:t>
      </w:r>
    </w:p>
    <w:p w:rsidR="00995F69" w:rsidRPr="007B43D0" w:rsidRDefault="00995F69" w:rsidP="001D6886">
      <w:pPr>
        <w:spacing w:line="240" w:lineRule="auto"/>
        <w:rPr>
          <w:rFonts w:ascii="Times New Roman" w:hAnsi="Times New Roman"/>
          <w:sz w:val="24"/>
          <w:szCs w:val="24"/>
        </w:rPr>
      </w:pPr>
    </w:p>
    <w:p w:rsidR="00995F69" w:rsidRDefault="00995F69" w:rsidP="00930D19">
      <w:pPr>
        <w:pStyle w:val="Paragraphedeliste"/>
        <w:numPr>
          <w:ilvl w:val="0"/>
          <w:numId w:val="20"/>
        </w:numPr>
        <w:spacing w:line="276" w:lineRule="auto"/>
        <w:ind w:left="0"/>
        <w:rPr>
          <w:rFonts w:ascii="Times New Roman" w:hAnsi="Times New Roman"/>
          <w:sz w:val="24"/>
          <w:szCs w:val="24"/>
        </w:rPr>
      </w:pPr>
      <w:r w:rsidRPr="006646F8">
        <w:rPr>
          <w:rFonts w:ascii="Times New Roman" w:hAnsi="Times New Roman"/>
          <w:b/>
          <w:sz w:val="24"/>
          <w:szCs w:val="24"/>
        </w:rPr>
        <w:t>Le Comité de pilotage</w:t>
      </w:r>
      <w:r w:rsidRPr="006646F8">
        <w:rPr>
          <w:rFonts w:ascii="Times New Roman" w:hAnsi="Times New Roman"/>
          <w:sz w:val="24"/>
          <w:szCs w:val="24"/>
        </w:rPr>
        <w:t>  a pour mission de s’assurer de l’effectivité du suivi administratif et technique du dispositif et de la disponibilité des différents produits de suivi. Il est composé de la Cellule de Suivi des Programmes Economiques et Financiers (CSPEF), de l’Observatoire du Changement Social (OCS), de la Direction Générale des Politiques de Développement (DGPD), de la Direction Générale des Affaires Economiques (DGAE) et de l’Institut National de la Statistique et de l’Analyse Economique (INSAE). La CSPEF en assure le secrétariat permanent et organise le fonctionnement du comité par rapport aux tâches spécifiques ci-après : i) la coordination du suivi du SCRP (suivi administratif) en rapport étroit avec les ministères ; ii) la coordination du suivi technique ; iii) l’animation du processus participatif autour de la SCRP (2011-2015) entre les parties prenantes, notamment l’administration, le secteur privé et la société civile, ainsi que les Partenaires Techniques et Financiers ; vi) la préparation des rapports annuels de suivi de l’ensemble de la SCRP.</w:t>
      </w:r>
    </w:p>
    <w:p w:rsidR="00995F69" w:rsidRDefault="00995F69" w:rsidP="001D6886">
      <w:pPr>
        <w:spacing w:line="240" w:lineRule="auto"/>
        <w:rPr>
          <w:rFonts w:ascii="Times New Roman" w:hAnsi="Times New Roman"/>
          <w:sz w:val="24"/>
          <w:szCs w:val="24"/>
        </w:rPr>
      </w:pPr>
    </w:p>
    <w:p w:rsidR="00995F69" w:rsidRPr="007B43D0" w:rsidRDefault="00995F69" w:rsidP="003232C4">
      <w:pPr>
        <w:spacing w:line="276" w:lineRule="auto"/>
        <w:rPr>
          <w:rFonts w:ascii="Times New Roman" w:hAnsi="Times New Roman"/>
          <w:sz w:val="24"/>
          <w:szCs w:val="24"/>
        </w:rPr>
      </w:pPr>
      <w:r w:rsidRPr="007B43D0">
        <w:rPr>
          <w:rFonts w:ascii="Times New Roman" w:hAnsi="Times New Roman"/>
          <w:sz w:val="24"/>
          <w:szCs w:val="24"/>
        </w:rPr>
        <w:t>Par ailleurs, pour le suivi technique de la stratégie, le comité de pilotage devra travailler en étroite collaboration avec l</w:t>
      </w:r>
      <w:r>
        <w:rPr>
          <w:rFonts w:ascii="Times New Roman" w:hAnsi="Times New Roman"/>
          <w:sz w:val="24"/>
          <w:szCs w:val="24"/>
        </w:rPr>
        <w:t>e groupe technique Gouvernement</w:t>
      </w:r>
      <w:r w:rsidRPr="007B43D0">
        <w:rPr>
          <w:rFonts w:ascii="Times New Roman" w:hAnsi="Times New Roman"/>
          <w:sz w:val="24"/>
          <w:szCs w:val="24"/>
        </w:rPr>
        <w:t>–</w:t>
      </w:r>
      <w:r w:rsidR="00A45BA1">
        <w:rPr>
          <w:rFonts w:ascii="Times New Roman" w:hAnsi="Times New Roman"/>
          <w:sz w:val="24"/>
          <w:szCs w:val="24"/>
        </w:rPr>
        <w:t>P</w:t>
      </w:r>
      <w:r w:rsidR="00A45BA1" w:rsidRPr="007B43D0">
        <w:rPr>
          <w:rFonts w:ascii="Times New Roman" w:hAnsi="Times New Roman"/>
          <w:sz w:val="24"/>
          <w:szCs w:val="24"/>
        </w:rPr>
        <w:t>artenaire</w:t>
      </w:r>
      <w:r w:rsidR="00A45BA1">
        <w:rPr>
          <w:rFonts w:ascii="Times New Roman" w:hAnsi="Times New Roman"/>
          <w:sz w:val="24"/>
          <w:szCs w:val="24"/>
        </w:rPr>
        <w:t>s</w:t>
      </w:r>
      <w:r w:rsidR="00A45BA1" w:rsidRPr="007B43D0">
        <w:rPr>
          <w:rFonts w:ascii="Times New Roman" w:hAnsi="Times New Roman"/>
          <w:sz w:val="24"/>
          <w:szCs w:val="24"/>
        </w:rPr>
        <w:t xml:space="preserve"> </w:t>
      </w:r>
      <w:r w:rsidRPr="007B43D0">
        <w:rPr>
          <w:rFonts w:ascii="Times New Roman" w:hAnsi="Times New Roman"/>
          <w:sz w:val="24"/>
          <w:szCs w:val="24"/>
        </w:rPr>
        <w:t>sur le suivi de la SCRP et l’efficacité de l’aide au développement, et les acteurs de la société civile.</w:t>
      </w:r>
    </w:p>
    <w:p w:rsidR="00995F69" w:rsidRPr="007B43D0" w:rsidRDefault="00995F69" w:rsidP="001D6886">
      <w:pPr>
        <w:spacing w:line="240" w:lineRule="auto"/>
        <w:rPr>
          <w:rFonts w:ascii="Times New Roman" w:hAnsi="Times New Roman"/>
          <w:sz w:val="24"/>
          <w:szCs w:val="24"/>
        </w:rPr>
      </w:pPr>
    </w:p>
    <w:p w:rsidR="00995F69" w:rsidRDefault="00995F69" w:rsidP="00930D19">
      <w:pPr>
        <w:pStyle w:val="Paragraphedeliste"/>
        <w:numPr>
          <w:ilvl w:val="0"/>
          <w:numId w:val="20"/>
        </w:numPr>
        <w:spacing w:line="276" w:lineRule="auto"/>
        <w:ind w:left="0"/>
        <w:rPr>
          <w:rFonts w:ascii="Times New Roman" w:hAnsi="Times New Roman"/>
          <w:sz w:val="24"/>
          <w:szCs w:val="24"/>
        </w:rPr>
      </w:pPr>
      <w:r w:rsidRPr="006646F8">
        <w:rPr>
          <w:rFonts w:ascii="Times New Roman" w:hAnsi="Times New Roman"/>
          <w:b/>
          <w:sz w:val="24"/>
          <w:szCs w:val="24"/>
        </w:rPr>
        <w:t xml:space="preserve">Les Groupes Techniques Thématiques et sectoriels sont des groupes conjoints </w:t>
      </w:r>
      <w:r w:rsidR="007259DF">
        <w:rPr>
          <w:rFonts w:ascii="Times New Roman" w:hAnsi="Times New Roman"/>
          <w:b/>
          <w:sz w:val="24"/>
          <w:szCs w:val="24"/>
        </w:rPr>
        <w:t>G</w:t>
      </w:r>
      <w:r w:rsidR="007259DF" w:rsidRPr="006646F8">
        <w:rPr>
          <w:rFonts w:ascii="Times New Roman" w:hAnsi="Times New Roman"/>
          <w:b/>
          <w:sz w:val="24"/>
          <w:szCs w:val="24"/>
        </w:rPr>
        <w:t>ouvernement</w:t>
      </w:r>
      <w:r w:rsidR="007D24F1">
        <w:rPr>
          <w:rFonts w:ascii="Times New Roman" w:hAnsi="Times New Roman"/>
          <w:b/>
          <w:sz w:val="24"/>
          <w:szCs w:val="24"/>
        </w:rPr>
        <w:t>-</w:t>
      </w:r>
      <w:r w:rsidR="007259DF">
        <w:rPr>
          <w:rFonts w:ascii="Times New Roman" w:hAnsi="Times New Roman"/>
          <w:b/>
          <w:sz w:val="24"/>
          <w:szCs w:val="24"/>
        </w:rPr>
        <w:t>P</w:t>
      </w:r>
      <w:r w:rsidR="007259DF" w:rsidRPr="006646F8">
        <w:rPr>
          <w:rFonts w:ascii="Times New Roman" w:hAnsi="Times New Roman"/>
          <w:b/>
          <w:sz w:val="24"/>
          <w:szCs w:val="24"/>
        </w:rPr>
        <w:t xml:space="preserve">artenaires </w:t>
      </w:r>
      <w:r w:rsidRPr="006646F8">
        <w:rPr>
          <w:rFonts w:ascii="Times New Roman" w:hAnsi="Times New Roman"/>
          <w:b/>
          <w:sz w:val="24"/>
          <w:szCs w:val="24"/>
        </w:rPr>
        <w:t xml:space="preserve">au niveau des secteurs. </w:t>
      </w:r>
      <w:r w:rsidRPr="006646F8">
        <w:rPr>
          <w:rFonts w:ascii="Times New Roman" w:hAnsi="Times New Roman"/>
          <w:sz w:val="24"/>
          <w:szCs w:val="24"/>
        </w:rPr>
        <w:t xml:space="preserve">Les acteurs de la société civile active dans chaque secteur pourront être associés aux travaux des groupes sectoriels. Les groupes animent le dialogue politique autour de la SCRP au niveau sectoriel.  De manière spécifique les groupes auront à :(i) partager des informations sur les activités menées ou à mener dans le secteur concerné ; (ii) impulser la coordination, l'harmonisation et l'alignement des actions : </w:t>
      </w:r>
      <w:r w:rsidR="007D24F1">
        <w:rPr>
          <w:rFonts w:ascii="Times New Roman" w:hAnsi="Times New Roman"/>
          <w:sz w:val="24"/>
          <w:szCs w:val="24"/>
        </w:rPr>
        <w:t>(</w:t>
      </w:r>
      <w:r w:rsidRPr="006646F8">
        <w:rPr>
          <w:rFonts w:ascii="Times New Roman" w:hAnsi="Times New Roman"/>
          <w:sz w:val="24"/>
          <w:szCs w:val="24"/>
        </w:rPr>
        <w:t xml:space="preserve">iii) harmoniser les outils de programmation, planification, budgétisation et suivi-évaluation du secteur y compris les indicateurs de suivi - évaluation ; (vii) </w:t>
      </w:r>
      <w:r w:rsidR="007D24F1">
        <w:rPr>
          <w:rFonts w:ascii="Times New Roman" w:hAnsi="Times New Roman"/>
          <w:sz w:val="24"/>
          <w:szCs w:val="24"/>
        </w:rPr>
        <w:t>o</w:t>
      </w:r>
      <w:r w:rsidRPr="006646F8">
        <w:rPr>
          <w:rFonts w:ascii="Times New Roman" w:hAnsi="Times New Roman"/>
          <w:sz w:val="24"/>
          <w:szCs w:val="24"/>
        </w:rPr>
        <w:t xml:space="preserve">rganiser à bonne date les revues sectorielles </w:t>
      </w:r>
      <w:r w:rsidR="007259DF">
        <w:rPr>
          <w:rFonts w:ascii="Times New Roman" w:hAnsi="Times New Roman"/>
          <w:sz w:val="24"/>
          <w:szCs w:val="24"/>
        </w:rPr>
        <w:t>G</w:t>
      </w:r>
      <w:r w:rsidR="007259DF" w:rsidRPr="006646F8">
        <w:rPr>
          <w:rFonts w:ascii="Times New Roman" w:hAnsi="Times New Roman"/>
          <w:sz w:val="24"/>
          <w:szCs w:val="24"/>
        </w:rPr>
        <w:t xml:space="preserve">ouvernement </w:t>
      </w:r>
      <w:r w:rsidRPr="006646F8">
        <w:rPr>
          <w:rFonts w:ascii="Times New Roman" w:hAnsi="Times New Roman"/>
          <w:sz w:val="24"/>
          <w:szCs w:val="24"/>
        </w:rPr>
        <w:t xml:space="preserve">- </w:t>
      </w:r>
      <w:r w:rsidR="007259DF">
        <w:rPr>
          <w:rFonts w:ascii="Times New Roman" w:hAnsi="Times New Roman"/>
          <w:sz w:val="24"/>
          <w:szCs w:val="24"/>
        </w:rPr>
        <w:t>P</w:t>
      </w:r>
      <w:r w:rsidR="007259DF" w:rsidRPr="006646F8">
        <w:rPr>
          <w:rFonts w:ascii="Times New Roman" w:hAnsi="Times New Roman"/>
          <w:sz w:val="24"/>
          <w:szCs w:val="24"/>
        </w:rPr>
        <w:t>artenaires</w:t>
      </w:r>
      <w:r w:rsidRPr="006646F8">
        <w:rPr>
          <w:rFonts w:ascii="Times New Roman" w:hAnsi="Times New Roman"/>
          <w:sz w:val="24"/>
          <w:szCs w:val="24"/>
        </w:rPr>
        <w:t xml:space="preserve">. </w:t>
      </w:r>
    </w:p>
    <w:p w:rsidR="00995F69" w:rsidRDefault="00995F69" w:rsidP="001D6886">
      <w:pPr>
        <w:pStyle w:val="Paragraphedeliste"/>
        <w:spacing w:line="240" w:lineRule="auto"/>
        <w:rPr>
          <w:rFonts w:ascii="Times New Roman" w:hAnsi="Times New Roman"/>
          <w:b/>
          <w:sz w:val="24"/>
          <w:szCs w:val="24"/>
        </w:rPr>
      </w:pPr>
    </w:p>
    <w:p w:rsidR="00995F69" w:rsidRDefault="00995F69" w:rsidP="00930D19">
      <w:pPr>
        <w:pStyle w:val="Paragraphedeliste"/>
        <w:numPr>
          <w:ilvl w:val="0"/>
          <w:numId w:val="20"/>
        </w:numPr>
        <w:spacing w:line="276" w:lineRule="auto"/>
        <w:ind w:left="0"/>
        <w:rPr>
          <w:rFonts w:ascii="Times New Roman" w:hAnsi="Times New Roman"/>
          <w:b/>
          <w:sz w:val="24"/>
          <w:szCs w:val="24"/>
        </w:rPr>
      </w:pPr>
      <w:r w:rsidRPr="006646F8">
        <w:rPr>
          <w:rFonts w:ascii="Times New Roman" w:hAnsi="Times New Roman"/>
          <w:b/>
          <w:sz w:val="24"/>
          <w:szCs w:val="24"/>
        </w:rPr>
        <w:t xml:space="preserve">Les groupes sont au nombre de douze au niveau sectoriel et deux groupes de coordination. Ils sont structurés autour des axes opérationnels de la SCRP. Les deux groupes de coordination sont : </w:t>
      </w:r>
    </w:p>
    <w:p w:rsidR="00995F69" w:rsidRPr="007B43D0" w:rsidRDefault="00995F69" w:rsidP="001D6886">
      <w:pPr>
        <w:spacing w:line="240" w:lineRule="auto"/>
        <w:rPr>
          <w:rFonts w:ascii="Times New Roman" w:hAnsi="Times New Roman"/>
          <w:sz w:val="24"/>
          <w:szCs w:val="24"/>
          <w:lang w:val="fr-CA"/>
        </w:rPr>
      </w:pPr>
    </w:p>
    <w:p w:rsidR="00995F69" w:rsidRDefault="00995F69" w:rsidP="00930D19">
      <w:pPr>
        <w:pStyle w:val="Paragraphedeliste"/>
        <w:numPr>
          <w:ilvl w:val="0"/>
          <w:numId w:val="20"/>
        </w:numPr>
        <w:spacing w:line="276" w:lineRule="auto"/>
        <w:ind w:left="0"/>
        <w:rPr>
          <w:rFonts w:ascii="Times New Roman" w:hAnsi="Times New Roman"/>
          <w:sz w:val="24"/>
          <w:szCs w:val="24"/>
        </w:rPr>
      </w:pPr>
      <w:r w:rsidRPr="006646F8">
        <w:rPr>
          <w:rFonts w:ascii="Times New Roman" w:hAnsi="Times New Roman"/>
          <w:b/>
          <w:sz w:val="24"/>
          <w:szCs w:val="24"/>
        </w:rPr>
        <w:t xml:space="preserve">Groupe suivi évaluation SCRP et efficacité de l’aide : </w:t>
      </w:r>
      <w:r w:rsidRPr="006646F8">
        <w:rPr>
          <w:rFonts w:ascii="Times New Roman" w:hAnsi="Times New Roman"/>
          <w:sz w:val="24"/>
          <w:szCs w:val="24"/>
        </w:rPr>
        <w:t>il travaille en étroite collaboration avec le comité de pilotage de la SCRP, il est chargé de la coordination dans la mise en œuvre du dispositif de suivi de la SCRP et de la mise en œuvre de l’agenda pour l’efficacité de l’aide, notamment au suivi du nouveau partenariat de Busan pour l’efficacité du développement. Il veille à l’organisation de l’organisation de la revue conjointe sur la SCRP.</w:t>
      </w:r>
    </w:p>
    <w:p w:rsidR="00995F69" w:rsidRDefault="00995F69" w:rsidP="001D6886">
      <w:pPr>
        <w:pStyle w:val="Paragraphedeliste"/>
        <w:spacing w:line="240" w:lineRule="auto"/>
        <w:rPr>
          <w:rFonts w:ascii="Times New Roman" w:hAnsi="Times New Roman"/>
          <w:b/>
          <w:sz w:val="24"/>
          <w:szCs w:val="24"/>
        </w:rPr>
      </w:pPr>
    </w:p>
    <w:p w:rsidR="00995F69" w:rsidRDefault="00995F69" w:rsidP="00930D19">
      <w:pPr>
        <w:pStyle w:val="Paragraphedeliste"/>
        <w:numPr>
          <w:ilvl w:val="0"/>
          <w:numId w:val="20"/>
        </w:numPr>
        <w:spacing w:line="276" w:lineRule="auto"/>
        <w:ind w:left="0"/>
        <w:rPr>
          <w:rFonts w:ascii="Times New Roman" w:hAnsi="Times New Roman"/>
          <w:b/>
          <w:sz w:val="24"/>
          <w:szCs w:val="24"/>
        </w:rPr>
      </w:pPr>
      <w:r w:rsidRPr="006646F8">
        <w:rPr>
          <w:rFonts w:ascii="Times New Roman" w:hAnsi="Times New Roman"/>
          <w:b/>
          <w:sz w:val="24"/>
          <w:szCs w:val="24"/>
        </w:rPr>
        <w:t xml:space="preserve">Macroéconomie et Gestion des finances Publiques : </w:t>
      </w:r>
      <w:r w:rsidRPr="006646F8">
        <w:rPr>
          <w:rFonts w:ascii="Times New Roman" w:hAnsi="Times New Roman"/>
          <w:sz w:val="24"/>
          <w:szCs w:val="24"/>
        </w:rPr>
        <w:t xml:space="preserve">il est chargé du suivi des indicateurs macroéconomique et budgétaires, et de la mise en œuvre du plan d’action pour l’amélioration de la gestion des finances Publiques. Les douze groupes sectoriels : i) éducation; ii) santé; iii) Agriculture; iv) eau et assainissement de base; v) Décentralisation déconcentration et Aménagement du territoire; vi) genre et protection sociale; vii) environnement; viii) réformes administrative, fonction publique et lutte contre la corruption; ix) justice et </w:t>
      </w:r>
      <w:r w:rsidR="007259DF" w:rsidRPr="006646F8">
        <w:rPr>
          <w:rFonts w:ascii="Times New Roman" w:hAnsi="Times New Roman"/>
          <w:sz w:val="24"/>
          <w:szCs w:val="24"/>
        </w:rPr>
        <w:t>r</w:t>
      </w:r>
      <w:r w:rsidR="007259DF">
        <w:rPr>
          <w:rFonts w:ascii="Times New Roman" w:hAnsi="Times New Roman"/>
          <w:sz w:val="24"/>
          <w:szCs w:val="24"/>
        </w:rPr>
        <w:t>é</w:t>
      </w:r>
      <w:r w:rsidR="007259DF" w:rsidRPr="006646F8">
        <w:rPr>
          <w:rFonts w:ascii="Times New Roman" w:hAnsi="Times New Roman"/>
          <w:sz w:val="24"/>
          <w:szCs w:val="24"/>
        </w:rPr>
        <w:t xml:space="preserve">formes </w:t>
      </w:r>
      <w:r w:rsidRPr="006646F8">
        <w:rPr>
          <w:rFonts w:ascii="Times New Roman" w:hAnsi="Times New Roman"/>
          <w:sz w:val="24"/>
          <w:szCs w:val="24"/>
        </w:rPr>
        <w:t>judiciaires; x) Transport, xi) Energie; x</w:t>
      </w:r>
      <w:r w:rsidR="00A45BA1">
        <w:rPr>
          <w:rFonts w:ascii="Times New Roman" w:hAnsi="Times New Roman"/>
          <w:sz w:val="24"/>
          <w:szCs w:val="24"/>
        </w:rPr>
        <w:t>ii</w:t>
      </w:r>
      <w:r w:rsidRPr="006646F8">
        <w:rPr>
          <w:rFonts w:ascii="Times New Roman" w:hAnsi="Times New Roman"/>
          <w:sz w:val="24"/>
          <w:szCs w:val="24"/>
        </w:rPr>
        <w:t>) secteur privé.  Les groupes sont présidés par la partie gouvernementale, le chef de file des partenaires du groupe en assure la facilitation, les DPP en assurent le rapportage.</w:t>
      </w:r>
    </w:p>
    <w:p w:rsidR="00995F69" w:rsidRPr="007B43D0" w:rsidRDefault="00995F69" w:rsidP="001D6886">
      <w:pPr>
        <w:spacing w:line="240" w:lineRule="auto"/>
        <w:rPr>
          <w:rFonts w:ascii="Times New Roman" w:hAnsi="Times New Roman"/>
          <w:b/>
          <w:bCs/>
          <w:sz w:val="24"/>
          <w:szCs w:val="24"/>
          <w:lang w:val="fr-CA"/>
        </w:rPr>
      </w:pPr>
    </w:p>
    <w:p w:rsidR="00995F69" w:rsidRDefault="00995F69" w:rsidP="00930D19">
      <w:pPr>
        <w:pStyle w:val="Paragraphedeliste"/>
        <w:numPr>
          <w:ilvl w:val="0"/>
          <w:numId w:val="20"/>
        </w:numPr>
        <w:spacing w:line="276" w:lineRule="auto"/>
        <w:ind w:left="0"/>
        <w:rPr>
          <w:rFonts w:ascii="Times New Roman" w:hAnsi="Times New Roman"/>
          <w:sz w:val="24"/>
          <w:szCs w:val="24"/>
        </w:rPr>
      </w:pPr>
      <w:r w:rsidRPr="006646F8">
        <w:rPr>
          <w:rFonts w:ascii="Times New Roman" w:hAnsi="Times New Roman"/>
          <w:b/>
          <w:sz w:val="24"/>
          <w:szCs w:val="24"/>
        </w:rPr>
        <w:t xml:space="preserve">Les CDS et CCS : </w:t>
      </w:r>
      <w:r w:rsidRPr="006646F8">
        <w:rPr>
          <w:rFonts w:ascii="Times New Roman" w:hAnsi="Times New Roman"/>
          <w:sz w:val="24"/>
          <w:szCs w:val="24"/>
        </w:rPr>
        <w:t>Il est préconisé que l</w:t>
      </w:r>
      <w:r>
        <w:rPr>
          <w:rFonts w:ascii="Times New Roman" w:hAnsi="Times New Roman"/>
          <w:sz w:val="24"/>
          <w:szCs w:val="24"/>
        </w:rPr>
        <w:t xml:space="preserve">e dispositif de suivi </w:t>
      </w:r>
      <w:r w:rsidRPr="006646F8">
        <w:rPr>
          <w:rFonts w:ascii="Times New Roman" w:hAnsi="Times New Roman"/>
          <w:sz w:val="24"/>
          <w:szCs w:val="24"/>
        </w:rPr>
        <w:t>soit renforcé par le fonctionnement effectif des Comités Départementaux de Suivi (CDS) et les Comités Communaux de Suivi (CCS). Aussi, ce suivi décentralisé devra-t-il internaliser dans une vision de cohérence des actions, les plans de développement communaux de deuxième génération.  Ces instances assureront le dialogue politique au niveau décentralisé.</w:t>
      </w:r>
    </w:p>
    <w:p w:rsidR="00995F69" w:rsidRDefault="00995F69" w:rsidP="001D6886">
      <w:pPr>
        <w:pStyle w:val="Paragraphedeliste"/>
        <w:spacing w:line="240" w:lineRule="auto"/>
        <w:rPr>
          <w:rFonts w:ascii="Times New Roman" w:hAnsi="Times New Roman"/>
          <w:sz w:val="24"/>
          <w:szCs w:val="24"/>
        </w:rPr>
      </w:pPr>
    </w:p>
    <w:p w:rsidR="00995F69" w:rsidRDefault="00995F69">
      <w:pPr>
        <w:spacing w:line="276" w:lineRule="auto"/>
        <w:rPr>
          <w:rFonts w:ascii="Times New Roman" w:hAnsi="Times New Roman"/>
          <w:sz w:val="24"/>
          <w:szCs w:val="24"/>
        </w:rPr>
      </w:pPr>
      <w:r w:rsidRPr="001064B7">
        <w:rPr>
          <w:rFonts w:ascii="Times New Roman" w:hAnsi="Times New Roman"/>
          <w:sz w:val="24"/>
          <w:szCs w:val="24"/>
        </w:rPr>
        <w:t>Les  Comités Départementaux de Suivi (CDS) ont pour mission d’assurer le suivi de la mise en œuvre des programmes d’actions départementaux, la collecte et l’analyse des données statistiques sectorielles du département. Ils sont présidés par les Préfets des Départements et leur secrétariat est assuré par les Directeurs Départementaux du Développement.</w:t>
      </w:r>
    </w:p>
    <w:p w:rsidR="00995F69" w:rsidRDefault="00995F69" w:rsidP="001D6886">
      <w:pPr>
        <w:pStyle w:val="Paragraphedeliste"/>
        <w:spacing w:line="240" w:lineRule="auto"/>
        <w:rPr>
          <w:rFonts w:ascii="Times New Roman" w:hAnsi="Times New Roman"/>
          <w:sz w:val="24"/>
          <w:szCs w:val="24"/>
        </w:rPr>
      </w:pPr>
    </w:p>
    <w:p w:rsidR="00995F69" w:rsidRDefault="00995F69">
      <w:pPr>
        <w:spacing w:line="276" w:lineRule="auto"/>
        <w:rPr>
          <w:rFonts w:ascii="Times New Roman" w:hAnsi="Times New Roman"/>
          <w:sz w:val="24"/>
          <w:szCs w:val="24"/>
        </w:rPr>
      </w:pPr>
      <w:r w:rsidRPr="001064B7">
        <w:rPr>
          <w:rFonts w:ascii="Times New Roman" w:hAnsi="Times New Roman"/>
          <w:sz w:val="24"/>
          <w:szCs w:val="24"/>
        </w:rPr>
        <w:t xml:space="preserve">Le  Comité Communal de Suivi (CCS) est présidé par le Maire et a pour mission d’assurer la collecte des données statistiques de la commune, sous la supervision des Comités </w:t>
      </w:r>
      <w:r w:rsidR="007259DF">
        <w:rPr>
          <w:rFonts w:ascii="Times New Roman" w:hAnsi="Times New Roman"/>
          <w:sz w:val="24"/>
          <w:szCs w:val="24"/>
        </w:rPr>
        <w:t>D</w:t>
      </w:r>
      <w:r w:rsidR="007259DF" w:rsidRPr="001064B7">
        <w:rPr>
          <w:rFonts w:ascii="Times New Roman" w:hAnsi="Times New Roman"/>
          <w:sz w:val="24"/>
          <w:szCs w:val="24"/>
        </w:rPr>
        <w:t xml:space="preserve">épartementaux </w:t>
      </w:r>
      <w:r w:rsidRPr="001064B7">
        <w:rPr>
          <w:rFonts w:ascii="Times New Roman" w:hAnsi="Times New Roman"/>
          <w:sz w:val="24"/>
          <w:szCs w:val="24"/>
        </w:rPr>
        <w:t>de Suivi. Les CCS se réunissent une fois par trimestre et les comptes rendus de leurs travaux, de même que le rapport trimestriel de mise en œuvre de la SCRP en cohérence avec le Plan de Développement Communal (PDC), seront adressés au Préfet du Département pour prise en compte dans le rapport départemental.</w:t>
      </w:r>
    </w:p>
    <w:p w:rsidR="00995F69" w:rsidRDefault="00995F69" w:rsidP="001D6886">
      <w:pPr>
        <w:pStyle w:val="Paragraphedeliste"/>
        <w:spacing w:line="240" w:lineRule="auto"/>
        <w:rPr>
          <w:rFonts w:ascii="Times New Roman" w:hAnsi="Times New Roman"/>
          <w:sz w:val="24"/>
          <w:szCs w:val="24"/>
        </w:rPr>
      </w:pPr>
    </w:p>
    <w:p w:rsidR="00995F69" w:rsidRDefault="00995F69">
      <w:pPr>
        <w:spacing w:line="276" w:lineRule="auto"/>
        <w:rPr>
          <w:rFonts w:ascii="Times New Roman" w:hAnsi="Times New Roman"/>
          <w:sz w:val="24"/>
          <w:szCs w:val="24"/>
        </w:rPr>
      </w:pPr>
      <w:r w:rsidRPr="001064B7">
        <w:rPr>
          <w:rFonts w:ascii="Times New Roman" w:hAnsi="Times New Roman"/>
          <w:sz w:val="24"/>
          <w:szCs w:val="24"/>
        </w:rPr>
        <w:t xml:space="preserve">Les CDS et les CCS seront appuyés techniquement par la Délégation à l’Aménagement du Territoire (DAT) et la Direction Générale de la </w:t>
      </w:r>
      <w:r w:rsidR="007259DF">
        <w:rPr>
          <w:rFonts w:ascii="Times New Roman" w:hAnsi="Times New Roman"/>
          <w:sz w:val="24"/>
          <w:szCs w:val="24"/>
        </w:rPr>
        <w:t>D</w:t>
      </w:r>
      <w:r w:rsidR="007259DF" w:rsidRPr="001064B7">
        <w:rPr>
          <w:rFonts w:ascii="Times New Roman" w:hAnsi="Times New Roman"/>
          <w:sz w:val="24"/>
          <w:szCs w:val="24"/>
        </w:rPr>
        <w:t xml:space="preserve">écentralisation </w:t>
      </w:r>
      <w:r w:rsidRPr="001064B7">
        <w:rPr>
          <w:rFonts w:ascii="Times New Roman" w:hAnsi="Times New Roman"/>
          <w:sz w:val="24"/>
          <w:szCs w:val="24"/>
        </w:rPr>
        <w:t xml:space="preserve">et de la </w:t>
      </w:r>
      <w:r w:rsidR="007259DF">
        <w:rPr>
          <w:rFonts w:ascii="Times New Roman" w:hAnsi="Times New Roman"/>
          <w:sz w:val="24"/>
          <w:szCs w:val="24"/>
        </w:rPr>
        <w:t>G</w:t>
      </w:r>
      <w:r w:rsidR="007259DF" w:rsidRPr="001064B7">
        <w:rPr>
          <w:rFonts w:ascii="Times New Roman" w:hAnsi="Times New Roman"/>
          <w:sz w:val="24"/>
          <w:szCs w:val="24"/>
        </w:rPr>
        <w:t xml:space="preserve">ouvernance </w:t>
      </w:r>
      <w:r w:rsidR="007259DF">
        <w:rPr>
          <w:rFonts w:ascii="Times New Roman" w:hAnsi="Times New Roman"/>
          <w:sz w:val="24"/>
          <w:szCs w:val="24"/>
        </w:rPr>
        <w:t>L</w:t>
      </w:r>
      <w:r w:rsidR="007259DF" w:rsidRPr="001064B7">
        <w:rPr>
          <w:rFonts w:ascii="Times New Roman" w:hAnsi="Times New Roman"/>
          <w:sz w:val="24"/>
          <w:szCs w:val="24"/>
        </w:rPr>
        <w:t xml:space="preserve">ocale </w:t>
      </w:r>
      <w:r w:rsidRPr="001064B7">
        <w:rPr>
          <w:rFonts w:ascii="Times New Roman" w:hAnsi="Times New Roman"/>
          <w:sz w:val="24"/>
          <w:szCs w:val="24"/>
        </w:rPr>
        <w:t>(DGDGL).</w:t>
      </w:r>
    </w:p>
    <w:p w:rsidR="00995F69" w:rsidRDefault="00995F69" w:rsidP="001D6886">
      <w:pPr>
        <w:pStyle w:val="Paragraphedeliste"/>
        <w:spacing w:line="240" w:lineRule="auto"/>
        <w:rPr>
          <w:rFonts w:ascii="Times New Roman" w:hAnsi="Times New Roman"/>
          <w:b/>
          <w:sz w:val="24"/>
          <w:szCs w:val="24"/>
        </w:rPr>
      </w:pPr>
    </w:p>
    <w:p w:rsidR="00995F69" w:rsidRDefault="00995F69">
      <w:pPr>
        <w:spacing w:line="276" w:lineRule="auto"/>
        <w:rPr>
          <w:rFonts w:ascii="Times New Roman" w:hAnsi="Times New Roman"/>
          <w:sz w:val="24"/>
          <w:szCs w:val="24"/>
        </w:rPr>
      </w:pPr>
      <w:r w:rsidRPr="001064B7">
        <w:rPr>
          <w:rFonts w:ascii="Times New Roman" w:hAnsi="Times New Roman"/>
          <w:sz w:val="24"/>
          <w:szCs w:val="24"/>
        </w:rPr>
        <w:t xml:space="preserve">A la date d’aujourd’hui, ces structures et organes sont fonctionnels notamment les CDS et les CCS marquant ainsi un progrès important par rapport au dispositif antérieur. </w:t>
      </w:r>
    </w:p>
    <w:p w:rsidR="00995F69" w:rsidRDefault="00995F69" w:rsidP="003232C4">
      <w:pPr>
        <w:pStyle w:val="Paragraphedeliste"/>
        <w:spacing w:line="276" w:lineRule="auto"/>
        <w:rPr>
          <w:rFonts w:ascii="Times New Roman" w:hAnsi="Times New Roman"/>
          <w:sz w:val="24"/>
          <w:szCs w:val="24"/>
        </w:rPr>
      </w:pPr>
    </w:p>
    <w:p w:rsidR="00995F69" w:rsidRPr="00F305E5" w:rsidRDefault="00995F69" w:rsidP="00F305E5">
      <w:pPr>
        <w:pStyle w:val="Titre2"/>
        <w:spacing w:before="120" w:after="0" w:line="240" w:lineRule="auto"/>
        <w:rPr>
          <w:rFonts w:ascii="Times New Roman" w:hAnsi="Times New Roman"/>
          <w:b w:val="0"/>
          <w:bCs w:val="0"/>
          <w:color w:val="31849B" w:themeColor="accent5" w:themeShade="BF"/>
        </w:rPr>
      </w:pPr>
      <w:bookmarkStart w:id="211" w:name="_Toc382322965"/>
      <w:r w:rsidRPr="00F305E5">
        <w:rPr>
          <w:rFonts w:ascii="Times New Roman" w:hAnsi="Times New Roman"/>
          <w:i w:val="0"/>
          <w:color w:val="31849B" w:themeColor="accent5" w:themeShade="BF"/>
        </w:rPr>
        <w:t>7.3</w:t>
      </w:r>
      <w:r w:rsidR="0074366C">
        <w:rPr>
          <w:rFonts w:ascii="Times New Roman" w:hAnsi="Times New Roman"/>
          <w:i w:val="0"/>
          <w:color w:val="31849B" w:themeColor="accent5" w:themeShade="BF"/>
        </w:rPr>
        <w:t xml:space="preserve"> </w:t>
      </w:r>
      <w:r w:rsidR="001D6886">
        <w:rPr>
          <w:rFonts w:ascii="Times New Roman" w:hAnsi="Times New Roman"/>
          <w:i w:val="0"/>
          <w:color w:val="31849B" w:themeColor="accent5" w:themeShade="BF"/>
        </w:rPr>
        <w:t>P</w:t>
      </w:r>
      <w:r w:rsidRPr="00F305E5">
        <w:rPr>
          <w:rFonts w:ascii="Times New Roman" w:hAnsi="Times New Roman"/>
          <w:i w:val="0"/>
          <w:color w:val="31849B" w:themeColor="accent5" w:themeShade="BF"/>
        </w:rPr>
        <w:t>rincipaux produits du dispositif de suivi et d’évaluation</w:t>
      </w:r>
      <w:bookmarkEnd w:id="211"/>
    </w:p>
    <w:p w:rsidR="00F305E5" w:rsidRDefault="00F305E5" w:rsidP="003232C4">
      <w:pPr>
        <w:spacing w:line="276" w:lineRule="auto"/>
        <w:rPr>
          <w:rFonts w:ascii="Times New Roman" w:hAnsi="Times New Roman"/>
          <w:sz w:val="24"/>
          <w:szCs w:val="24"/>
        </w:rPr>
      </w:pPr>
    </w:p>
    <w:p w:rsidR="00995F69" w:rsidRPr="007B43D0" w:rsidRDefault="00995F69" w:rsidP="003232C4">
      <w:pPr>
        <w:spacing w:line="276" w:lineRule="auto"/>
        <w:rPr>
          <w:rFonts w:ascii="Times New Roman" w:hAnsi="Times New Roman"/>
          <w:sz w:val="24"/>
          <w:szCs w:val="24"/>
        </w:rPr>
      </w:pPr>
      <w:r w:rsidRPr="007B43D0">
        <w:rPr>
          <w:rFonts w:ascii="Times New Roman" w:hAnsi="Times New Roman"/>
          <w:sz w:val="24"/>
          <w:szCs w:val="24"/>
        </w:rPr>
        <w:t>Les différents produits du dispositif de suivi évaluation sont définis autour de deux systèmes, il s’agit du système de suivi et du système d’évaluation.</w:t>
      </w:r>
    </w:p>
    <w:p w:rsidR="00995F69" w:rsidRPr="007B43D0" w:rsidRDefault="00995F69" w:rsidP="001D6886">
      <w:pPr>
        <w:spacing w:line="240" w:lineRule="auto"/>
        <w:rPr>
          <w:rFonts w:ascii="Times New Roman" w:hAnsi="Times New Roman"/>
          <w:b/>
          <w:bCs/>
          <w:sz w:val="24"/>
          <w:szCs w:val="24"/>
          <w:lang w:val="fr-CA"/>
        </w:rPr>
      </w:pPr>
    </w:p>
    <w:p w:rsidR="00995F69" w:rsidRDefault="00995F69" w:rsidP="003232C4">
      <w:pPr>
        <w:spacing w:line="276" w:lineRule="auto"/>
        <w:rPr>
          <w:rFonts w:ascii="Times New Roman" w:hAnsi="Times New Roman"/>
          <w:sz w:val="24"/>
          <w:szCs w:val="24"/>
        </w:rPr>
      </w:pPr>
      <w:r w:rsidRPr="007B43D0">
        <w:rPr>
          <w:rFonts w:ascii="Times New Roman" w:hAnsi="Times New Roman"/>
          <w:b/>
          <w:bCs/>
          <w:sz w:val="24"/>
          <w:szCs w:val="24"/>
        </w:rPr>
        <w:t>Les produits du Système de suivi de la mise en œuvre</w:t>
      </w:r>
      <w:r>
        <w:rPr>
          <w:rFonts w:ascii="Times New Roman" w:hAnsi="Times New Roman"/>
          <w:b/>
          <w:bCs/>
          <w:sz w:val="24"/>
          <w:szCs w:val="24"/>
        </w:rPr>
        <w:t xml:space="preserve"> : </w:t>
      </w:r>
      <w:r w:rsidRPr="007B43D0">
        <w:rPr>
          <w:rFonts w:ascii="Times New Roman" w:hAnsi="Times New Roman"/>
          <w:sz w:val="24"/>
          <w:szCs w:val="24"/>
        </w:rPr>
        <w:t>Le système de suivi est structuré autour de deux sous systèmes : i) le suivi statistique de la pauvreté, des conditions de vie des ménages et du développement économique et social, ii) le suivi des réalisations physiques et budgétaires des projets et programmes prioritaires.</w:t>
      </w:r>
      <w:r>
        <w:rPr>
          <w:rFonts w:ascii="Times New Roman" w:hAnsi="Times New Roman"/>
          <w:sz w:val="24"/>
          <w:szCs w:val="24"/>
        </w:rPr>
        <w:t xml:space="preserve"> L’objectif visé étant le suivi de la pauvreté,  l’accent est ici mis sur les produits du premier sous-système indispensables. Il se concentre sur l’organisation</w:t>
      </w:r>
      <w:r w:rsidRPr="007B43D0">
        <w:rPr>
          <w:rFonts w:ascii="Times New Roman" w:hAnsi="Times New Roman"/>
          <w:sz w:val="24"/>
          <w:szCs w:val="24"/>
        </w:rPr>
        <w:t xml:space="preserve"> et </w:t>
      </w:r>
      <w:r>
        <w:rPr>
          <w:rFonts w:ascii="Times New Roman" w:hAnsi="Times New Roman"/>
          <w:sz w:val="24"/>
          <w:szCs w:val="24"/>
        </w:rPr>
        <w:t xml:space="preserve">la </w:t>
      </w:r>
      <w:r w:rsidRPr="007B43D0">
        <w:rPr>
          <w:rFonts w:ascii="Times New Roman" w:hAnsi="Times New Roman"/>
          <w:sz w:val="24"/>
          <w:szCs w:val="24"/>
        </w:rPr>
        <w:t>supervis</w:t>
      </w:r>
      <w:r>
        <w:rPr>
          <w:rFonts w:ascii="Times New Roman" w:hAnsi="Times New Roman"/>
          <w:sz w:val="24"/>
          <w:szCs w:val="24"/>
        </w:rPr>
        <w:t>ion des</w:t>
      </w:r>
      <w:r w:rsidRPr="007B43D0">
        <w:rPr>
          <w:rFonts w:ascii="Times New Roman" w:hAnsi="Times New Roman"/>
          <w:sz w:val="24"/>
          <w:szCs w:val="24"/>
        </w:rPr>
        <w:t xml:space="preserve"> activités de suivi du </w:t>
      </w:r>
      <w:r>
        <w:rPr>
          <w:rFonts w:ascii="Times New Roman" w:hAnsi="Times New Roman"/>
          <w:sz w:val="24"/>
          <w:szCs w:val="24"/>
        </w:rPr>
        <w:t>bien-être de la population et du développement par la collecte des données auprès des ménages, des administrations et services producteurs.</w:t>
      </w:r>
      <w:r w:rsidRPr="007B43D0">
        <w:rPr>
          <w:rFonts w:ascii="Times New Roman" w:hAnsi="Times New Roman"/>
          <w:sz w:val="24"/>
          <w:szCs w:val="24"/>
        </w:rPr>
        <w:t xml:space="preserve"> Il </w:t>
      </w:r>
      <w:r>
        <w:rPr>
          <w:rFonts w:ascii="Times New Roman" w:hAnsi="Times New Roman"/>
          <w:sz w:val="24"/>
          <w:szCs w:val="24"/>
        </w:rPr>
        <w:t>s’agit </w:t>
      </w:r>
      <w:r w:rsidR="007259DF">
        <w:rPr>
          <w:rFonts w:ascii="Times New Roman" w:hAnsi="Times New Roman"/>
          <w:sz w:val="24"/>
          <w:szCs w:val="24"/>
        </w:rPr>
        <w:t xml:space="preserve">de </w:t>
      </w:r>
      <w:r>
        <w:rPr>
          <w:rFonts w:ascii="Times New Roman" w:hAnsi="Times New Roman"/>
          <w:sz w:val="24"/>
          <w:szCs w:val="24"/>
        </w:rPr>
        <w:t xml:space="preserve">: </w:t>
      </w:r>
    </w:p>
    <w:p w:rsidR="00995F69" w:rsidRDefault="00995F69" w:rsidP="001D6886">
      <w:pPr>
        <w:spacing w:line="240" w:lineRule="auto"/>
        <w:rPr>
          <w:rFonts w:ascii="Times New Roman" w:hAnsi="Times New Roman"/>
          <w:sz w:val="24"/>
          <w:szCs w:val="24"/>
        </w:rPr>
      </w:pPr>
    </w:p>
    <w:p w:rsidR="00995F69" w:rsidRDefault="00995F69" w:rsidP="00930D19">
      <w:pPr>
        <w:pStyle w:val="Paragraphedeliste"/>
        <w:numPr>
          <w:ilvl w:val="0"/>
          <w:numId w:val="20"/>
        </w:numPr>
        <w:spacing w:line="276" w:lineRule="auto"/>
        <w:ind w:left="0"/>
        <w:rPr>
          <w:rFonts w:ascii="Times New Roman" w:hAnsi="Times New Roman"/>
          <w:sz w:val="24"/>
          <w:szCs w:val="24"/>
        </w:rPr>
      </w:pPr>
      <w:r w:rsidRPr="001064B7">
        <w:rPr>
          <w:rFonts w:ascii="Times New Roman" w:hAnsi="Times New Roman"/>
          <w:b/>
          <w:sz w:val="24"/>
          <w:szCs w:val="24"/>
        </w:rPr>
        <w:t>Actualisation du profil de pauvreté </w:t>
      </w:r>
      <w:r w:rsidRPr="001064B7">
        <w:rPr>
          <w:rFonts w:ascii="Times New Roman" w:hAnsi="Times New Roman"/>
          <w:sz w:val="24"/>
          <w:szCs w:val="24"/>
        </w:rPr>
        <w:t>: A partir des Enquêtes Modulaire</w:t>
      </w:r>
      <w:r w:rsidR="007259DF">
        <w:rPr>
          <w:rFonts w:ascii="Times New Roman" w:hAnsi="Times New Roman"/>
          <w:sz w:val="24"/>
          <w:szCs w:val="24"/>
        </w:rPr>
        <w:t>s</w:t>
      </w:r>
      <w:r w:rsidRPr="001064B7">
        <w:rPr>
          <w:rFonts w:ascii="Times New Roman" w:hAnsi="Times New Roman"/>
          <w:sz w:val="24"/>
          <w:szCs w:val="24"/>
        </w:rPr>
        <w:t xml:space="preserve"> Intégrée</w:t>
      </w:r>
      <w:r w:rsidR="007259DF">
        <w:rPr>
          <w:rFonts w:ascii="Times New Roman" w:hAnsi="Times New Roman"/>
          <w:sz w:val="24"/>
          <w:szCs w:val="24"/>
        </w:rPr>
        <w:t>s</w:t>
      </w:r>
      <w:r w:rsidRPr="001064B7">
        <w:rPr>
          <w:rFonts w:ascii="Times New Roman" w:hAnsi="Times New Roman"/>
          <w:sz w:val="24"/>
          <w:szCs w:val="24"/>
        </w:rPr>
        <w:t xml:space="preserve"> sur les Conditions de vie des ménages (EMICoV) et les enquêtes de suivi, il est actualisé chaque année, le profil de la pauvreté qui donne l’état de pauvreté  dans chaque commune. Ce profil donne les désagrégations des différents indicateurs de pauvreté par milieu de résidence et par catégories socioprofessionnelles. Cet exercice devra être élargi à l’analyse de la mobilité des ménages selon le statut de pauvreté, </w:t>
      </w:r>
      <w:r>
        <w:rPr>
          <w:rFonts w:ascii="Times New Roman" w:hAnsi="Times New Roman"/>
          <w:sz w:val="24"/>
          <w:szCs w:val="24"/>
        </w:rPr>
        <w:t xml:space="preserve">à </w:t>
      </w:r>
      <w:r w:rsidRPr="001064B7">
        <w:rPr>
          <w:rFonts w:ascii="Times New Roman" w:hAnsi="Times New Roman"/>
          <w:sz w:val="24"/>
          <w:szCs w:val="24"/>
        </w:rPr>
        <w:t>l’élaboration d</w:t>
      </w:r>
      <w:r>
        <w:rPr>
          <w:rFonts w:ascii="Times New Roman" w:hAnsi="Times New Roman"/>
          <w:sz w:val="24"/>
          <w:szCs w:val="24"/>
        </w:rPr>
        <w:t xml:space="preserve">e la cartographie des </w:t>
      </w:r>
      <w:r w:rsidRPr="001064B7">
        <w:rPr>
          <w:rFonts w:ascii="Times New Roman" w:hAnsi="Times New Roman"/>
          <w:sz w:val="24"/>
          <w:szCs w:val="24"/>
        </w:rPr>
        <w:t xml:space="preserve"> chocs auxquels les ménages sont exposés, à l’analyse des capacités des ménages à faire face aux différen</w:t>
      </w:r>
      <w:r>
        <w:rPr>
          <w:rFonts w:ascii="Times New Roman" w:hAnsi="Times New Roman"/>
          <w:sz w:val="24"/>
          <w:szCs w:val="24"/>
        </w:rPr>
        <w:t xml:space="preserve">ts chocs, </w:t>
      </w:r>
      <w:r w:rsidRPr="001064B7">
        <w:rPr>
          <w:rFonts w:ascii="Times New Roman" w:hAnsi="Times New Roman"/>
          <w:sz w:val="24"/>
          <w:szCs w:val="24"/>
        </w:rPr>
        <w:t xml:space="preserve">au profil de vulnérabilité des ménages et </w:t>
      </w:r>
      <w:r>
        <w:rPr>
          <w:rFonts w:ascii="Times New Roman" w:hAnsi="Times New Roman"/>
          <w:sz w:val="24"/>
          <w:szCs w:val="24"/>
        </w:rPr>
        <w:t xml:space="preserve">l’identification </w:t>
      </w:r>
      <w:r w:rsidRPr="001064B7">
        <w:rPr>
          <w:rFonts w:ascii="Times New Roman" w:hAnsi="Times New Roman"/>
          <w:sz w:val="24"/>
          <w:szCs w:val="24"/>
        </w:rPr>
        <w:t>des stratégies endogènes de gestion des risques. En outre</w:t>
      </w:r>
      <w:r w:rsidR="002708EC">
        <w:rPr>
          <w:rFonts w:ascii="Times New Roman" w:hAnsi="Times New Roman"/>
          <w:sz w:val="24"/>
          <w:szCs w:val="24"/>
        </w:rPr>
        <w:t>,</w:t>
      </w:r>
      <w:r w:rsidRPr="001064B7">
        <w:rPr>
          <w:rFonts w:ascii="Times New Roman" w:hAnsi="Times New Roman"/>
          <w:sz w:val="24"/>
          <w:szCs w:val="24"/>
        </w:rPr>
        <w:t xml:space="preserve"> les tendances sur les inégalités d’accès entre les sexes et les facteurs qui les déterminent devront également </w:t>
      </w:r>
      <w:r w:rsidR="00B75E53" w:rsidRPr="001064B7">
        <w:rPr>
          <w:rFonts w:ascii="Times New Roman" w:hAnsi="Times New Roman"/>
          <w:sz w:val="24"/>
          <w:szCs w:val="24"/>
        </w:rPr>
        <w:t>mérit</w:t>
      </w:r>
      <w:r w:rsidR="00B75E53">
        <w:rPr>
          <w:rFonts w:ascii="Times New Roman" w:hAnsi="Times New Roman"/>
          <w:sz w:val="24"/>
          <w:szCs w:val="24"/>
        </w:rPr>
        <w:t>er</w:t>
      </w:r>
      <w:r w:rsidR="00B75E53" w:rsidRPr="001064B7">
        <w:rPr>
          <w:rFonts w:ascii="Times New Roman" w:hAnsi="Times New Roman"/>
          <w:sz w:val="24"/>
          <w:szCs w:val="24"/>
        </w:rPr>
        <w:t xml:space="preserve"> </w:t>
      </w:r>
      <w:r w:rsidRPr="001064B7">
        <w:rPr>
          <w:rFonts w:ascii="Times New Roman" w:hAnsi="Times New Roman"/>
          <w:sz w:val="24"/>
          <w:szCs w:val="24"/>
        </w:rPr>
        <w:t xml:space="preserve">une attention particulière. Ces produits pourraient servir à une meilleure orientation des stratégies de réduction de pauvreté élaborées et à un ciblage conséquent des bénéficiaires des programmes y afférents. En effet, dans le domaine de la protection sociale, le </w:t>
      </w:r>
      <w:r w:rsidR="002708EC">
        <w:rPr>
          <w:rFonts w:ascii="Times New Roman" w:hAnsi="Times New Roman"/>
          <w:sz w:val="24"/>
          <w:szCs w:val="24"/>
        </w:rPr>
        <w:t>G</w:t>
      </w:r>
      <w:r w:rsidR="002708EC" w:rsidRPr="001064B7">
        <w:rPr>
          <w:rFonts w:ascii="Times New Roman" w:hAnsi="Times New Roman"/>
          <w:sz w:val="24"/>
          <w:szCs w:val="24"/>
        </w:rPr>
        <w:t xml:space="preserve">ouvernement </w:t>
      </w:r>
      <w:r w:rsidRPr="001064B7">
        <w:rPr>
          <w:rFonts w:ascii="Times New Roman" w:hAnsi="Times New Roman"/>
          <w:sz w:val="24"/>
          <w:szCs w:val="24"/>
        </w:rPr>
        <w:t>béninois a élaboré à travers une approche participative, une politique holistique de protection sociale prenant en compte les questions de l’assistance sociale, de l’assurance sociale, de la promotion sociale et de la réglementation, dans l’optique d’une meilleure coordination du secteur. Ainsi, l’existence des produits ci-dessus préconisés devrait constituer un élément important et indispensable de prise de décision et d’orientation dans ce secteur.</w:t>
      </w:r>
    </w:p>
    <w:p w:rsidR="00995F69" w:rsidRDefault="00995F69" w:rsidP="001D6886">
      <w:pPr>
        <w:spacing w:line="240" w:lineRule="auto"/>
        <w:rPr>
          <w:rFonts w:ascii="Times New Roman" w:hAnsi="Times New Roman"/>
          <w:sz w:val="24"/>
          <w:szCs w:val="24"/>
        </w:rPr>
      </w:pPr>
    </w:p>
    <w:p w:rsidR="00995F69" w:rsidRPr="00A12C5D" w:rsidRDefault="00995F69" w:rsidP="00930D19">
      <w:pPr>
        <w:pStyle w:val="Paragraphedeliste"/>
        <w:numPr>
          <w:ilvl w:val="0"/>
          <w:numId w:val="20"/>
        </w:numPr>
        <w:spacing w:line="276" w:lineRule="auto"/>
        <w:ind w:left="0"/>
        <w:rPr>
          <w:rFonts w:ascii="Times New Roman" w:hAnsi="Times New Roman"/>
          <w:sz w:val="24"/>
          <w:szCs w:val="24"/>
        </w:rPr>
      </w:pPr>
      <w:r w:rsidRPr="001064B7">
        <w:rPr>
          <w:rFonts w:ascii="Times New Roman" w:hAnsi="Times New Roman"/>
          <w:b/>
          <w:sz w:val="24"/>
          <w:szCs w:val="24"/>
        </w:rPr>
        <w:t>Tableaux de Bord Social (TBS) </w:t>
      </w:r>
      <w:r w:rsidRPr="001064B7">
        <w:rPr>
          <w:rFonts w:ascii="Times New Roman" w:hAnsi="Times New Roman"/>
          <w:sz w:val="24"/>
          <w:szCs w:val="24"/>
        </w:rPr>
        <w:t xml:space="preserve">: C’est un outil de pilotage qui met en évidence de façon synthétique, les indicateurs du développement social au Bénin. </w:t>
      </w:r>
      <w:r>
        <w:rPr>
          <w:rFonts w:ascii="Times New Roman" w:hAnsi="Times New Roman"/>
          <w:sz w:val="24"/>
          <w:szCs w:val="24"/>
        </w:rPr>
        <w:t xml:space="preserve">En ce sens, ils doivent </w:t>
      </w:r>
      <w:r w:rsidR="002708EC">
        <w:rPr>
          <w:rFonts w:ascii="Times New Roman" w:hAnsi="Times New Roman"/>
          <w:sz w:val="24"/>
          <w:szCs w:val="24"/>
        </w:rPr>
        <w:t xml:space="preserve">intégrer </w:t>
      </w:r>
      <w:r>
        <w:rPr>
          <w:rFonts w:ascii="Times New Roman" w:hAnsi="Times New Roman"/>
          <w:sz w:val="24"/>
          <w:szCs w:val="24"/>
        </w:rPr>
        <w:t xml:space="preserve">les éléments ci-dessus mentionnés avec un approfondissement des éléments relatifs à l’emploi et la productivité agricole qui sont mis en évidence comme des facteurs de vulnérabilité importants au Bénin. </w:t>
      </w:r>
      <w:r w:rsidRPr="001064B7">
        <w:rPr>
          <w:rFonts w:ascii="Times New Roman" w:hAnsi="Times New Roman"/>
          <w:sz w:val="24"/>
          <w:szCs w:val="24"/>
        </w:rPr>
        <w:t xml:space="preserve">Au sens large, </w:t>
      </w:r>
      <w:r>
        <w:rPr>
          <w:rFonts w:ascii="Times New Roman" w:hAnsi="Times New Roman"/>
          <w:sz w:val="24"/>
          <w:szCs w:val="24"/>
        </w:rPr>
        <w:t>ces tableaux devraient</w:t>
      </w:r>
      <w:r w:rsidRPr="001064B7">
        <w:rPr>
          <w:rFonts w:ascii="Times New Roman" w:hAnsi="Times New Roman"/>
          <w:sz w:val="24"/>
          <w:szCs w:val="24"/>
        </w:rPr>
        <w:t xml:space="preserve"> intégrer les indicateurs retenus dans le plan d’actions  relatif à la  politique holistique de protection sociale du Bénin</w:t>
      </w:r>
      <w:r>
        <w:rPr>
          <w:rFonts w:ascii="Times New Roman" w:hAnsi="Times New Roman"/>
          <w:sz w:val="24"/>
          <w:szCs w:val="24"/>
        </w:rPr>
        <w:t xml:space="preserve">. Ces tableaux sont </w:t>
      </w:r>
      <w:r w:rsidRPr="00A12C5D">
        <w:rPr>
          <w:rFonts w:ascii="Times New Roman" w:hAnsi="Times New Roman"/>
          <w:sz w:val="24"/>
          <w:szCs w:val="24"/>
        </w:rPr>
        <w:t>élaboré</w:t>
      </w:r>
      <w:r>
        <w:rPr>
          <w:rFonts w:ascii="Times New Roman" w:hAnsi="Times New Roman"/>
          <w:sz w:val="24"/>
          <w:szCs w:val="24"/>
        </w:rPr>
        <w:t>s</w:t>
      </w:r>
      <w:r w:rsidRPr="00A12C5D">
        <w:rPr>
          <w:rFonts w:ascii="Times New Roman" w:hAnsi="Times New Roman"/>
          <w:sz w:val="24"/>
          <w:szCs w:val="24"/>
        </w:rPr>
        <w:t xml:space="preserve"> chaque année par l’Institut National de la Statistique et de l’Analyse Economique</w:t>
      </w:r>
      <w:r>
        <w:rPr>
          <w:rFonts w:ascii="Times New Roman" w:hAnsi="Times New Roman"/>
          <w:sz w:val="24"/>
          <w:szCs w:val="24"/>
        </w:rPr>
        <w:t xml:space="preserve"> (INSAE) avec l’appui des directions techniques spécifiques de tous les ministères concernés.</w:t>
      </w:r>
    </w:p>
    <w:p w:rsidR="00995F69" w:rsidRPr="007B43D0" w:rsidRDefault="00995F69" w:rsidP="001D6886">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7B43D0">
        <w:rPr>
          <w:rFonts w:ascii="Times New Roman" w:hAnsi="Times New Roman"/>
          <w:b/>
          <w:bCs/>
          <w:sz w:val="24"/>
          <w:szCs w:val="24"/>
        </w:rPr>
        <w:t>Les produits du système d’évaluation</w:t>
      </w:r>
      <w:r w:rsidRPr="006646F8">
        <w:rPr>
          <w:rFonts w:ascii="Times New Roman" w:hAnsi="Times New Roman"/>
          <w:b/>
          <w:bCs/>
          <w:sz w:val="24"/>
          <w:szCs w:val="24"/>
          <w:lang w:val="fr-CA"/>
        </w:rPr>
        <w:t>.</w:t>
      </w:r>
      <w:r w:rsidRPr="007B43D0">
        <w:rPr>
          <w:rFonts w:ascii="Times New Roman" w:hAnsi="Times New Roman"/>
          <w:sz w:val="24"/>
          <w:szCs w:val="24"/>
        </w:rPr>
        <w:t xml:space="preserve">La Mission du système d’évaluation est de mesurer les effets des politiques et des actions sur les groupes cibles et sur les objectifs de développement (croissance, pauvreté et développement social). Ces évaluations permettent d’établir des liens entre l’exécution des programmes et projets, d’une part, et les résultats en termes de développement et du bien-être des groupes cibles, d’autre part. </w:t>
      </w:r>
    </w:p>
    <w:p w:rsidR="00995F69" w:rsidRDefault="00995F69" w:rsidP="003232C4">
      <w:pPr>
        <w:spacing w:line="276" w:lineRule="auto"/>
        <w:rPr>
          <w:rFonts w:ascii="Times New Roman" w:hAnsi="Times New Roman"/>
          <w:b/>
          <w:bCs/>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 xml:space="preserve">Bien </w:t>
      </w:r>
      <w:r>
        <w:rPr>
          <w:rFonts w:ascii="Times New Roman" w:hAnsi="Times New Roman"/>
          <w:sz w:val="24"/>
          <w:szCs w:val="24"/>
        </w:rPr>
        <w:t xml:space="preserve">que des résultats encourageants aient été notés dans ce domaine à travers la réalisation continue de quelques études d’impact, il reste que des efforts doivent être davantage effectués pour élargir le champ de ces études avec notamment une concentration sur les :  </w:t>
      </w:r>
    </w:p>
    <w:p w:rsidR="00995F69" w:rsidRDefault="00995F69" w:rsidP="001D6886">
      <w:pPr>
        <w:spacing w:line="240" w:lineRule="auto"/>
        <w:rPr>
          <w:rFonts w:ascii="Times New Roman" w:hAnsi="Times New Roman"/>
          <w:b/>
          <w:bCs/>
          <w:sz w:val="24"/>
          <w:szCs w:val="24"/>
        </w:rPr>
      </w:pPr>
    </w:p>
    <w:p w:rsidR="00995F69" w:rsidRDefault="00995F69" w:rsidP="00930D19">
      <w:pPr>
        <w:pStyle w:val="Paragraphedeliste"/>
        <w:numPr>
          <w:ilvl w:val="0"/>
          <w:numId w:val="14"/>
        </w:numPr>
        <w:spacing w:line="276" w:lineRule="auto"/>
        <w:rPr>
          <w:rFonts w:ascii="Times New Roman" w:hAnsi="Times New Roman"/>
          <w:sz w:val="24"/>
          <w:szCs w:val="24"/>
        </w:rPr>
      </w:pPr>
      <w:r>
        <w:rPr>
          <w:rFonts w:ascii="Times New Roman" w:hAnsi="Times New Roman"/>
          <w:sz w:val="24"/>
          <w:szCs w:val="24"/>
        </w:rPr>
        <w:t xml:space="preserve">études sélectives d’impacts des politiques et programmes sur la pauvreté </w:t>
      </w:r>
    </w:p>
    <w:p w:rsidR="00995F69" w:rsidRDefault="00995F69" w:rsidP="00930D19">
      <w:pPr>
        <w:pStyle w:val="Paragraphedeliste"/>
        <w:numPr>
          <w:ilvl w:val="0"/>
          <w:numId w:val="14"/>
        </w:numPr>
        <w:spacing w:line="276" w:lineRule="auto"/>
        <w:rPr>
          <w:rFonts w:ascii="Times New Roman" w:hAnsi="Times New Roman"/>
          <w:sz w:val="24"/>
          <w:szCs w:val="24"/>
        </w:rPr>
      </w:pPr>
      <w:r w:rsidRPr="007C4269">
        <w:rPr>
          <w:rFonts w:ascii="Times New Roman" w:hAnsi="Times New Roman"/>
          <w:sz w:val="24"/>
          <w:szCs w:val="24"/>
        </w:rPr>
        <w:t>étude</w:t>
      </w:r>
      <w:r>
        <w:rPr>
          <w:rFonts w:ascii="Times New Roman" w:hAnsi="Times New Roman"/>
          <w:sz w:val="24"/>
          <w:szCs w:val="24"/>
        </w:rPr>
        <w:t>s</w:t>
      </w:r>
      <w:r w:rsidRPr="007C4269">
        <w:rPr>
          <w:rFonts w:ascii="Times New Roman" w:hAnsi="Times New Roman"/>
          <w:sz w:val="24"/>
          <w:szCs w:val="24"/>
        </w:rPr>
        <w:t xml:space="preserve"> évaluative</w:t>
      </w:r>
      <w:r>
        <w:rPr>
          <w:rFonts w:ascii="Times New Roman" w:hAnsi="Times New Roman"/>
          <w:sz w:val="24"/>
          <w:szCs w:val="24"/>
        </w:rPr>
        <w:t>s</w:t>
      </w:r>
      <w:r w:rsidRPr="007C4269">
        <w:rPr>
          <w:rFonts w:ascii="Times New Roman" w:hAnsi="Times New Roman"/>
          <w:sz w:val="24"/>
          <w:szCs w:val="24"/>
        </w:rPr>
        <w:t xml:space="preserve"> de l’efficacité des stratégies sectorielles et des politiques publiques sur la pauvreté. </w:t>
      </w:r>
    </w:p>
    <w:p w:rsidR="00995F69" w:rsidRDefault="00995F69" w:rsidP="003232C4">
      <w:pPr>
        <w:spacing w:line="276" w:lineRule="auto"/>
        <w:rPr>
          <w:rFonts w:ascii="Times New Roman" w:hAnsi="Times New Roman"/>
          <w:b/>
          <w:bCs/>
          <w:sz w:val="24"/>
          <w:szCs w:val="24"/>
        </w:rPr>
      </w:pPr>
    </w:p>
    <w:p w:rsidR="00995F69" w:rsidRPr="00C45B81" w:rsidRDefault="00995F69" w:rsidP="003232C4">
      <w:pPr>
        <w:spacing w:line="276" w:lineRule="auto"/>
        <w:rPr>
          <w:rFonts w:ascii="Times New Roman" w:hAnsi="Times New Roman"/>
          <w:sz w:val="24"/>
          <w:szCs w:val="24"/>
        </w:rPr>
      </w:pPr>
      <w:r>
        <w:rPr>
          <w:rFonts w:ascii="Times New Roman" w:hAnsi="Times New Roman"/>
          <w:sz w:val="24"/>
          <w:szCs w:val="24"/>
        </w:rPr>
        <w:t>C</w:t>
      </w:r>
      <w:r w:rsidRPr="006646F8">
        <w:rPr>
          <w:rFonts w:ascii="Times New Roman" w:hAnsi="Times New Roman"/>
          <w:sz w:val="24"/>
          <w:szCs w:val="24"/>
        </w:rPr>
        <w:t xml:space="preserve">onscient de cet enjeu, le Gouvernement a élaboré un document de Politique Nationale d’Evaluation (PNE). Cette politique vise à promouvoir l’évaluation des politiques publiques en vue d’en faire un outil d’aide à la gestion et à la prise de décision. Elle clarifie également le rôle de l'évaluation au sein du cadre d’action du Gouvernement et doit permettre de diffuser largement la culture et la pratique de l’évaluation dans le but d’accompagner la gestion axée sur les résultats. </w:t>
      </w:r>
    </w:p>
    <w:p w:rsidR="00995F69" w:rsidRPr="00C45B81" w:rsidRDefault="00995F69" w:rsidP="001D6886">
      <w:pPr>
        <w:pStyle w:val="Paragraphedeliste"/>
        <w:spacing w:line="240" w:lineRule="auto"/>
        <w:rPr>
          <w:rFonts w:ascii="Times New Roman" w:hAnsi="Times New Roman"/>
          <w:sz w:val="24"/>
          <w:szCs w:val="24"/>
        </w:rPr>
      </w:pPr>
    </w:p>
    <w:p w:rsidR="00995F69" w:rsidRPr="00C45B81" w:rsidRDefault="00995F69" w:rsidP="003232C4">
      <w:pPr>
        <w:spacing w:line="276" w:lineRule="auto"/>
        <w:rPr>
          <w:rFonts w:ascii="Times New Roman" w:hAnsi="Times New Roman"/>
          <w:sz w:val="24"/>
          <w:szCs w:val="24"/>
        </w:rPr>
      </w:pPr>
      <w:r w:rsidRPr="006646F8">
        <w:rPr>
          <w:rFonts w:ascii="Times New Roman" w:hAnsi="Times New Roman"/>
          <w:sz w:val="24"/>
          <w:szCs w:val="24"/>
        </w:rPr>
        <w:t xml:space="preserve">La PNE définit le cadre global pour la planification et la réalisation des évaluations, ainsi que l’utilisation des informations tirées de ces évaluations. Elle s’inscrit dans le cadre de la mise en œuvre de la Stratégie de Croissance pour la Réduction de la Pauvreté, notamment le renforcement du suivi-évaluation et des réformes institutionnelles visant à rendre l’Administration publique plus efficace. Elle a pour objectifs (i) de promouvoir la culture évaluative au sein de l’Administration publique, (ii) de promouvoir les outils nécessaires à l’appréciation des politiques publiques, (iii) de contribuer à l’optimisation et à l’utilisation rationnelle des ressources publiques, (iv) d’aider à la capitalisation des connaissances et à la diffusion des bonnes pratiques de gestion publique, (v) de renforcer la </w:t>
      </w:r>
      <w:r>
        <w:rPr>
          <w:rFonts w:ascii="Times New Roman" w:hAnsi="Times New Roman"/>
          <w:sz w:val="24"/>
          <w:szCs w:val="24"/>
        </w:rPr>
        <w:t>recevabilité</w:t>
      </w:r>
      <w:r w:rsidRPr="006646F8">
        <w:rPr>
          <w:rFonts w:ascii="Times New Roman" w:hAnsi="Times New Roman"/>
          <w:sz w:val="24"/>
          <w:szCs w:val="24"/>
        </w:rPr>
        <w:t xml:space="preserve"> et la bonne gouvernance au sein de l’Administration Publique et (vi) de systématiser la reddition de compte aux institutions et citoyens. </w:t>
      </w:r>
    </w:p>
    <w:p w:rsidR="00995F69" w:rsidRPr="00C45B81" w:rsidRDefault="00995F69" w:rsidP="001D6886">
      <w:pPr>
        <w:spacing w:line="240" w:lineRule="auto"/>
        <w:ind w:left="114"/>
        <w:rPr>
          <w:rFonts w:ascii="Times New Roman" w:hAnsi="Times New Roman"/>
          <w:sz w:val="24"/>
          <w:szCs w:val="24"/>
        </w:rPr>
      </w:pPr>
    </w:p>
    <w:p w:rsidR="00995F69" w:rsidRDefault="00995F69" w:rsidP="003232C4">
      <w:pPr>
        <w:spacing w:line="276" w:lineRule="auto"/>
      </w:pPr>
      <w:r w:rsidRPr="00F039B5">
        <w:rPr>
          <w:rFonts w:ascii="Times New Roman" w:hAnsi="Times New Roman"/>
          <w:sz w:val="24"/>
          <w:szCs w:val="24"/>
        </w:rPr>
        <w:t>La Politique Nationale d’Evaluation s’applique au Gouvernement, à l’Administration publique centrale et à ses structures déconcentrées, ainsi qu’aux administrations décentralisées. Elle s’intègre à toute autre action publique conduite par la puissance publique. La Politique Nationale d’Evaluation retient plusieurs choix stratégiques qui favorisent l’incorporation par les ministères et organismes publics de l'évaluation dans leurs pratiques de gestion. A cet égard, le Gouvernement s’engage à travers le PNE à ce que la mise en œuvre de toute intervention publique soit astreinte à :</w:t>
      </w:r>
      <w:r w:rsidR="003C71C3">
        <w:rPr>
          <w:rFonts w:ascii="Times New Roman" w:hAnsi="Times New Roman"/>
          <w:sz w:val="24"/>
          <w:szCs w:val="24"/>
        </w:rPr>
        <w:t xml:space="preserve"> </w:t>
      </w:r>
      <w:r w:rsidR="002708EC">
        <w:rPr>
          <w:rFonts w:ascii="Times New Roman" w:hAnsi="Times New Roman"/>
          <w:sz w:val="24"/>
          <w:szCs w:val="24"/>
        </w:rPr>
        <w:t>(</w:t>
      </w:r>
      <w:r w:rsidRPr="00F039B5">
        <w:rPr>
          <w:rFonts w:ascii="Times New Roman" w:hAnsi="Times New Roman"/>
          <w:sz w:val="24"/>
          <w:szCs w:val="24"/>
        </w:rPr>
        <w:t xml:space="preserve">i) la définition d’une matrice arbre à problèmes/arbre à solutions ; </w:t>
      </w:r>
      <w:r w:rsidR="002708EC">
        <w:rPr>
          <w:rFonts w:ascii="Times New Roman" w:hAnsi="Times New Roman"/>
          <w:sz w:val="24"/>
          <w:szCs w:val="24"/>
        </w:rPr>
        <w:t>(</w:t>
      </w:r>
      <w:r w:rsidRPr="00F039B5">
        <w:rPr>
          <w:rFonts w:ascii="Times New Roman" w:hAnsi="Times New Roman"/>
          <w:sz w:val="24"/>
          <w:szCs w:val="24"/>
        </w:rPr>
        <w:t>ii)</w:t>
      </w:r>
      <w:r w:rsidR="00171BB3">
        <w:rPr>
          <w:rFonts w:ascii="Times New Roman" w:hAnsi="Times New Roman"/>
          <w:sz w:val="24"/>
          <w:szCs w:val="24"/>
        </w:rPr>
        <w:t xml:space="preserve"> </w:t>
      </w:r>
      <w:r w:rsidRPr="00F039B5">
        <w:rPr>
          <w:rFonts w:ascii="Times New Roman" w:hAnsi="Times New Roman"/>
          <w:sz w:val="24"/>
          <w:szCs w:val="24"/>
        </w:rPr>
        <w:t xml:space="preserve">la définition de résultats attendus; </w:t>
      </w:r>
      <w:r w:rsidR="002708EC">
        <w:rPr>
          <w:rFonts w:ascii="Times New Roman" w:hAnsi="Times New Roman"/>
          <w:sz w:val="24"/>
          <w:szCs w:val="24"/>
        </w:rPr>
        <w:t>(</w:t>
      </w:r>
      <w:r w:rsidRPr="00F039B5">
        <w:rPr>
          <w:rFonts w:ascii="Times New Roman" w:hAnsi="Times New Roman"/>
          <w:sz w:val="24"/>
          <w:szCs w:val="24"/>
        </w:rPr>
        <w:t>ii</w:t>
      </w:r>
      <w:r w:rsidR="002708EC">
        <w:rPr>
          <w:rFonts w:ascii="Times New Roman" w:hAnsi="Times New Roman"/>
          <w:sz w:val="24"/>
          <w:szCs w:val="24"/>
        </w:rPr>
        <w:t>i</w:t>
      </w:r>
      <w:r w:rsidRPr="00F039B5">
        <w:rPr>
          <w:rFonts w:ascii="Times New Roman" w:hAnsi="Times New Roman"/>
          <w:sz w:val="24"/>
          <w:szCs w:val="24"/>
        </w:rPr>
        <w:t>)</w:t>
      </w:r>
      <w:r w:rsidR="003C71C3">
        <w:rPr>
          <w:rFonts w:ascii="Times New Roman" w:hAnsi="Times New Roman"/>
          <w:sz w:val="24"/>
          <w:szCs w:val="24"/>
        </w:rPr>
        <w:t xml:space="preserve"> </w:t>
      </w:r>
      <w:r w:rsidRPr="00F039B5">
        <w:rPr>
          <w:rFonts w:ascii="Times New Roman" w:hAnsi="Times New Roman"/>
          <w:sz w:val="24"/>
          <w:szCs w:val="24"/>
        </w:rPr>
        <w:t xml:space="preserve">une exécution rigoureuse axée sur l'atteinte de résultats ; </w:t>
      </w:r>
      <w:r w:rsidR="002708EC">
        <w:rPr>
          <w:rFonts w:ascii="Times New Roman" w:hAnsi="Times New Roman"/>
          <w:sz w:val="24"/>
          <w:szCs w:val="24"/>
        </w:rPr>
        <w:t>iv</w:t>
      </w:r>
      <w:r w:rsidRPr="00F039B5">
        <w:rPr>
          <w:rFonts w:ascii="Times New Roman" w:hAnsi="Times New Roman"/>
          <w:sz w:val="24"/>
          <w:szCs w:val="24"/>
        </w:rPr>
        <w:t xml:space="preserve">) un suivi régulier et efficace ; </w:t>
      </w:r>
      <w:r w:rsidR="002708EC">
        <w:rPr>
          <w:rFonts w:ascii="Times New Roman" w:hAnsi="Times New Roman"/>
          <w:sz w:val="24"/>
          <w:szCs w:val="24"/>
        </w:rPr>
        <w:t>(v</w:t>
      </w:r>
      <w:r w:rsidRPr="00F039B5">
        <w:rPr>
          <w:rFonts w:ascii="Times New Roman" w:hAnsi="Times New Roman"/>
          <w:sz w:val="24"/>
          <w:szCs w:val="24"/>
        </w:rPr>
        <w:t xml:space="preserve">) une évaluation pour mesurer la performance et améliorer l’efficacité et l’efficience au cours de la mise en œuvre ; </w:t>
      </w:r>
      <w:r w:rsidR="002708EC">
        <w:rPr>
          <w:rFonts w:ascii="Times New Roman" w:hAnsi="Times New Roman"/>
          <w:sz w:val="24"/>
          <w:szCs w:val="24"/>
        </w:rPr>
        <w:t>(vi</w:t>
      </w:r>
      <w:r w:rsidRPr="00F039B5">
        <w:rPr>
          <w:rFonts w:ascii="Times New Roman" w:hAnsi="Times New Roman"/>
          <w:sz w:val="24"/>
          <w:szCs w:val="24"/>
        </w:rPr>
        <w:t xml:space="preserve">) une évaluation d’impact pour apprécier les retombées sur les bénéficiaires et capitaliser les connaissances; </w:t>
      </w:r>
      <w:r w:rsidR="002708EC">
        <w:rPr>
          <w:rFonts w:ascii="Times New Roman" w:hAnsi="Times New Roman"/>
          <w:sz w:val="24"/>
          <w:szCs w:val="24"/>
        </w:rPr>
        <w:t>(vii</w:t>
      </w:r>
      <w:r w:rsidRPr="00F039B5">
        <w:rPr>
          <w:rFonts w:ascii="Times New Roman" w:hAnsi="Times New Roman"/>
          <w:sz w:val="24"/>
          <w:szCs w:val="24"/>
        </w:rPr>
        <w:t>) la reddition de compte aux populations, au Parlement et aux autres institutions de la République.</w:t>
      </w:r>
    </w:p>
    <w:p w:rsidR="00995F69" w:rsidRDefault="00995F69" w:rsidP="001D6886">
      <w:pPr>
        <w:spacing w:line="240" w:lineRule="auto"/>
      </w:pPr>
    </w:p>
    <w:p w:rsidR="00995F69" w:rsidRDefault="00995F69" w:rsidP="003232C4">
      <w:pPr>
        <w:spacing w:line="276" w:lineRule="auto"/>
        <w:rPr>
          <w:rFonts w:ascii="Times New Roman" w:hAnsi="Times New Roman"/>
          <w:sz w:val="24"/>
          <w:szCs w:val="24"/>
        </w:rPr>
      </w:pPr>
      <w:r>
        <w:rPr>
          <w:rFonts w:ascii="Times New Roman" w:hAnsi="Times New Roman"/>
          <w:sz w:val="24"/>
          <w:szCs w:val="24"/>
        </w:rPr>
        <w:t xml:space="preserve">Avec ses orientations, le </w:t>
      </w:r>
      <w:r w:rsidR="0049107A">
        <w:rPr>
          <w:rFonts w:ascii="Times New Roman" w:hAnsi="Times New Roman"/>
          <w:sz w:val="24"/>
          <w:szCs w:val="24"/>
        </w:rPr>
        <w:t>PNE</w:t>
      </w:r>
      <w:r>
        <w:rPr>
          <w:rFonts w:ascii="Times New Roman" w:hAnsi="Times New Roman"/>
          <w:sz w:val="24"/>
          <w:szCs w:val="24"/>
        </w:rPr>
        <w:t xml:space="preserve"> peut valablement permettre d’insuffler un nouvel élan aux études d’impact spécifiques pour apprécier l’incidence direct</w:t>
      </w:r>
      <w:r w:rsidR="002708EC">
        <w:rPr>
          <w:rFonts w:ascii="Times New Roman" w:hAnsi="Times New Roman"/>
          <w:sz w:val="24"/>
          <w:szCs w:val="24"/>
        </w:rPr>
        <w:t>e</w:t>
      </w:r>
      <w:r>
        <w:rPr>
          <w:rFonts w:ascii="Times New Roman" w:hAnsi="Times New Roman"/>
          <w:sz w:val="24"/>
          <w:szCs w:val="24"/>
        </w:rPr>
        <w:t xml:space="preserve"> des projets ou programmes mis en œuvre pour améliorer le bien-être des ménages pauvres et vulnérables au Bénin.  </w:t>
      </w:r>
    </w:p>
    <w:p w:rsidR="00995F69" w:rsidRDefault="00995F69" w:rsidP="003232C4">
      <w:pPr>
        <w:pStyle w:val="Paragraphedeliste"/>
        <w:spacing w:line="276" w:lineRule="auto"/>
        <w:ind w:left="502"/>
        <w:rPr>
          <w:rFonts w:ascii="Times New Roman" w:hAnsi="Times New Roman"/>
          <w:b/>
          <w:bCs/>
          <w:sz w:val="24"/>
          <w:szCs w:val="24"/>
          <w:lang w:val="fr-CA"/>
        </w:rPr>
      </w:pPr>
    </w:p>
    <w:p w:rsidR="001D6886" w:rsidRDefault="001D6886">
      <w:pPr>
        <w:pStyle w:val="Titre2"/>
        <w:spacing w:before="0" w:after="0" w:line="276" w:lineRule="auto"/>
        <w:rPr>
          <w:rFonts w:ascii="Times New Roman" w:hAnsi="Times New Roman"/>
          <w:i w:val="0"/>
          <w:lang w:val="fr-CA"/>
        </w:rPr>
      </w:pPr>
    </w:p>
    <w:p w:rsidR="001D6886" w:rsidRPr="001D6886" w:rsidRDefault="001D6886" w:rsidP="001D6886">
      <w:pPr>
        <w:rPr>
          <w:lang w:val="fr-CA"/>
        </w:rPr>
      </w:pPr>
    </w:p>
    <w:p w:rsidR="00995F69" w:rsidRPr="001D6886" w:rsidRDefault="00995F69">
      <w:pPr>
        <w:pStyle w:val="Titre2"/>
        <w:spacing w:before="0" w:after="0" w:line="276" w:lineRule="auto"/>
        <w:rPr>
          <w:rFonts w:ascii="Times New Roman" w:hAnsi="Times New Roman"/>
          <w:i w:val="0"/>
          <w:color w:val="31849B" w:themeColor="accent5" w:themeShade="BF"/>
          <w:lang w:val="fr-CA"/>
        </w:rPr>
      </w:pPr>
      <w:bookmarkStart w:id="212" w:name="_Toc382322966"/>
      <w:r w:rsidRPr="001D6886">
        <w:rPr>
          <w:rFonts w:ascii="Times New Roman" w:hAnsi="Times New Roman"/>
          <w:i w:val="0"/>
          <w:color w:val="31849B" w:themeColor="accent5" w:themeShade="BF"/>
          <w:lang w:val="fr-CA"/>
        </w:rPr>
        <w:t>7.4</w:t>
      </w:r>
      <w:r w:rsidR="001D6886" w:rsidRPr="001D6886">
        <w:rPr>
          <w:rFonts w:ascii="Times New Roman" w:hAnsi="Times New Roman"/>
          <w:i w:val="0"/>
          <w:color w:val="31849B" w:themeColor="accent5" w:themeShade="BF"/>
          <w:lang w:val="fr-CA"/>
        </w:rPr>
        <w:t xml:space="preserve">  B</w:t>
      </w:r>
      <w:r w:rsidRPr="001D6886">
        <w:rPr>
          <w:rFonts w:ascii="Times New Roman" w:hAnsi="Times New Roman"/>
          <w:i w:val="0"/>
          <w:color w:val="31849B" w:themeColor="accent5" w:themeShade="BF"/>
          <w:lang w:val="fr-CA"/>
        </w:rPr>
        <w:t>esoins d’amélioration en termes d’approches méthodologiques pour le suivi de la pauvreté.</w:t>
      </w:r>
      <w:bookmarkEnd w:id="212"/>
    </w:p>
    <w:p w:rsidR="00995F69" w:rsidRDefault="00995F69">
      <w:pPr>
        <w:rPr>
          <w:i/>
          <w:lang w:val="fr-CA"/>
        </w:rPr>
      </w:pPr>
    </w:p>
    <w:p w:rsidR="00995F69" w:rsidRPr="007B43D0" w:rsidRDefault="00995F69" w:rsidP="003232C4">
      <w:pPr>
        <w:spacing w:line="276" w:lineRule="auto"/>
        <w:rPr>
          <w:rFonts w:ascii="Times New Roman" w:hAnsi="Times New Roman"/>
          <w:sz w:val="24"/>
          <w:szCs w:val="24"/>
        </w:rPr>
      </w:pPr>
      <w:r w:rsidRPr="007B43D0">
        <w:rPr>
          <w:rFonts w:ascii="Times New Roman" w:hAnsi="Times New Roman"/>
          <w:sz w:val="24"/>
          <w:szCs w:val="24"/>
        </w:rPr>
        <w:t xml:space="preserve">La pauvreté est un phénomène complexe à manifestations diverses. Elle se manifeste sous diverses formes et selon différentes dimensions. En termes de dimensions de la pauvreté, on peut distinguer les dimensions : économique (niveau de vie, conditions de vie),  sociale (niveau d’exclusion), culturelle (identité des groupes sociaux), politique (degré de participation à la vie politique), éthique. </w:t>
      </w:r>
    </w:p>
    <w:p w:rsidR="00995F69" w:rsidRDefault="00995F69" w:rsidP="001D6886">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7B43D0">
        <w:rPr>
          <w:rFonts w:ascii="Times New Roman" w:hAnsi="Times New Roman"/>
          <w:sz w:val="24"/>
          <w:szCs w:val="24"/>
        </w:rPr>
        <w:t>Eu égard, à son caractère multidimensionnel, le suivi de la pauvreté exige la mise en place de plusieurs approches méthodologiques, visant à appréhender les aspects monétaires, non monétaires et la perception des ménages sur  le phénomène. Ces approches combinent la description des caractéristiques des pauvres ou les causes des situations de pauvreté. A cette description des manifestations de la pauvreté</w:t>
      </w:r>
      <w:r>
        <w:rPr>
          <w:rFonts w:ascii="Times New Roman" w:hAnsi="Times New Roman"/>
          <w:sz w:val="24"/>
          <w:szCs w:val="24"/>
        </w:rPr>
        <w:t>,</w:t>
      </w:r>
      <w:r w:rsidRPr="007B43D0">
        <w:rPr>
          <w:rFonts w:ascii="Times New Roman" w:hAnsi="Times New Roman"/>
          <w:sz w:val="24"/>
          <w:szCs w:val="24"/>
        </w:rPr>
        <w:t xml:space="preserve"> les évolutions et les variations dans les formes de pauvreté à travers les entrées et les sorties sont appréhendées. </w:t>
      </w:r>
    </w:p>
    <w:p w:rsidR="00995F69" w:rsidRDefault="00995F69" w:rsidP="001D6886">
      <w:pPr>
        <w:spacing w:line="240" w:lineRule="auto"/>
        <w:rPr>
          <w:rFonts w:ascii="Times New Roman" w:hAnsi="Times New Roman"/>
          <w:sz w:val="24"/>
          <w:szCs w:val="24"/>
        </w:rPr>
      </w:pPr>
    </w:p>
    <w:p w:rsidR="00995F69" w:rsidRPr="007B43D0" w:rsidRDefault="00995F69" w:rsidP="003232C4">
      <w:pPr>
        <w:spacing w:line="276" w:lineRule="auto"/>
        <w:rPr>
          <w:rFonts w:ascii="Times New Roman" w:hAnsi="Times New Roman"/>
          <w:sz w:val="24"/>
          <w:szCs w:val="24"/>
        </w:rPr>
      </w:pPr>
      <w:r w:rsidRPr="007B43D0">
        <w:rPr>
          <w:rFonts w:ascii="Times New Roman" w:hAnsi="Times New Roman"/>
          <w:sz w:val="24"/>
          <w:szCs w:val="24"/>
        </w:rPr>
        <w:t>Le suivi de la pauvreté recouvre donc plusieurs composantes : une composante descriptive de la situation courante de la pauvreté et une composante dynamique, dont il est recherché les facteurs explicatifs qui permettent, notamment, de mesurer les effets et impacts des actions publiques.</w:t>
      </w:r>
    </w:p>
    <w:p w:rsidR="00995F69" w:rsidRDefault="00995F69" w:rsidP="001D6886">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7B43D0">
        <w:rPr>
          <w:rFonts w:ascii="Times New Roman" w:hAnsi="Times New Roman"/>
          <w:sz w:val="24"/>
          <w:szCs w:val="24"/>
        </w:rPr>
        <w:t>La description de la pauvreté suppose une caractérisation des différentes formes de la pauvreté à partir d’indicateurs : indicateurs monétaires sur la base d’un seuil de pauvreté (incidence, intensité, inégalité chez les pauvres), indicateurs socio-économiques retraçant le niveau des manques dans différents domaines d’analyse comme l’éducation (taux d’alphabétisation ou de scolarisation), la santé (taux de mortalité ou de morbidité), l’accès à l’eau, etc., indicateurs retraçant les niveaux de capital physique (matériel : équipement ou financier : crédit....), humain (capital éducatif : nombre d’années effectuées, capital santé : espérance de vie, vaccinations, nutrition) ou social (réseau de sociabilité, appartenance à des associations).</w:t>
      </w:r>
    </w:p>
    <w:p w:rsidR="00995F69" w:rsidRPr="007B43D0" w:rsidRDefault="00995F69" w:rsidP="001D6886">
      <w:pPr>
        <w:spacing w:line="240" w:lineRule="auto"/>
        <w:rPr>
          <w:rFonts w:ascii="Times New Roman" w:hAnsi="Times New Roman"/>
          <w:sz w:val="24"/>
          <w:szCs w:val="24"/>
        </w:rPr>
      </w:pPr>
    </w:p>
    <w:p w:rsidR="00995F69" w:rsidRPr="007B43D0" w:rsidRDefault="00995F69" w:rsidP="003232C4">
      <w:pPr>
        <w:spacing w:line="276" w:lineRule="auto"/>
        <w:rPr>
          <w:rFonts w:ascii="Times New Roman" w:hAnsi="Times New Roman"/>
          <w:sz w:val="24"/>
          <w:szCs w:val="24"/>
        </w:rPr>
      </w:pPr>
      <w:r w:rsidRPr="007B43D0">
        <w:rPr>
          <w:rFonts w:ascii="Times New Roman" w:hAnsi="Times New Roman"/>
          <w:sz w:val="24"/>
          <w:szCs w:val="24"/>
        </w:rPr>
        <w:t>L’analyse dynamique de la pauvreté, permet de mettre en valeur les périodes où celle-ci se réduit et celles où elle s’accroît. Elle permet de déceler les mobilités dans la pauvreté au cours de</w:t>
      </w:r>
      <w:r w:rsidR="002708EC">
        <w:rPr>
          <w:rFonts w:ascii="Times New Roman" w:hAnsi="Times New Roman"/>
          <w:sz w:val="24"/>
          <w:szCs w:val="24"/>
        </w:rPr>
        <w:t>s</w:t>
      </w:r>
      <w:r w:rsidRPr="007B43D0">
        <w:rPr>
          <w:rFonts w:ascii="Times New Roman" w:hAnsi="Times New Roman"/>
          <w:sz w:val="24"/>
          <w:szCs w:val="24"/>
        </w:rPr>
        <w:t xml:space="preserve"> temps, et d’en déceler les causes de ces mobilités</w:t>
      </w:r>
    </w:p>
    <w:p w:rsidR="00995F69" w:rsidRDefault="00995F69" w:rsidP="001D6886">
      <w:pPr>
        <w:spacing w:line="240" w:lineRule="auto"/>
        <w:rPr>
          <w:rFonts w:ascii="Times New Roman" w:hAnsi="Times New Roman"/>
          <w:b/>
          <w:sz w:val="24"/>
          <w:szCs w:val="24"/>
        </w:rPr>
      </w:pPr>
    </w:p>
    <w:p w:rsidR="00995F69" w:rsidRPr="000F55CE" w:rsidRDefault="00995F69" w:rsidP="003232C4">
      <w:pPr>
        <w:spacing w:line="276" w:lineRule="auto"/>
        <w:rPr>
          <w:rFonts w:ascii="Times New Roman" w:hAnsi="Times New Roman"/>
          <w:sz w:val="24"/>
          <w:szCs w:val="24"/>
        </w:rPr>
      </w:pPr>
      <w:r>
        <w:rPr>
          <w:rFonts w:ascii="Times New Roman" w:hAnsi="Times New Roman"/>
          <w:sz w:val="24"/>
          <w:szCs w:val="24"/>
        </w:rPr>
        <w:t>Au total, au Bénin, différentes approches méthodologiques (monétaire, non monétaire et perception) sont développé</w:t>
      </w:r>
      <w:r w:rsidR="002708EC">
        <w:rPr>
          <w:rFonts w:ascii="Times New Roman" w:hAnsi="Times New Roman"/>
          <w:sz w:val="24"/>
          <w:szCs w:val="24"/>
        </w:rPr>
        <w:t>e</w:t>
      </w:r>
      <w:r>
        <w:rPr>
          <w:rFonts w:ascii="Times New Roman" w:hAnsi="Times New Roman"/>
          <w:sz w:val="24"/>
          <w:szCs w:val="24"/>
        </w:rPr>
        <w:t>s pour le suivi de la pauvreté. Elles permettent de dresser le profil de pauvreté suivant plusieurs formes (monétaire, non monétaire et perception) et d’en dégager le noyau dur de la pauvreté, c’est</w:t>
      </w:r>
      <w:r w:rsidR="002708EC">
        <w:rPr>
          <w:rFonts w:ascii="Times New Roman" w:hAnsi="Times New Roman"/>
          <w:sz w:val="24"/>
          <w:szCs w:val="24"/>
        </w:rPr>
        <w:t>-</w:t>
      </w:r>
      <w:r>
        <w:rPr>
          <w:rFonts w:ascii="Times New Roman" w:hAnsi="Times New Roman"/>
          <w:sz w:val="24"/>
          <w:szCs w:val="24"/>
        </w:rPr>
        <w:t>à</w:t>
      </w:r>
      <w:r w:rsidR="002708EC">
        <w:rPr>
          <w:rFonts w:ascii="Times New Roman" w:hAnsi="Times New Roman"/>
          <w:sz w:val="24"/>
          <w:szCs w:val="24"/>
        </w:rPr>
        <w:t>-</w:t>
      </w:r>
      <w:r>
        <w:rPr>
          <w:rFonts w:ascii="Times New Roman" w:hAnsi="Times New Roman"/>
          <w:sz w:val="24"/>
          <w:szCs w:val="24"/>
        </w:rPr>
        <w:t>dire les personnes qui cumulent les différentes formes de pauvreté.</w:t>
      </w:r>
    </w:p>
    <w:p w:rsidR="00995F69" w:rsidRPr="000F55CE" w:rsidRDefault="00995F69" w:rsidP="00E8126B">
      <w:pPr>
        <w:spacing w:line="240" w:lineRule="auto"/>
        <w:rPr>
          <w:rFonts w:ascii="Times New Roman" w:hAnsi="Times New Roman"/>
          <w:sz w:val="24"/>
          <w:szCs w:val="24"/>
        </w:rPr>
      </w:pPr>
    </w:p>
    <w:p w:rsidR="00995F69" w:rsidRPr="00EE78F2" w:rsidRDefault="00995F69" w:rsidP="003232C4">
      <w:pPr>
        <w:spacing w:line="276" w:lineRule="auto"/>
        <w:rPr>
          <w:rFonts w:ascii="Times New Roman" w:hAnsi="Times New Roman"/>
          <w:sz w:val="24"/>
          <w:szCs w:val="24"/>
        </w:rPr>
      </w:pPr>
      <w:r>
        <w:rPr>
          <w:rFonts w:ascii="Times New Roman" w:hAnsi="Times New Roman"/>
          <w:sz w:val="24"/>
          <w:szCs w:val="24"/>
        </w:rPr>
        <w:t xml:space="preserve">La mise en place d’un dispositif permanant d’enquêtes auprès des ménages à travers le nouveau dispositif </w:t>
      </w:r>
      <w:r w:rsidR="00B75E53">
        <w:rPr>
          <w:rFonts w:ascii="Times New Roman" w:hAnsi="Times New Roman"/>
          <w:sz w:val="24"/>
          <w:szCs w:val="24"/>
        </w:rPr>
        <w:t xml:space="preserve">EMICoV </w:t>
      </w:r>
      <w:r>
        <w:rPr>
          <w:rFonts w:ascii="Times New Roman" w:hAnsi="Times New Roman"/>
          <w:sz w:val="24"/>
          <w:szCs w:val="24"/>
        </w:rPr>
        <w:t xml:space="preserve">a donné la possibilité  de faire une analyse dynamique de la pauvreté au Bénin et d’en déduire les causes de la mobilité dans la pauvreté au cours du temps. </w:t>
      </w:r>
      <w:r w:rsidRPr="001064B7">
        <w:rPr>
          <w:rFonts w:ascii="Times New Roman" w:hAnsi="Times New Roman"/>
          <w:sz w:val="24"/>
          <w:szCs w:val="24"/>
        </w:rPr>
        <w:t>Toutefois, certaines améliorations en termes méthodologique et conceptuel s’avèrent nécessaires pour d’une part, renforcer les indicateurs et d’autre part, élargir le champ des indicateurs aux nouvelles orientations qui résultent de la présente évaluation de la pauvreté au Bénin.</w:t>
      </w:r>
    </w:p>
    <w:p w:rsidR="00995F69" w:rsidRPr="007B43D0" w:rsidRDefault="00995F69" w:rsidP="001D6886">
      <w:pPr>
        <w:spacing w:line="240" w:lineRule="auto"/>
        <w:rPr>
          <w:rFonts w:ascii="Times New Roman" w:hAnsi="Times New Roman"/>
          <w:sz w:val="24"/>
          <w:szCs w:val="24"/>
        </w:rPr>
      </w:pPr>
    </w:p>
    <w:p w:rsidR="00995F69" w:rsidRPr="00010AEF" w:rsidRDefault="00995F69" w:rsidP="00010AEF">
      <w:pPr>
        <w:spacing w:line="276" w:lineRule="auto"/>
        <w:rPr>
          <w:rFonts w:ascii="Times New Roman" w:hAnsi="Times New Roman"/>
          <w:sz w:val="24"/>
          <w:szCs w:val="24"/>
        </w:rPr>
      </w:pPr>
      <w:r w:rsidRPr="00010AEF">
        <w:rPr>
          <w:rFonts w:ascii="Times New Roman" w:hAnsi="Times New Roman"/>
          <w:b/>
          <w:sz w:val="24"/>
          <w:szCs w:val="24"/>
        </w:rPr>
        <w:t>Méthodologie de calcul des indicateurs de pauvreté à partir des différentes enquêtes</w:t>
      </w:r>
      <w:r w:rsidRPr="00010AEF">
        <w:rPr>
          <w:rFonts w:ascii="Times New Roman" w:hAnsi="Times New Roman"/>
          <w:sz w:val="24"/>
          <w:szCs w:val="24"/>
        </w:rPr>
        <w:t> : La  pauvreté est un concept multidimensionnel, c’est pourquoi une panoplie d’instruments est utilisée pour appréhender le phénomène à partir des différentes enquêtes auprès des ménages. Ainsi, outre la définition la plus classique basée sur le critère monétaire, différents concepts de la pauvreté reposent soit sur des critères objectifs et non monétaire</w:t>
      </w:r>
      <w:r w:rsidR="002708EC">
        <w:rPr>
          <w:rFonts w:ascii="Times New Roman" w:hAnsi="Times New Roman"/>
          <w:sz w:val="24"/>
          <w:szCs w:val="24"/>
        </w:rPr>
        <w:t>s</w:t>
      </w:r>
      <w:r w:rsidRPr="00010AEF">
        <w:rPr>
          <w:rFonts w:ascii="Times New Roman" w:hAnsi="Times New Roman"/>
          <w:sz w:val="24"/>
          <w:szCs w:val="24"/>
        </w:rPr>
        <w:t xml:space="preserve"> (conditions matérielles d'existence, actifs ou patrimoine du ménage) ou des critères subjectifs des ménages (perception générale du ménage sur son bien</w:t>
      </w:r>
      <w:r w:rsidR="002708EC">
        <w:rPr>
          <w:rFonts w:ascii="Times New Roman" w:hAnsi="Times New Roman"/>
          <w:sz w:val="24"/>
          <w:szCs w:val="24"/>
        </w:rPr>
        <w:t>-</w:t>
      </w:r>
      <w:r w:rsidRPr="00010AEF">
        <w:rPr>
          <w:rFonts w:ascii="Times New Roman" w:hAnsi="Times New Roman"/>
          <w:sz w:val="24"/>
          <w:szCs w:val="24"/>
        </w:rPr>
        <w:t xml:space="preserve">être). </w:t>
      </w:r>
    </w:p>
    <w:p w:rsidR="00995F69" w:rsidRDefault="00995F69" w:rsidP="001D6886">
      <w:pPr>
        <w:spacing w:line="240" w:lineRule="auto"/>
        <w:ind w:left="114"/>
        <w:rPr>
          <w:rFonts w:ascii="Times New Roman" w:hAnsi="Times New Roman"/>
          <w:b/>
          <w:sz w:val="24"/>
          <w:szCs w:val="24"/>
        </w:rPr>
      </w:pPr>
    </w:p>
    <w:p w:rsidR="00995F69" w:rsidRDefault="00995F69" w:rsidP="003232C4">
      <w:pPr>
        <w:spacing w:line="276" w:lineRule="auto"/>
        <w:rPr>
          <w:rFonts w:ascii="Times New Roman" w:hAnsi="Times New Roman"/>
          <w:sz w:val="24"/>
          <w:szCs w:val="24"/>
        </w:rPr>
      </w:pPr>
      <w:r>
        <w:rPr>
          <w:rFonts w:ascii="Times New Roman" w:hAnsi="Times New Roman"/>
          <w:b/>
          <w:sz w:val="24"/>
          <w:szCs w:val="24"/>
        </w:rPr>
        <w:t xml:space="preserve">Pour ce qui est </w:t>
      </w:r>
      <w:r w:rsidRPr="007B43D0">
        <w:rPr>
          <w:rFonts w:ascii="Times New Roman" w:hAnsi="Times New Roman"/>
          <w:b/>
          <w:sz w:val="24"/>
          <w:szCs w:val="24"/>
        </w:rPr>
        <w:t xml:space="preserve">de l’approche monétaire, </w:t>
      </w:r>
      <w:r w:rsidRPr="006646F8">
        <w:rPr>
          <w:rFonts w:ascii="Times New Roman" w:hAnsi="Times New Roman"/>
          <w:sz w:val="24"/>
          <w:szCs w:val="24"/>
        </w:rPr>
        <w:t>l’indicateur</w:t>
      </w:r>
      <w:r w:rsidRPr="007B43D0">
        <w:rPr>
          <w:rFonts w:ascii="Times New Roman" w:hAnsi="Times New Roman"/>
          <w:sz w:val="24"/>
          <w:szCs w:val="24"/>
        </w:rPr>
        <w:t xml:space="preserve"> de niveau de vie retenu est les dépenses de consommation des ménages. Le calcul des indicateurs de suivi de pauvreté </w:t>
      </w:r>
      <w:r>
        <w:rPr>
          <w:rFonts w:ascii="Times New Roman" w:hAnsi="Times New Roman"/>
          <w:sz w:val="24"/>
          <w:szCs w:val="24"/>
        </w:rPr>
        <w:t>y afférent</w:t>
      </w:r>
      <w:r w:rsidR="002708EC">
        <w:rPr>
          <w:rFonts w:ascii="Times New Roman" w:hAnsi="Times New Roman"/>
          <w:sz w:val="24"/>
          <w:szCs w:val="24"/>
        </w:rPr>
        <w:t>s</w:t>
      </w:r>
      <w:r>
        <w:rPr>
          <w:rFonts w:ascii="Times New Roman" w:hAnsi="Times New Roman"/>
          <w:sz w:val="24"/>
          <w:szCs w:val="24"/>
        </w:rPr>
        <w:t xml:space="preserve"> </w:t>
      </w:r>
      <w:r w:rsidRPr="007B43D0">
        <w:rPr>
          <w:rFonts w:ascii="Times New Roman" w:hAnsi="Times New Roman"/>
          <w:sz w:val="24"/>
          <w:szCs w:val="24"/>
        </w:rPr>
        <w:t xml:space="preserve">s’est inscrit comme une activité importante du suivi de la SCRP avec la mise en place du dispositif permanent des enquêtes auprès des ménages que représente EMICoV. L’estimation </w:t>
      </w:r>
      <w:r w:rsidR="002708EC">
        <w:rPr>
          <w:rFonts w:ascii="Times New Roman" w:hAnsi="Times New Roman"/>
          <w:sz w:val="24"/>
          <w:szCs w:val="24"/>
        </w:rPr>
        <w:t xml:space="preserve">de l’incidence </w:t>
      </w:r>
      <w:r w:rsidRPr="007B43D0">
        <w:rPr>
          <w:rFonts w:ascii="Times New Roman" w:hAnsi="Times New Roman"/>
          <w:sz w:val="24"/>
          <w:szCs w:val="24"/>
        </w:rPr>
        <w:t>de la pauvreté à partir de l’enquête EMICoV</w:t>
      </w:r>
      <w:r w:rsidR="003C71C3">
        <w:rPr>
          <w:rFonts w:ascii="Times New Roman" w:hAnsi="Times New Roman"/>
          <w:sz w:val="24"/>
          <w:szCs w:val="24"/>
        </w:rPr>
        <w:t xml:space="preserve"> </w:t>
      </w:r>
      <w:r w:rsidRPr="007B43D0">
        <w:rPr>
          <w:rFonts w:ascii="Times New Roman" w:hAnsi="Times New Roman"/>
          <w:sz w:val="24"/>
          <w:szCs w:val="24"/>
        </w:rPr>
        <w:t>est basée sur les choix ci</w:t>
      </w:r>
      <w:r>
        <w:rPr>
          <w:rFonts w:ascii="Times New Roman" w:hAnsi="Times New Roman"/>
          <w:sz w:val="24"/>
          <w:szCs w:val="24"/>
        </w:rPr>
        <w:t>-</w:t>
      </w:r>
      <w:r w:rsidRPr="007B43D0">
        <w:rPr>
          <w:rFonts w:ascii="Times New Roman" w:hAnsi="Times New Roman"/>
          <w:sz w:val="24"/>
          <w:szCs w:val="24"/>
        </w:rPr>
        <w:t>après se présente comme suit :</w:t>
      </w:r>
      <w:r w:rsidR="00B75E53">
        <w:rPr>
          <w:rFonts w:ascii="Times New Roman" w:hAnsi="Times New Roman"/>
          <w:sz w:val="24"/>
          <w:szCs w:val="24"/>
        </w:rPr>
        <w:t xml:space="preserve"> </w:t>
      </w:r>
      <w:r w:rsidRPr="007B43D0">
        <w:rPr>
          <w:rFonts w:ascii="Times New Roman" w:hAnsi="Times New Roman"/>
          <w:iCs/>
          <w:sz w:val="24"/>
          <w:szCs w:val="24"/>
        </w:rPr>
        <w:t xml:space="preserve">(i) le choix du seuil calorique normatif </w:t>
      </w:r>
      <w:r w:rsidRPr="007B43D0">
        <w:rPr>
          <w:rFonts w:ascii="Times New Roman" w:hAnsi="Times New Roman"/>
          <w:sz w:val="24"/>
          <w:szCs w:val="24"/>
        </w:rPr>
        <w:t>de 2400 Kcal par jour et par individu ;</w:t>
      </w:r>
      <w:r w:rsidRPr="007B43D0">
        <w:rPr>
          <w:rFonts w:ascii="Times New Roman" w:hAnsi="Times New Roman"/>
          <w:bCs/>
          <w:sz w:val="24"/>
          <w:szCs w:val="24"/>
        </w:rPr>
        <w:t>(ii)</w:t>
      </w:r>
      <w:r w:rsidR="00B75E53">
        <w:rPr>
          <w:rFonts w:ascii="Times New Roman" w:hAnsi="Times New Roman"/>
          <w:bCs/>
          <w:sz w:val="24"/>
          <w:szCs w:val="24"/>
        </w:rPr>
        <w:t xml:space="preserve"> </w:t>
      </w:r>
      <w:r w:rsidRPr="007B43D0">
        <w:rPr>
          <w:rFonts w:ascii="Times New Roman" w:hAnsi="Times New Roman"/>
          <w:bCs/>
          <w:sz w:val="24"/>
          <w:szCs w:val="24"/>
        </w:rPr>
        <w:t xml:space="preserve">le </w:t>
      </w:r>
      <w:r w:rsidR="00B75E53">
        <w:rPr>
          <w:rFonts w:ascii="Times New Roman" w:hAnsi="Times New Roman"/>
          <w:sz w:val="24"/>
          <w:szCs w:val="24"/>
        </w:rPr>
        <w:t>c</w:t>
      </w:r>
      <w:r w:rsidRPr="007B43D0">
        <w:rPr>
          <w:rFonts w:ascii="Times New Roman" w:hAnsi="Times New Roman"/>
          <w:sz w:val="24"/>
          <w:szCs w:val="24"/>
        </w:rPr>
        <w:t>hoix de la dépense de consommation par tête comme l’indicateur du niveau de vie des ménages ;</w:t>
      </w:r>
      <w:r w:rsidRPr="007B43D0">
        <w:rPr>
          <w:rFonts w:ascii="Times New Roman" w:hAnsi="Times New Roman"/>
          <w:b/>
          <w:sz w:val="24"/>
          <w:szCs w:val="24"/>
        </w:rPr>
        <w:t>(</w:t>
      </w:r>
      <w:r w:rsidRPr="007B43D0">
        <w:rPr>
          <w:rFonts w:ascii="Times New Roman" w:hAnsi="Times New Roman"/>
          <w:sz w:val="24"/>
          <w:szCs w:val="24"/>
        </w:rPr>
        <w:t>iii</w:t>
      </w:r>
      <w:r w:rsidRPr="007B43D0">
        <w:rPr>
          <w:rFonts w:ascii="Times New Roman" w:hAnsi="Times New Roman"/>
          <w:b/>
          <w:sz w:val="24"/>
          <w:szCs w:val="24"/>
        </w:rPr>
        <w:t>)</w:t>
      </w:r>
      <w:r w:rsidR="003C71C3">
        <w:rPr>
          <w:rFonts w:ascii="Times New Roman" w:hAnsi="Times New Roman"/>
          <w:b/>
          <w:sz w:val="24"/>
          <w:szCs w:val="24"/>
        </w:rPr>
        <w:t xml:space="preserve"> </w:t>
      </w:r>
      <w:r w:rsidR="007D24F1">
        <w:rPr>
          <w:rFonts w:ascii="Times New Roman" w:hAnsi="Times New Roman"/>
          <w:sz w:val="24"/>
          <w:szCs w:val="24"/>
        </w:rPr>
        <w:t>l</w:t>
      </w:r>
      <w:r w:rsidRPr="007B43D0">
        <w:rPr>
          <w:rFonts w:ascii="Times New Roman" w:hAnsi="Times New Roman"/>
          <w:sz w:val="24"/>
          <w:szCs w:val="24"/>
        </w:rPr>
        <w:t>e choix de l’approche du coût des besoins essentiels (CBE) pour la détermin</w:t>
      </w:r>
      <w:r>
        <w:rPr>
          <w:rFonts w:ascii="Times New Roman" w:hAnsi="Times New Roman"/>
          <w:sz w:val="24"/>
          <w:szCs w:val="24"/>
        </w:rPr>
        <w:t>ation de la ligne de pauvreté</w:t>
      </w:r>
      <w:r w:rsidR="007D24F1">
        <w:rPr>
          <w:rFonts w:ascii="Times New Roman" w:hAnsi="Times New Roman"/>
          <w:sz w:val="24"/>
          <w:szCs w:val="24"/>
        </w:rPr>
        <w:t> ;</w:t>
      </w:r>
      <w:r>
        <w:rPr>
          <w:rFonts w:ascii="Times New Roman" w:hAnsi="Times New Roman"/>
          <w:sz w:val="24"/>
          <w:szCs w:val="24"/>
        </w:rPr>
        <w:t xml:space="preserve"> (</w:t>
      </w:r>
      <w:r w:rsidRPr="007B43D0">
        <w:rPr>
          <w:rFonts w:ascii="Times New Roman" w:hAnsi="Times New Roman"/>
          <w:sz w:val="24"/>
          <w:szCs w:val="24"/>
        </w:rPr>
        <w:t xml:space="preserve">iv) </w:t>
      </w:r>
      <w:r w:rsidR="007D24F1">
        <w:rPr>
          <w:rFonts w:ascii="Times New Roman" w:hAnsi="Times New Roman"/>
          <w:sz w:val="24"/>
          <w:szCs w:val="24"/>
        </w:rPr>
        <w:t>l</w:t>
      </w:r>
      <w:r w:rsidRPr="007B43D0">
        <w:rPr>
          <w:rFonts w:ascii="Times New Roman" w:hAnsi="Times New Roman"/>
          <w:sz w:val="24"/>
          <w:szCs w:val="24"/>
        </w:rPr>
        <w:t>’agrégat de dépenses de consommation a pris en compte :les achats alimentaires et les achats non alimentaires</w:t>
      </w:r>
      <w:r>
        <w:rPr>
          <w:rFonts w:ascii="Times New Roman" w:hAnsi="Times New Roman"/>
          <w:sz w:val="24"/>
          <w:szCs w:val="24"/>
        </w:rPr>
        <w:t> (éducation, santé habillement</w:t>
      </w:r>
      <w:r w:rsidR="002708EC">
        <w:rPr>
          <w:rFonts w:ascii="Times New Roman" w:hAnsi="Times New Roman"/>
          <w:sz w:val="24"/>
          <w:szCs w:val="24"/>
        </w:rPr>
        <w:t>…</w:t>
      </w:r>
      <w:r w:rsidRPr="007B43D0">
        <w:rPr>
          <w:rFonts w:ascii="Times New Roman" w:hAnsi="Times New Roman"/>
          <w:sz w:val="24"/>
          <w:szCs w:val="24"/>
        </w:rPr>
        <w:t xml:space="preserve">); l’auto-consommation alimentaire et non alimentaires ; les loyers et les loyers fictifs ; les biens durables ; les transferts en nature. </w:t>
      </w:r>
      <w:r>
        <w:rPr>
          <w:rFonts w:ascii="Times New Roman" w:hAnsi="Times New Roman"/>
          <w:sz w:val="24"/>
          <w:szCs w:val="24"/>
        </w:rPr>
        <w:t>Toutefois, pour une meilleure appréciation et un meilleur suivi de ces indicateurs, plusieurs</w:t>
      </w:r>
      <w:r w:rsidR="00B75E53">
        <w:rPr>
          <w:rFonts w:ascii="Times New Roman" w:hAnsi="Times New Roman"/>
          <w:sz w:val="24"/>
          <w:szCs w:val="24"/>
        </w:rPr>
        <w:t xml:space="preserve"> obstacles</w:t>
      </w:r>
      <w:r>
        <w:rPr>
          <w:rFonts w:ascii="Times New Roman" w:hAnsi="Times New Roman"/>
          <w:sz w:val="24"/>
          <w:szCs w:val="24"/>
        </w:rPr>
        <w:t xml:space="preserve"> restent à surmonter. Il s’agit de :</w:t>
      </w:r>
    </w:p>
    <w:p w:rsidR="00995F69" w:rsidRDefault="00995F69" w:rsidP="001D6886">
      <w:pPr>
        <w:spacing w:line="240" w:lineRule="auto"/>
        <w:ind w:left="114"/>
        <w:rPr>
          <w:rFonts w:ascii="Times New Roman" w:hAnsi="Times New Roman"/>
          <w:sz w:val="24"/>
          <w:szCs w:val="24"/>
        </w:rPr>
      </w:pPr>
    </w:p>
    <w:p w:rsidR="00995F69" w:rsidRDefault="00995F69" w:rsidP="00930D19">
      <w:pPr>
        <w:pStyle w:val="Paragraphedeliste"/>
        <w:numPr>
          <w:ilvl w:val="0"/>
          <w:numId w:val="19"/>
        </w:numPr>
        <w:spacing w:line="276" w:lineRule="auto"/>
        <w:rPr>
          <w:rFonts w:ascii="Times New Roman" w:hAnsi="Times New Roman"/>
          <w:sz w:val="24"/>
          <w:szCs w:val="24"/>
        </w:rPr>
      </w:pPr>
      <w:r w:rsidRPr="006646F8">
        <w:rPr>
          <w:rFonts w:ascii="Times New Roman" w:hAnsi="Times New Roman"/>
          <w:b/>
          <w:sz w:val="24"/>
          <w:szCs w:val="24"/>
        </w:rPr>
        <w:t>L’actualisation du panier de biens utilisé pour appréhender le seuil de pauvreté alimentaire</w:t>
      </w:r>
      <w:r>
        <w:rPr>
          <w:rFonts w:ascii="Times New Roman" w:hAnsi="Times New Roman"/>
          <w:sz w:val="24"/>
          <w:szCs w:val="24"/>
        </w:rPr>
        <w:t xml:space="preserve">. Ce panier date </w:t>
      </w:r>
      <w:r w:rsidRPr="00A04085">
        <w:rPr>
          <w:rFonts w:ascii="Times New Roman" w:hAnsi="Times New Roman"/>
          <w:sz w:val="24"/>
          <w:szCs w:val="24"/>
        </w:rPr>
        <w:t>de 1989</w:t>
      </w:r>
      <w:r>
        <w:rPr>
          <w:rFonts w:ascii="Times New Roman" w:hAnsi="Times New Roman"/>
          <w:sz w:val="24"/>
          <w:szCs w:val="24"/>
        </w:rPr>
        <w:t xml:space="preserve"> et sa mise à jour devrait permettre de</w:t>
      </w:r>
      <w:r w:rsidRPr="006646F8">
        <w:rPr>
          <w:rFonts w:ascii="Times New Roman" w:hAnsi="Times New Roman"/>
          <w:sz w:val="24"/>
          <w:szCs w:val="24"/>
        </w:rPr>
        <w:t xml:space="preserve"> réellement tenir compte des biens représentatifs des habitudes alimentaires des ménages dans chaque région du Bénin</w:t>
      </w:r>
      <w:r>
        <w:rPr>
          <w:rStyle w:val="Appelnotedebasdep"/>
          <w:rFonts w:ascii="Times New Roman" w:hAnsi="Times New Roman"/>
          <w:sz w:val="24"/>
          <w:szCs w:val="24"/>
        </w:rPr>
        <w:footnoteReference w:id="90"/>
      </w:r>
      <w:r>
        <w:rPr>
          <w:rFonts w:ascii="Times New Roman" w:hAnsi="Times New Roman"/>
          <w:sz w:val="24"/>
          <w:szCs w:val="24"/>
        </w:rPr>
        <w:t>. En conséquence, cet exercice devrait permettr</w:t>
      </w:r>
      <w:r w:rsidR="002708EC">
        <w:rPr>
          <w:rFonts w:ascii="Times New Roman" w:hAnsi="Times New Roman"/>
          <w:sz w:val="24"/>
          <w:szCs w:val="24"/>
        </w:rPr>
        <w:t>e</w:t>
      </w:r>
      <w:r>
        <w:rPr>
          <w:rFonts w:ascii="Times New Roman" w:hAnsi="Times New Roman"/>
          <w:sz w:val="24"/>
          <w:szCs w:val="24"/>
        </w:rPr>
        <w:t xml:space="preserve"> d’</w:t>
      </w:r>
      <w:r w:rsidRPr="006646F8">
        <w:rPr>
          <w:rFonts w:ascii="Times New Roman" w:hAnsi="Times New Roman"/>
          <w:sz w:val="24"/>
          <w:szCs w:val="24"/>
        </w:rPr>
        <w:t xml:space="preserve">assurer une meilleure appréciation du seuil de pauvreté basée sur le coût des besoins essentiels au Bénin. </w:t>
      </w:r>
      <w:r>
        <w:rPr>
          <w:rFonts w:ascii="Times New Roman" w:hAnsi="Times New Roman"/>
          <w:sz w:val="24"/>
          <w:szCs w:val="24"/>
        </w:rPr>
        <w:t xml:space="preserve">Ainsi, les risques </w:t>
      </w:r>
      <w:r w:rsidR="00D734E4">
        <w:rPr>
          <w:rFonts w:ascii="Times New Roman" w:hAnsi="Times New Roman"/>
          <w:sz w:val="24"/>
          <w:szCs w:val="24"/>
        </w:rPr>
        <w:t xml:space="preserve">de </w:t>
      </w:r>
      <w:r>
        <w:rPr>
          <w:rFonts w:ascii="Times New Roman" w:hAnsi="Times New Roman"/>
          <w:sz w:val="24"/>
          <w:szCs w:val="24"/>
        </w:rPr>
        <w:t>s</w:t>
      </w:r>
      <w:r w:rsidRPr="001064B7">
        <w:rPr>
          <w:rFonts w:ascii="Times New Roman" w:hAnsi="Times New Roman"/>
          <w:sz w:val="24"/>
          <w:szCs w:val="24"/>
        </w:rPr>
        <w:t>ur</w:t>
      </w:r>
      <w:r w:rsidR="00D734E4">
        <w:rPr>
          <w:rFonts w:ascii="Times New Roman" w:hAnsi="Times New Roman"/>
          <w:sz w:val="24"/>
          <w:szCs w:val="24"/>
        </w:rPr>
        <w:t>-</w:t>
      </w:r>
      <w:r w:rsidRPr="006646F8">
        <w:rPr>
          <w:rFonts w:ascii="Times New Roman" w:hAnsi="Times New Roman"/>
          <w:sz w:val="24"/>
          <w:szCs w:val="24"/>
        </w:rPr>
        <w:t>estimation du seuil de pauvreté mentionnés dans le chapitre</w:t>
      </w:r>
      <w:r w:rsidRPr="006646F8">
        <w:rPr>
          <w:rFonts w:ascii="Times New Roman" w:hAnsi="Times New Roman"/>
          <w:sz w:val="24"/>
          <w:szCs w:val="24"/>
          <w:vertAlign w:val="superscript"/>
        </w:rPr>
        <w:t>1</w:t>
      </w:r>
      <w:r>
        <w:rPr>
          <w:rFonts w:ascii="Times New Roman" w:hAnsi="Times New Roman"/>
          <w:sz w:val="24"/>
          <w:szCs w:val="24"/>
        </w:rPr>
        <w:t xml:space="preserve"> pourraient être atténués</w:t>
      </w:r>
      <w:r w:rsidRPr="006646F8">
        <w:rPr>
          <w:rFonts w:ascii="Times New Roman" w:hAnsi="Times New Roman"/>
          <w:sz w:val="24"/>
          <w:szCs w:val="24"/>
        </w:rPr>
        <w:t>.</w:t>
      </w:r>
      <w:r>
        <w:rPr>
          <w:rFonts w:ascii="Times New Roman" w:hAnsi="Times New Roman"/>
          <w:sz w:val="24"/>
          <w:szCs w:val="24"/>
        </w:rPr>
        <w:t xml:space="preserve"> Toutefois, d’autres approches pertinentes pourraient être mises en œuvre dans la détermin</w:t>
      </w:r>
      <w:r w:rsidR="007D24F1">
        <w:rPr>
          <w:rFonts w:ascii="Times New Roman" w:hAnsi="Times New Roman"/>
          <w:sz w:val="24"/>
          <w:szCs w:val="24"/>
        </w:rPr>
        <w:t>ation</w:t>
      </w:r>
      <w:r w:rsidR="003C71C3">
        <w:rPr>
          <w:rFonts w:ascii="Times New Roman" w:hAnsi="Times New Roman"/>
          <w:sz w:val="24"/>
          <w:szCs w:val="24"/>
        </w:rPr>
        <w:t xml:space="preserve"> </w:t>
      </w:r>
      <w:r w:rsidR="007D24F1">
        <w:rPr>
          <w:rFonts w:ascii="Times New Roman" w:hAnsi="Times New Roman"/>
          <w:sz w:val="24"/>
          <w:szCs w:val="24"/>
        </w:rPr>
        <w:t>du</w:t>
      </w:r>
      <w:r>
        <w:rPr>
          <w:rFonts w:ascii="Times New Roman" w:hAnsi="Times New Roman"/>
          <w:sz w:val="24"/>
          <w:szCs w:val="24"/>
        </w:rPr>
        <w:t xml:space="preserve"> seuil de pauvreté.</w:t>
      </w:r>
    </w:p>
    <w:p w:rsidR="00995F69" w:rsidRDefault="00995F69" w:rsidP="001D6886">
      <w:pPr>
        <w:pStyle w:val="Paragraphedeliste"/>
        <w:spacing w:line="240" w:lineRule="auto"/>
        <w:ind w:left="360"/>
        <w:rPr>
          <w:rFonts w:ascii="Times New Roman" w:hAnsi="Times New Roman"/>
          <w:sz w:val="24"/>
          <w:szCs w:val="24"/>
        </w:rPr>
      </w:pPr>
    </w:p>
    <w:p w:rsidR="00995F69" w:rsidRDefault="00995F69" w:rsidP="00930D19">
      <w:pPr>
        <w:pStyle w:val="Paragraphedeliste"/>
        <w:numPr>
          <w:ilvl w:val="0"/>
          <w:numId w:val="19"/>
        </w:numPr>
        <w:spacing w:line="276" w:lineRule="auto"/>
        <w:rPr>
          <w:rFonts w:ascii="Times New Roman" w:hAnsi="Times New Roman"/>
          <w:sz w:val="24"/>
          <w:szCs w:val="24"/>
        </w:rPr>
      </w:pPr>
      <w:r w:rsidRPr="006646F8">
        <w:rPr>
          <w:rFonts w:ascii="Times New Roman" w:hAnsi="Times New Roman"/>
          <w:b/>
          <w:sz w:val="24"/>
          <w:szCs w:val="24"/>
        </w:rPr>
        <w:t>La prise en compte des échelles d’équivalence dans l’appréciation de l’indicateur de niveau de vie</w:t>
      </w:r>
      <w:r>
        <w:rPr>
          <w:rFonts w:ascii="Times New Roman" w:hAnsi="Times New Roman"/>
          <w:sz w:val="24"/>
          <w:szCs w:val="24"/>
        </w:rPr>
        <w:t>. Ceci devrait permettre de tenir compte de la composition du ménage et des économies d’échelle. Elle permettra notamment d’approfondir les analyses sur l’influence de la composition du ménage sur l’incidence de la pauvreté selon le sexe du chef de ménage.</w:t>
      </w:r>
    </w:p>
    <w:p w:rsidR="00995F69" w:rsidRPr="001D6886" w:rsidRDefault="00995F69" w:rsidP="003232C4">
      <w:pPr>
        <w:pStyle w:val="Paragraphedeliste"/>
        <w:rPr>
          <w:rFonts w:ascii="Times New Roman" w:hAnsi="Times New Roman"/>
          <w:sz w:val="24"/>
          <w:szCs w:val="24"/>
        </w:rPr>
      </w:pPr>
    </w:p>
    <w:p w:rsidR="00995F69" w:rsidRPr="001D6886" w:rsidRDefault="00995F69" w:rsidP="00930D19">
      <w:pPr>
        <w:pStyle w:val="Paragraphedeliste"/>
        <w:numPr>
          <w:ilvl w:val="0"/>
          <w:numId w:val="19"/>
        </w:numPr>
        <w:spacing w:line="276" w:lineRule="auto"/>
        <w:rPr>
          <w:rFonts w:ascii="Times New Roman" w:hAnsi="Times New Roman"/>
          <w:sz w:val="24"/>
          <w:szCs w:val="24"/>
        </w:rPr>
      </w:pPr>
      <w:r w:rsidRPr="001D6886">
        <w:rPr>
          <w:rFonts w:ascii="Times New Roman" w:hAnsi="Times New Roman"/>
          <w:b/>
          <w:sz w:val="24"/>
          <w:szCs w:val="24"/>
        </w:rPr>
        <w:t>La réalisation des enquêtes avec des périodicités pré-définies.</w:t>
      </w:r>
      <w:r w:rsidRPr="001D6886">
        <w:rPr>
          <w:rFonts w:ascii="Times New Roman" w:hAnsi="Times New Roman"/>
          <w:sz w:val="24"/>
          <w:szCs w:val="24"/>
        </w:rPr>
        <w:t xml:space="preserve"> La périodicité des enquêtes est quelque peu aléatoire en raison des difficultés dans la mobilisation des ressources financières nécessaires à la réalisation de ces opérations de collecte de données. Cette contrainte rend plus probable les questions de saisonnalité dans les données de consommation des ménages. Si des techniques adéquates existent pour traiter de ce problème, il reste qu’une bonne programmation des enquêtes pourrait </w:t>
      </w:r>
      <w:r w:rsidR="00B75E53">
        <w:rPr>
          <w:rFonts w:ascii="Times New Roman" w:hAnsi="Times New Roman"/>
          <w:sz w:val="24"/>
          <w:szCs w:val="24"/>
        </w:rPr>
        <w:t xml:space="preserve">rendre </w:t>
      </w:r>
      <w:r w:rsidRPr="001D6886">
        <w:rPr>
          <w:rFonts w:ascii="Times New Roman" w:hAnsi="Times New Roman"/>
          <w:sz w:val="24"/>
          <w:szCs w:val="24"/>
        </w:rPr>
        <w:t xml:space="preserve">les périodicités de réalisation moins variables. Ainsi, au regard de l’importance que revêt l’enquête EMICoV pour le suivi de la pauvreté, il est extrêmement important de pallier notamment </w:t>
      </w:r>
      <w:r w:rsidR="002708EC">
        <w:rPr>
          <w:rFonts w:ascii="Times New Roman" w:hAnsi="Times New Roman"/>
          <w:sz w:val="24"/>
          <w:szCs w:val="24"/>
        </w:rPr>
        <w:t>les</w:t>
      </w:r>
      <w:r w:rsidR="002708EC" w:rsidRPr="001D6886">
        <w:rPr>
          <w:rFonts w:ascii="Times New Roman" w:hAnsi="Times New Roman"/>
          <w:sz w:val="24"/>
          <w:szCs w:val="24"/>
        </w:rPr>
        <w:t xml:space="preserve"> </w:t>
      </w:r>
      <w:r w:rsidRPr="001D6886">
        <w:rPr>
          <w:rFonts w:ascii="Times New Roman" w:hAnsi="Times New Roman"/>
          <w:sz w:val="24"/>
          <w:szCs w:val="24"/>
        </w:rPr>
        <w:t xml:space="preserve">difficultés d’ordre financier et programmatique qui pourraient compromettre l’organisation à bonne date </w:t>
      </w:r>
      <w:r w:rsidR="002708EC">
        <w:rPr>
          <w:rFonts w:ascii="Times New Roman" w:hAnsi="Times New Roman"/>
          <w:sz w:val="24"/>
          <w:szCs w:val="24"/>
        </w:rPr>
        <w:t xml:space="preserve">de </w:t>
      </w:r>
      <w:r w:rsidRPr="001D6886">
        <w:rPr>
          <w:rFonts w:ascii="Times New Roman" w:hAnsi="Times New Roman"/>
          <w:sz w:val="24"/>
          <w:szCs w:val="24"/>
        </w:rPr>
        <w:t xml:space="preserve">la collecte des données selon une périodicité fixe. Dans ce contexte, pour des raisons de sécurisation de cette enquête, il est probablement plus indiqué d’opter pour une opération portant sur : une enquête de suivi chaque année et une enquête intégrale tous les cinq ans. Ces différentes phases devront aussi intégrer à travers les questionnaires les besoins prioritaires des autres secteurs pour le suivi de leurs indicateurs. </w:t>
      </w:r>
    </w:p>
    <w:p w:rsidR="00995F69" w:rsidRDefault="00995F69" w:rsidP="00E8126B">
      <w:pPr>
        <w:spacing w:line="240" w:lineRule="auto"/>
        <w:rPr>
          <w:rFonts w:ascii="Times New Roman" w:hAnsi="Times New Roman"/>
          <w:sz w:val="24"/>
          <w:szCs w:val="24"/>
          <w:highlight w:val="yellow"/>
        </w:rPr>
      </w:pPr>
    </w:p>
    <w:p w:rsidR="00995F69" w:rsidRDefault="00995F69" w:rsidP="00930D19">
      <w:pPr>
        <w:pStyle w:val="Paragraphedeliste"/>
        <w:numPr>
          <w:ilvl w:val="0"/>
          <w:numId w:val="19"/>
        </w:numPr>
        <w:spacing w:line="276" w:lineRule="auto"/>
        <w:rPr>
          <w:rFonts w:ascii="Times New Roman" w:hAnsi="Times New Roman"/>
          <w:sz w:val="24"/>
          <w:szCs w:val="24"/>
        </w:rPr>
      </w:pPr>
      <w:r w:rsidRPr="006646F8">
        <w:rPr>
          <w:rFonts w:ascii="Times New Roman" w:hAnsi="Times New Roman"/>
          <w:b/>
          <w:sz w:val="24"/>
          <w:szCs w:val="24"/>
        </w:rPr>
        <w:t>L</w:t>
      </w:r>
      <w:r>
        <w:rPr>
          <w:rFonts w:ascii="Times New Roman" w:hAnsi="Times New Roman"/>
          <w:b/>
          <w:sz w:val="24"/>
          <w:szCs w:val="24"/>
        </w:rPr>
        <w:t xml:space="preserve">a révision de l’architecture de l’enquête pour y </w:t>
      </w:r>
      <w:r w:rsidRPr="006646F8">
        <w:rPr>
          <w:rFonts w:ascii="Times New Roman" w:hAnsi="Times New Roman"/>
          <w:b/>
          <w:sz w:val="24"/>
          <w:szCs w:val="24"/>
        </w:rPr>
        <w:t>intégr</w:t>
      </w:r>
      <w:r>
        <w:rPr>
          <w:rFonts w:ascii="Times New Roman" w:hAnsi="Times New Roman"/>
          <w:b/>
          <w:sz w:val="24"/>
          <w:szCs w:val="24"/>
        </w:rPr>
        <w:t xml:space="preserve">er de façon continue les modules pouvant permettre de mieux apprécier les indicateurs de suivi de la pauvreté et de la vulnérabilité. </w:t>
      </w:r>
      <w:r w:rsidRPr="001064B7">
        <w:rPr>
          <w:rFonts w:ascii="Times New Roman" w:hAnsi="Times New Roman"/>
          <w:sz w:val="24"/>
          <w:szCs w:val="24"/>
        </w:rPr>
        <w:t>Certains</w:t>
      </w:r>
      <w:r w:rsidR="003C71C3">
        <w:rPr>
          <w:rFonts w:ascii="Times New Roman" w:hAnsi="Times New Roman"/>
          <w:sz w:val="24"/>
          <w:szCs w:val="24"/>
        </w:rPr>
        <w:t xml:space="preserve"> </w:t>
      </w:r>
      <w:r w:rsidRPr="001064B7">
        <w:rPr>
          <w:rFonts w:ascii="Times New Roman" w:hAnsi="Times New Roman"/>
          <w:sz w:val="24"/>
          <w:szCs w:val="24"/>
        </w:rPr>
        <w:t>des modules tels que</w:t>
      </w:r>
      <w:r>
        <w:rPr>
          <w:rFonts w:ascii="Times New Roman" w:hAnsi="Times New Roman"/>
          <w:sz w:val="24"/>
          <w:szCs w:val="24"/>
        </w:rPr>
        <w:t xml:space="preserve"> « sécurité humaine » sont commandités directement par les partenaires techniques et financiers pour leurs besoins. Ils pourraient donc </w:t>
      </w:r>
      <w:r w:rsidR="002708EC">
        <w:rPr>
          <w:rFonts w:ascii="Times New Roman" w:hAnsi="Times New Roman"/>
          <w:sz w:val="24"/>
          <w:szCs w:val="24"/>
        </w:rPr>
        <w:t xml:space="preserve">disparaître </w:t>
      </w:r>
      <w:r>
        <w:rPr>
          <w:rFonts w:ascii="Times New Roman" w:hAnsi="Times New Roman"/>
          <w:sz w:val="24"/>
          <w:szCs w:val="24"/>
        </w:rPr>
        <w:t xml:space="preserve">à tout moment. On peut aussi noter par exemple l’absence </w:t>
      </w:r>
      <w:r w:rsidRPr="001064B7">
        <w:rPr>
          <w:rFonts w:ascii="Times New Roman" w:hAnsi="Times New Roman"/>
          <w:sz w:val="24"/>
          <w:szCs w:val="24"/>
        </w:rPr>
        <w:t>d’un module sur les sources de revenus et moyens de subsistance des ménages</w:t>
      </w:r>
      <w:r>
        <w:rPr>
          <w:rFonts w:ascii="Times New Roman" w:hAnsi="Times New Roman"/>
          <w:sz w:val="24"/>
          <w:szCs w:val="24"/>
        </w:rPr>
        <w:t xml:space="preserve"> qui doit permettre d’apprécier les capacités des ménages pour faire face aux chocs. De telles données doivent contribuer à apprécier le degré de vulnérabilité des ménages par rapport aux différents chocs auxquels ils sont exposés. L</w:t>
      </w:r>
      <w:r w:rsidRPr="006646F8">
        <w:rPr>
          <w:rFonts w:ascii="Times New Roman" w:hAnsi="Times New Roman"/>
          <w:sz w:val="24"/>
          <w:szCs w:val="24"/>
        </w:rPr>
        <w:t>es données actuellement disponibles dans l’enquête EMICoV sont limité</w:t>
      </w:r>
      <w:r w:rsidR="002708EC">
        <w:rPr>
          <w:rFonts w:ascii="Times New Roman" w:hAnsi="Times New Roman"/>
          <w:sz w:val="24"/>
          <w:szCs w:val="24"/>
        </w:rPr>
        <w:t>e</w:t>
      </w:r>
      <w:r w:rsidRPr="006646F8">
        <w:rPr>
          <w:rFonts w:ascii="Times New Roman" w:hAnsi="Times New Roman"/>
          <w:sz w:val="24"/>
          <w:szCs w:val="24"/>
        </w:rPr>
        <w:t xml:space="preserve">s à quelques actifs. </w:t>
      </w:r>
    </w:p>
    <w:p w:rsidR="00995F69" w:rsidRDefault="00995F69"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lang w:val="fr-CA"/>
        </w:rPr>
      </w:pPr>
      <w:r>
        <w:rPr>
          <w:rFonts w:ascii="Times New Roman" w:hAnsi="Times New Roman"/>
          <w:b/>
          <w:sz w:val="24"/>
          <w:szCs w:val="24"/>
        </w:rPr>
        <w:t xml:space="preserve">S’agissant de </w:t>
      </w:r>
      <w:r w:rsidRPr="007B43D0">
        <w:rPr>
          <w:rFonts w:ascii="Times New Roman" w:hAnsi="Times New Roman"/>
          <w:b/>
          <w:sz w:val="24"/>
          <w:szCs w:val="24"/>
        </w:rPr>
        <w:t xml:space="preserve"> l’approche non monétaire</w:t>
      </w:r>
      <w:r>
        <w:rPr>
          <w:rFonts w:ascii="Times New Roman" w:hAnsi="Times New Roman"/>
          <w:b/>
          <w:sz w:val="24"/>
          <w:szCs w:val="24"/>
        </w:rPr>
        <w:t> </w:t>
      </w:r>
      <w:r>
        <w:rPr>
          <w:rFonts w:ascii="Times New Roman" w:hAnsi="Times New Roman"/>
          <w:sz w:val="24"/>
          <w:szCs w:val="24"/>
        </w:rPr>
        <w:t xml:space="preserve">: Dans les travaux disponibles, la pauvreté non monétaire est captée à partir des </w:t>
      </w:r>
      <w:r w:rsidRPr="007B43D0">
        <w:rPr>
          <w:rFonts w:ascii="Times New Roman" w:hAnsi="Times New Roman"/>
          <w:sz w:val="24"/>
          <w:szCs w:val="24"/>
        </w:rPr>
        <w:t>variables de conditions de vie et de patrimoine du ménage. Elle vise à repérer un certain nombre de carence</w:t>
      </w:r>
      <w:r w:rsidR="00FA11FB">
        <w:rPr>
          <w:rFonts w:ascii="Times New Roman" w:hAnsi="Times New Roman"/>
          <w:sz w:val="24"/>
          <w:szCs w:val="24"/>
        </w:rPr>
        <w:t>s</w:t>
      </w:r>
      <w:r w:rsidRPr="007B43D0">
        <w:rPr>
          <w:rFonts w:ascii="Times New Roman" w:hAnsi="Times New Roman"/>
          <w:sz w:val="24"/>
          <w:szCs w:val="24"/>
        </w:rPr>
        <w:t xml:space="preserve"> ou de privation</w:t>
      </w:r>
      <w:r w:rsidR="00FA11FB">
        <w:rPr>
          <w:rFonts w:ascii="Times New Roman" w:hAnsi="Times New Roman"/>
          <w:sz w:val="24"/>
          <w:szCs w:val="24"/>
        </w:rPr>
        <w:t>s</w:t>
      </w:r>
      <w:r w:rsidRPr="007B43D0">
        <w:rPr>
          <w:rFonts w:ascii="Times New Roman" w:hAnsi="Times New Roman"/>
          <w:sz w:val="24"/>
          <w:szCs w:val="24"/>
        </w:rPr>
        <w:t xml:space="preserve"> dans différents domaines des conditions d</w:t>
      </w:r>
      <w:r w:rsidR="00FA11FB">
        <w:rPr>
          <w:rFonts w:ascii="Times New Roman" w:hAnsi="Times New Roman"/>
          <w:sz w:val="24"/>
          <w:szCs w:val="24"/>
        </w:rPr>
        <w:t>’</w:t>
      </w:r>
      <w:r w:rsidRPr="007B43D0">
        <w:rPr>
          <w:rFonts w:ascii="Times New Roman" w:hAnsi="Times New Roman"/>
          <w:sz w:val="24"/>
          <w:szCs w:val="24"/>
        </w:rPr>
        <w:t>existence des ménage</w:t>
      </w:r>
      <w:r w:rsidR="00A90A6E">
        <w:rPr>
          <w:rFonts w:ascii="Times New Roman" w:hAnsi="Times New Roman"/>
          <w:sz w:val="24"/>
          <w:szCs w:val="24"/>
        </w:rPr>
        <w:t>s</w:t>
      </w:r>
      <w:r>
        <w:rPr>
          <w:rFonts w:ascii="Times New Roman" w:hAnsi="Times New Roman"/>
          <w:sz w:val="24"/>
          <w:szCs w:val="24"/>
        </w:rPr>
        <w:t>.</w:t>
      </w:r>
      <w:r w:rsidRPr="007B43D0">
        <w:rPr>
          <w:rFonts w:ascii="Times New Roman" w:hAnsi="Times New Roman"/>
          <w:sz w:val="24"/>
          <w:szCs w:val="24"/>
        </w:rPr>
        <w:t xml:space="preserve"> Cette forme de pauvreté intègre les actifs physiques ou financiers du ménage. </w:t>
      </w:r>
      <w:r>
        <w:rPr>
          <w:rFonts w:ascii="Times New Roman" w:hAnsi="Times New Roman"/>
          <w:sz w:val="24"/>
          <w:szCs w:val="24"/>
        </w:rPr>
        <w:t>Elle</w:t>
      </w:r>
      <w:r w:rsidRPr="007B43D0">
        <w:rPr>
          <w:rFonts w:ascii="Times New Roman" w:hAnsi="Times New Roman"/>
          <w:sz w:val="24"/>
          <w:szCs w:val="24"/>
        </w:rPr>
        <w:t xml:space="preserve"> suit une forme structurelle, puisqu’elle porte sur un stock qui n’est pas facilement détruisable par les chocs conjoncturels. Elle est </w:t>
      </w:r>
      <w:r w:rsidRPr="007B43D0">
        <w:rPr>
          <w:rFonts w:ascii="Times New Roman" w:hAnsi="Times New Roman"/>
          <w:sz w:val="24"/>
          <w:szCs w:val="24"/>
          <w:lang w:val="fr-CA"/>
        </w:rPr>
        <w:t xml:space="preserve">appréciée </w:t>
      </w:r>
      <w:r w:rsidRPr="007B43D0">
        <w:rPr>
          <w:rFonts w:ascii="Times New Roman" w:hAnsi="Times New Roman"/>
          <w:sz w:val="24"/>
          <w:szCs w:val="24"/>
        </w:rPr>
        <w:t xml:space="preserve">à partir d’un indice composite </w:t>
      </w:r>
      <w:r w:rsidRPr="007B43D0">
        <w:rPr>
          <w:rFonts w:ascii="Times New Roman" w:hAnsi="Times New Roman"/>
          <w:sz w:val="24"/>
          <w:szCs w:val="24"/>
          <w:lang w:val="fr-CA"/>
        </w:rPr>
        <w:t>qui est une combinaison linéaire des variables dichotomiques  de conditions de vie et de patrimoine ou actifs du ménage.</w:t>
      </w:r>
      <w:r>
        <w:rPr>
          <w:rFonts w:ascii="Times New Roman" w:hAnsi="Times New Roman"/>
          <w:sz w:val="24"/>
          <w:szCs w:val="24"/>
          <w:lang w:val="fr-CA"/>
        </w:rPr>
        <w:t xml:space="preserve"> Le défi à ce niveau est de:</w:t>
      </w:r>
    </w:p>
    <w:p w:rsidR="00995F69" w:rsidRDefault="00995F69" w:rsidP="00E8126B">
      <w:pPr>
        <w:spacing w:line="240" w:lineRule="auto"/>
        <w:rPr>
          <w:rFonts w:ascii="Times New Roman" w:hAnsi="Times New Roman"/>
          <w:sz w:val="24"/>
          <w:szCs w:val="24"/>
          <w:lang w:val="fr-CA"/>
        </w:rPr>
      </w:pPr>
    </w:p>
    <w:p w:rsidR="00995F69" w:rsidRDefault="00995F69" w:rsidP="00930D19">
      <w:pPr>
        <w:pStyle w:val="Paragraphedeliste"/>
        <w:numPr>
          <w:ilvl w:val="0"/>
          <w:numId w:val="19"/>
        </w:numPr>
        <w:spacing w:line="276" w:lineRule="auto"/>
        <w:rPr>
          <w:rFonts w:ascii="Times New Roman" w:hAnsi="Times New Roman"/>
          <w:sz w:val="24"/>
          <w:szCs w:val="24"/>
        </w:rPr>
      </w:pPr>
      <w:r w:rsidRPr="006646F8">
        <w:rPr>
          <w:rFonts w:ascii="Times New Roman" w:hAnsi="Times New Roman"/>
          <w:b/>
          <w:sz w:val="24"/>
          <w:szCs w:val="24"/>
        </w:rPr>
        <w:t>converger vers  une dimension plus large de la pauvreté non monétaire telle que l’approche selon les besoins de base</w:t>
      </w:r>
      <w:r w:rsidRPr="006646F8">
        <w:rPr>
          <w:rFonts w:ascii="Times New Roman" w:hAnsi="Times New Roman"/>
          <w:sz w:val="24"/>
          <w:szCs w:val="24"/>
        </w:rPr>
        <w:t>. Dans une telle approche, les dimensions du bien-être pris en compte sont : éducation, santé</w:t>
      </w:r>
      <w:r>
        <w:rPr>
          <w:rFonts w:ascii="Times New Roman" w:hAnsi="Times New Roman"/>
          <w:sz w:val="24"/>
          <w:szCs w:val="24"/>
        </w:rPr>
        <w:t>, eau potable, nutrition, habitat, assainissement, énergie</w:t>
      </w:r>
      <w:r w:rsidR="00FA11FB">
        <w:rPr>
          <w:rFonts w:ascii="Times New Roman" w:hAnsi="Times New Roman"/>
          <w:sz w:val="24"/>
          <w:szCs w:val="24"/>
        </w:rPr>
        <w:t>,</w:t>
      </w:r>
      <w:r>
        <w:rPr>
          <w:rFonts w:ascii="Times New Roman" w:hAnsi="Times New Roman"/>
          <w:sz w:val="24"/>
          <w:szCs w:val="24"/>
        </w:rPr>
        <w:t xml:space="preserve"> communication, bien</w:t>
      </w:r>
      <w:r w:rsidR="00FA11FB">
        <w:rPr>
          <w:rFonts w:ascii="Times New Roman" w:hAnsi="Times New Roman"/>
          <w:sz w:val="24"/>
          <w:szCs w:val="24"/>
        </w:rPr>
        <w:t>s</w:t>
      </w:r>
      <w:r>
        <w:rPr>
          <w:rFonts w:ascii="Times New Roman" w:hAnsi="Times New Roman"/>
          <w:sz w:val="24"/>
          <w:szCs w:val="24"/>
        </w:rPr>
        <w:t xml:space="preserve"> d’équipements et de confort. Elles vont au-delà des conditions d’existence du ménage et </w:t>
      </w:r>
      <w:r w:rsidRPr="007B43D0">
        <w:rPr>
          <w:rFonts w:ascii="Times New Roman" w:hAnsi="Times New Roman"/>
          <w:sz w:val="24"/>
          <w:szCs w:val="24"/>
        </w:rPr>
        <w:t>de patrimoine du ménage</w:t>
      </w:r>
      <w:r>
        <w:rPr>
          <w:rFonts w:ascii="Times New Roman" w:hAnsi="Times New Roman"/>
          <w:sz w:val="24"/>
          <w:szCs w:val="24"/>
        </w:rPr>
        <w:t>.</w:t>
      </w:r>
    </w:p>
    <w:p w:rsidR="00995F69" w:rsidRDefault="00995F69" w:rsidP="00E8126B">
      <w:pPr>
        <w:pStyle w:val="Paragraphedeliste"/>
        <w:spacing w:line="240" w:lineRule="auto"/>
        <w:ind w:left="360"/>
        <w:rPr>
          <w:rFonts w:ascii="Times New Roman" w:hAnsi="Times New Roman"/>
          <w:sz w:val="24"/>
          <w:szCs w:val="24"/>
        </w:rPr>
      </w:pPr>
    </w:p>
    <w:p w:rsidR="00995F69" w:rsidRDefault="00995F69" w:rsidP="00930D19">
      <w:pPr>
        <w:pStyle w:val="Paragraphedeliste"/>
        <w:numPr>
          <w:ilvl w:val="0"/>
          <w:numId w:val="19"/>
        </w:numPr>
        <w:spacing w:line="276" w:lineRule="auto"/>
        <w:rPr>
          <w:rFonts w:ascii="Times New Roman" w:hAnsi="Times New Roman"/>
          <w:sz w:val="24"/>
          <w:szCs w:val="24"/>
        </w:rPr>
      </w:pPr>
      <w:r>
        <w:rPr>
          <w:rFonts w:ascii="Times New Roman" w:hAnsi="Times New Roman"/>
          <w:b/>
          <w:sz w:val="24"/>
          <w:szCs w:val="24"/>
        </w:rPr>
        <w:t>Intégrer ou identifier dans le dispositif de collecte de données</w:t>
      </w:r>
      <w:r w:rsidRPr="006646F8">
        <w:rPr>
          <w:rFonts w:ascii="Times New Roman" w:hAnsi="Times New Roman"/>
          <w:b/>
          <w:sz w:val="24"/>
          <w:szCs w:val="24"/>
        </w:rPr>
        <w:t>, les domaines et les variables nécessaires pour approcher la pauvreté non monétaire selon les besoins de base</w:t>
      </w:r>
      <w:r>
        <w:rPr>
          <w:rFonts w:ascii="Times New Roman" w:hAnsi="Times New Roman"/>
          <w:sz w:val="24"/>
          <w:szCs w:val="24"/>
        </w:rPr>
        <w:t xml:space="preserve">. De façon conceptuelle, l’enquête EMICoV n’intègre pas tous les modules nécessaires pour capter cette dimension. Il s’agit des domaines relatifs à la santé, à la nutrition qui sont </w:t>
      </w:r>
      <w:r w:rsidR="00FA11FB">
        <w:rPr>
          <w:rFonts w:ascii="Times New Roman" w:hAnsi="Times New Roman"/>
          <w:sz w:val="24"/>
          <w:szCs w:val="24"/>
        </w:rPr>
        <w:t xml:space="preserve">intégrés </w:t>
      </w:r>
      <w:r>
        <w:rPr>
          <w:rFonts w:ascii="Times New Roman" w:hAnsi="Times New Roman"/>
          <w:sz w:val="24"/>
          <w:szCs w:val="24"/>
        </w:rPr>
        <w:t xml:space="preserve">dans l’Enquête Démographique et de Santé (EDS). </w:t>
      </w:r>
    </w:p>
    <w:p w:rsidR="00995F69" w:rsidRDefault="00995F69" w:rsidP="00E8126B">
      <w:pPr>
        <w:pStyle w:val="Paragraphedeliste"/>
        <w:spacing w:line="240" w:lineRule="auto"/>
        <w:ind w:left="360"/>
        <w:rPr>
          <w:rFonts w:ascii="Times New Roman" w:hAnsi="Times New Roman"/>
          <w:b/>
          <w:sz w:val="24"/>
          <w:szCs w:val="24"/>
        </w:rPr>
      </w:pPr>
    </w:p>
    <w:p w:rsidR="00995F69" w:rsidRDefault="00995F69" w:rsidP="003232C4">
      <w:pPr>
        <w:spacing w:line="276" w:lineRule="auto"/>
        <w:rPr>
          <w:rFonts w:ascii="Times New Roman" w:hAnsi="Times New Roman"/>
          <w:sz w:val="24"/>
          <w:szCs w:val="24"/>
        </w:rPr>
      </w:pPr>
      <w:r w:rsidRPr="007B43D0">
        <w:rPr>
          <w:rFonts w:ascii="Times New Roman" w:hAnsi="Times New Roman"/>
          <w:b/>
          <w:sz w:val="24"/>
          <w:szCs w:val="24"/>
        </w:rPr>
        <w:t>L’approche de la pauvreté subjective</w:t>
      </w:r>
      <w:r w:rsidRPr="007B43D0">
        <w:rPr>
          <w:rFonts w:ascii="Times New Roman" w:hAnsi="Times New Roman"/>
          <w:sz w:val="24"/>
          <w:szCs w:val="24"/>
        </w:rPr>
        <w:t xml:space="preserve"> consiste à s’intéresser à la perception globale de chaque individu du bien-être de son ménage. Les enquêtes 123 ont permis au Bénin d’élaborer les premiers profils de la pauvreté subjective. Elle</w:t>
      </w:r>
      <w:r w:rsidR="00FA11FB">
        <w:rPr>
          <w:rFonts w:ascii="Times New Roman" w:hAnsi="Times New Roman"/>
          <w:sz w:val="24"/>
          <w:szCs w:val="24"/>
        </w:rPr>
        <w:t>s</w:t>
      </w:r>
      <w:r w:rsidRPr="007B43D0">
        <w:rPr>
          <w:rFonts w:ascii="Times New Roman" w:hAnsi="Times New Roman"/>
          <w:sz w:val="24"/>
          <w:szCs w:val="24"/>
        </w:rPr>
        <w:t xml:space="preserve"> </w:t>
      </w:r>
      <w:r w:rsidR="00FA11FB">
        <w:rPr>
          <w:rFonts w:ascii="Times New Roman" w:hAnsi="Times New Roman"/>
          <w:sz w:val="24"/>
          <w:szCs w:val="24"/>
        </w:rPr>
        <w:t>ont</w:t>
      </w:r>
      <w:r w:rsidR="00FA11FB" w:rsidRPr="007B43D0">
        <w:rPr>
          <w:rFonts w:ascii="Times New Roman" w:hAnsi="Times New Roman"/>
          <w:sz w:val="24"/>
          <w:szCs w:val="24"/>
        </w:rPr>
        <w:t xml:space="preserve"> </w:t>
      </w:r>
      <w:r w:rsidRPr="007B43D0">
        <w:rPr>
          <w:rFonts w:ascii="Times New Roman" w:hAnsi="Times New Roman"/>
          <w:sz w:val="24"/>
          <w:szCs w:val="24"/>
        </w:rPr>
        <w:t>été renforcée</w:t>
      </w:r>
      <w:r w:rsidR="00FA11FB">
        <w:rPr>
          <w:rFonts w:ascii="Times New Roman" w:hAnsi="Times New Roman"/>
          <w:sz w:val="24"/>
          <w:szCs w:val="24"/>
        </w:rPr>
        <w:t>s</w:t>
      </w:r>
      <w:r w:rsidRPr="007B43D0">
        <w:rPr>
          <w:rFonts w:ascii="Times New Roman" w:hAnsi="Times New Roman"/>
          <w:sz w:val="24"/>
          <w:szCs w:val="24"/>
        </w:rPr>
        <w:t xml:space="preserve"> par la disponibilité des données de l’EMICoV. L'approche subjective consiste non pas à se référer à un seuil minimal de ressources défini conventionnellement ou à des conditions objectives d'existence, mais à interroger directement les ménages sur la perception qu'ils ont de ces réalités, à partir de questions sur leur revenu, le revenu minimum nécessaire selon eux "pour joindre les deux bouts" et/ou leur degré "d'aisance financière". </w:t>
      </w:r>
      <w:r>
        <w:rPr>
          <w:rFonts w:ascii="Times New Roman" w:hAnsi="Times New Roman"/>
          <w:sz w:val="24"/>
          <w:szCs w:val="24"/>
        </w:rPr>
        <w:t>Cette approche a besoin d’être renforcée sur d’autres dimensions que les conditions de vie et d’existence. Elle présente de plus en plus d’intérêt dans les travaux empiriques sur la pauvreté</w:t>
      </w:r>
      <w:r w:rsidR="00FA11FB">
        <w:rPr>
          <w:rFonts w:ascii="Times New Roman" w:hAnsi="Times New Roman"/>
          <w:sz w:val="24"/>
          <w:szCs w:val="24"/>
        </w:rPr>
        <w:t>,</w:t>
      </w:r>
      <w:r>
        <w:rPr>
          <w:rFonts w:ascii="Times New Roman" w:hAnsi="Times New Roman"/>
          <w:sz w:val="24"/>
          <w:szCs w:val="24"/>
        </w:rPr>
        <w:t xml:space="preserve"> notamment pour élucider les paradigmes de la croissance dans les pays en voie de développement.</w:t>
      </w:r>
    </w:p>
    <w:p w:rsidR="00995F69" w:rsidRDefault="00995F69" w:rsidP="00E8126B">
      <w:pPr>
        <w:spacing w:line="240" w:lineRule="auto"/>
        <w:rPr>
          <w:rFonts w:ascii="Times New Roman" w:hAnsi="Times New Roman"/>
          <w:sz w:val="24"/>
          <w:szCs w:val="24"/>
        </w:rPr>
      </w:pPr>
    </w:p>
    <w:p w:rsidR="00995F69" w:rsidRPr="001D6886" w:rsidRDefault="00995F69" w:rsidP="001D6886">
      <w:pPr>
        <w:pStyle w:val="Titre2"/>
        <w:spacing w:before="120" w:after="0" w:line="240" w:lineRule="auto"/>
        <w:rPr>
          <w:rFonts w:ascii="Times New Roman" w:hAnsi="Times New Roman"/>
          <w:i w:val="0"/>
          <w:color w:val="31849B" w:themeColor="accent5" w:themeShade="BF"/>
        </w:rPr>
      </w:pPr>
      <w:bookmarkStart w:id="213" w:name="_Toc382322967"/>
      <w:r w:rsidRPr="001D6886">
        <w:rPr>
          <w:rFonts w:ascii="Times New Roman" w:eastAsia="Times New Roman" w:hAnsi="Times New Roman"/>
          <w:i w:val="0"/>
          <w:color w:val="31849B" w:themeColor="accent5" w:themeShade="BF"/>
          <w:lang w:eastAsia="fr-FR"/>
        </w:rPr>
        <w:t>7.5</w:t>
      </w:r>
      <w:r w:rsidR="003C71C3">
        <w:rPr>
          <w:rFonts w:ascii="Times New Roman" w:eastAsia="Times New Roman" w:hAnsi="Times New Roman"/>
          <w:i w:val="0"/>
          <w:color w:val="31849B" w:themeColor="accent5" w:themeShade="BF"/>
          <w:lang w:eastAsia="fr-FR"/>
        </w:rPr>
        <w:t xml:space="preserve"> </w:t>
      </w:r>
      <w:r w:rsidRPr="001D6886">
        <w:rPr>
          <w:rFonts w:ascii="Times New Roman" w:eastAsia="Times New Roman" w:hAnsi="Times New Roman"/>
          <w:i w:val="0"/>
          <w:color w:val="31849B" w:themeColor="accent5" w:themeShade="BF"/>
          <w:lang w:eastAsia="fr-FR"/>
        </w:rPr>
        <w:t xml:space="preserve">Enjeux </w:t>
      </w:r>
      <w:r w:rsidRPr="001D6886">
        <w:rPr>
          <w:rFonts w:ascii="Times New Roman" w:hAnsi="Times New Roman"/>
          <w:i w:val="0"/>
          <w:color w:val="31849B" w:themeColor="accent5" w:themeShade="BF"/>
        </w:rPr>
        <w:t xml:space="preserve">pour le </w:t>
      </w:r>
      <w:r w:rsidRPr="001D6886">
        <w:rPr>
          <w:rFonts w:ascii="Times New Roman" w:eastAsia="Times New Roman" w:hAnsi="Times New Roman"/>
          <w:i w:val="0"/>
          <w:color w:val="31849B" w:themeColor="accent5" w:themeShade="BF"/>
          <w:lang w:eastAsia="fr-FR"/>
        </w:rPr>
        <w:t xml:space="preserve"> suivi de  la vulnérabilité des ménages</w:t>
      </w:r>
      <w:bookmarkEnd w:id="213"/>
    </w:p>
    <w:p w:rsidR="001D6886" w:rsidRDefault="001D6886" w:rsidP="00E8126B">
      <w:pPr>
        <w:spacing w:line="240" w:lineRule="auto"/>
        <w:rPr>
          <w:rFonts w:ascii="Times New Roman" w:eastAsia="Arial Unicode MS" w:hAnsi="Times New Roman"/>
          <w:b/>
          <w:sz w:val="24"/>
          <w:szCs w:val="24"/>
        </w:rPr>
      </w:pPr>
    </w:p>
    <w:p w:rsidR="00995F69" w:rsidRDefault="00995F69" w:rsidP="00A72A8A">
      <w:pPr>
        <w:spacing w:line="276" w:lineRule="auto"/>
        <w:rPr>
          <w:rFonts w:ascii="Times New Roman" w:hAnsi="Times New Roman"/>
          <w:sz w:val="24"/>
          <w:szCs w:val="24"/>
        </w:rPr>
      </w:pPr>
      <w:r w:rsidRPr="006646F8">
        <w:rPr>
          <w:rFonts w:ascii="Times New Roman" w:eastAsia="Arial Unicode MS" w:hAnsi="Times New Roman"/>
          <w:b/>
          <w:sz w:val="24"/>
          <w:szCs w:val="24"/>
        </w:rPr>
        <w:t xml:space="preserve">Suivi de la </w:t>
      </w:r>
      <w:r>
        <w:rPr>
          <w:rFonts w:ascii="Times New Roman" w:eastAsia="Arial Unicode MS" w:hAnsi="Times New Roman"/>
          <w:b/>
          <w:sz w:val="24"/>
          <w:szCs w:val="24"/>
        </w:rPr>
        <w:t xml:space="preserve">vulnérabilité </w:t>
      </w:r>
      <w:r w:rsidRPr="006646F8">
        <w:rPr>
          <w:rFonts w:ascii="Times New Roman" w:eastAsia="Arial Unicode MS" w:hAnsi="Times New Roman"/>
          <w:b/>
          <w:sz w:val="24"/>
          <w:szCs w:val="24"/>
        </w:rPr>
        <w:t>des ménages</w:t>
      </w:r>
      <w:r>
        <w:rPr>
          <w:rFonts w:ascii="Times New Roman" w:eastAsia="Arial Unicode MS" w:hAnsi="Times New Roman"/>
          <w:sz w:val="24"/>
          <w:szCs w:val="24"/>
        </w:rPr>
        <w:t xml:space="preserve"> : Dans le cadre de l’analyse de la pauvreté, la vulnérabilité se définit usuellement comme la probabilité ou le risque pour un ménage/un individu de se retrouver en situation de pauvreté ou de s’y enfoncer davantage à l’avenir (Coudouel, H et Wodon, Q, 2005). </w:t>
      </w:r>
      <w:r>
        <w:rPr>
          <w:rFonts w:ascii="Times New Roman" w:hAnsi="Times New Roman"/>
          <w:sz w:val="24"/>
          <w:szCs w:val="24"/>
        </w:rPr>
        <w:t>Elle</w:t>
      </w:r>
      <w:r w:rsidRPr="0023290F">
        <w:rPr>
          <w:rFonts w:ascii="Times New Roman" w:hAnsi="Times New Roman"/>
          <w:sz w:val="24"/>
          <w:szCs w:val="24"/>
        </w:rPr>
        <w:t xml:space="preserve"> est </w:t>
      </w:r>
      <w:r>
        <w:rPr>
          <w:rFonts w:ascii="Times New Roman" w:hAnsi="Times New Roman"/>
          <w:sz w:val="24"/>
          <w:szCs w:val="24"/>
        </w:rPr>
        <w:t xml:space="preserve">donc </w:t>
      </w:r>
      <w:r w:rsidRPr="0023290F">
        <w:rPr>
          <w:rFonts w:ascii="Times New Roman" w:hAnsi="Times New Roman"/>
          <w:sz w:val="24"/>
          <w:szCs w:val="24"/>
        </w:rPr>
        <w:t>la possibilité de subir une détérioration du bien-être, notamment en dessous d’un critère minimal au seuil de pauvreté.</w:t>
      </w:r>
    </w:p>
    <w:p w:rsidR="00995F69" w:rsidRDefault="00995F69" w:rsidP="00E8126B">
      <w:pPr>
        <w:spacing w:line="240" w:lineRule="auto"/>
        <w:rPr>
          <w:rFonts w:ascii="Times New Roman" w:hAnsi="Times New Roman"/>
          <w:sz w:val="24"/>
          <w:szCs w:val="24"/>
        </w:rPr>
      </w:pPr>
    </w:p>
    <w:p w:rsidR="00995F69" w:rsidRDefault="00995F69" w:rsidP="00A72A8A">
      <w:pPr>
        <w:autoSpaceDE w:val="0"/>
        <w:autoSpaceDN w:val="0"/>
        <w:adjustRightInd w:val="0"/>
        <w:spacing w:line="276" w:lineRule="auto"/>
        <w:rPr>
          <w:rFonts w:ascii="Times New Roman" w:hAnsi="Times New Roman"/>
          <w:sz w:val="24"/>
          <w:szCs w:val="24"/>
        </w:rPr>
      </w:pPr>
      <w:r w:rsidRPr="006646F8">
        <w:rPr>
          <w:rFonts w:ascii="Times New Roman" w:eastAsia="Arial Unicode MS" w:hAnsi="Times New Roman"/>
          <w:sz w:val="24"/>
          <w:szCs w:val="24"/>
        </w:rPr>
        <w:t>Le lien entre la vulnérabilité et la pauvreté est perçu à travers la notion de risque qui les distingue. Selon Chaudhuri (2003), la pauvreté est une mesure ex post du bien-être social et reflète l’impossibilité de satisfaire pleinement les besoins fondamentaux alors que la vulnérabilité est une mesure ex ante du bien-être qui reflète l’incertitude liée à la capacité de satisfaire dans le futur, les besoins socio</w:t>
      </w:r>
      <w:r w:rsidR="00FA11FB">
        <w:rPr>
          <w:rFonts w:ascii="Times New Roman" w:eastAsia="Arial Unicode MS" w:hAnsi="Times New Roman"/>
          <w:sz w:val="24"/>
          <w:szCs w:val="24"/>
        </w:rPr>
        <w:t>-</w:t>
      </w:r>
      <w:r w:rsidRPr="006646F8">
        <w:rPr>
          <w:rFonts w:ascii="Times New Roman" w:eastAsia="Arial Unicode MS" w:hAnsi="Times New Roman"/>
          <w:sz w:val="24"/>
          <w:szCs w:val="24"/>
        </w:rPr>
        <w:t xml:space="preserve">économiques de base. Ce qui distingue donc la pauvreté de la vulnérabilité est la présence du risque qui retrace l’incertitude liée au bien-être futur. Au niveau social, le risque et la variation du revenu ou des dépenses génèrent clairement un sens d’insécurité sociale. Ceci favorise la mobilité dans la pauvreté. </w:t>
      </w:r>
      <w:r>
        <w:rPr>
          <w:rFonts w:ascii="Times New Roman" w:hAnsi="Times New Roman"/>
          <w:sz w:val="24"/>
          <w:szCs w:val="24"/>
        </w:rPr>
        <w:t xml:space="preserve">Ainsi, la </w:t>
      </w:r>
      <w:r w:rsidRPr="006646F8">
        <w:rPr>
          <w:rFonts w:ascii="Times New Roman" w:hAnsi="Times New Roman"/>
          <w:sz w:val="24"/>
          <w:szCs w:val="24"/>
        </w:rPr>
        <w:t xml:space="preserve"> mesure de la vulnérabilité est surtout importante dans le suivi du bien-être des pauvres et dans la conception des politiques d’allègement de la pauvreté (Duclos, 2002).</w:t>
      </w:r>
    </w:p>
    <w:p w:rsidR="00995F69" w:rsidRDefault="00995F69" w:rsidP="00E8126B">
      <w:pPr>
        <w:autoSpaceDE w:val="0"/>
        <w:autoSpaceDN w:val="0"/>
        <w:adjustRightInd w:val="0"/>
        <w:spacing w:line="240" w:lineRule="auto"/>
        <w:rPr>
          <w:rFonts w:ascii="Times New Roman" w:hAnsi="Times New Roman"/>
          <w:sz w:val="24"/>
          <w:szCs w:val="24"/>
        </w:rPr>
      </w:pPr>
    </w:p>
    <w:p w:rsidR="00995F69" w:rsidRDefault="00995F69" w:rsidP="002D6A0A">
      <w:pPr>
        <w:autoSpaceDE w:val="0"/>
        <w:autoSpaceDN w:val="0"/>
        <w:adjustRightInd w:val="0"/>
        <w:spacing w:line="276" w:lineRule="auto"/>
        <w:rPr>
          <w:rFonts w:ascii="Times New Roman" w:eastAsia="Arial Unicode MS" w:hAnsi="Times New Roman"/>
          <w:sz w:val="24"/>
          <w:szCs w:val="24"/>
        </w:rPr>
      </w:pPr>
      <w:r w:rsidRPr="006646F8">
        <w:rPr>
          <w:rFonts w:ascii="Times New Roman" w:hAnsi="Times New Roman"/>
          <w:b/>
          <w:sz w:val="24"/>
          <w:szCs w:val="24"/>
        </w:rPr>
        <w:t>Choix méthodologique</w:t>
      </w:r>
      <w:r w:rsidRPr="006646F8">
        <w:rPr>
          <w:rFonts w:ascii="Times New Roman" w:hAnsi="Times New Roman"/>
          <w:sz w:val="24"/>
          <w:szCs w:val="24"/>
        </w:rPr>
        <w:t xml:space="preserve"> : </w:t>
      </w:r>
      <w:r w:rsidRPr="006646F8">
        <w:rPr>
          <w:rFonts w:ascii="Times New Roman" w:eastAsia="Arial Unicode MS" w:hAnsi="Times New Roman"/>
          <w:sz w:val="24"/>
          <w:szCs w:val="24"/>
        </w:rPr>
        <w:t xml:space="preserve">D’après la littérature, les approches de mesure de la vulnérabilité </w:t>
      </w:r>
      <w:r>
        <w:rPr>
          <w:rFonts w:ascii="Times New Roman" w:eastAsia="Arial Unicode MS" w:hAnsi="Times New Roman"/>
          <w:sz w:val="24"/>
          <w:szCs w:val="24"/>
        </w:rPr>
        <w:t xml:space="preserve">peuvent être classées </w:t>
      </w:r>
      <w:r w:rsidRPr="006646F8">
        <w:rPr>
          <w:rFonts w:ascii="Times New Roman" w:eastAsia="Arial Unicode MS" w:hAnsi="Times New Roman"/>
          <w:sz w:val="24"/>
          <w:szCs w:val="24"/>
        </w:rPr>
        <w:t>en deux groupes selon que les données utilisées sont des données de panel ou des pseudos panel</w:t>
      </w:r>
      <w:r w:rsidR="00FA11FB">
        <w:rPr>
          <w:rFonts w:ascii="Times New Roman" w:eastAsia="Arial Unicode MS" w:hAnsi="Times New Roman"/>
          <w:sz w:val="24"/>
          <w:szCs w:val="24"/>
        </w:rPr>
        <w:t>s</w:t>
      </w:r>
      <w:r w:rsidRPr="006646F8">
        <w:rPr>
          <w:rFonts w:ascii="Times New Roman" w:eastAsia="Arial Unicode MS" w:hAnsi="Times New Roman"/>
          <w:sz w:val="24"/>
          <w:szCs w:val="24"/>
        </w:rPr>
        <w:t xml:space="preserve"> ou que les données utilisées sont en coupe instantanée. Plusieurs auteurs ont contribué à l’éclairage de ces différentes approches. Les travaux les plus pertinents sont ceux de : Morduch (1994), Chaudhuri, Jalan et Suryahadi (2003),  Duclos (2002), Dercon (2001), Bourguignon et Goh (2004).</w:t>
      </w:r>
      <w:r>
        <w:rPr>
          <w:rFonts w:ascii="Times New Roman" w:eastAsia="Arial Unicode MS" w:hAnsi="Times New Roman"/>
          <w:sz w:val="24"/>
          <w:szCs w:val="24"/>
        </w:rPr>
        <w:t xml:space="preserve"> L</w:t>
      </w:r>
      <w:r w:rsidRPr="006646F8">
        <w:rPr>
          <w:rFonts w:ascii="Times New Roman" w:eastAsia="Arial Unicode MS" w:hAnsi="Times New Roman"/>
          <w:sz w:val="24"/>
          <w:szCs w:val="24"/>
        </w:rPr>
        <w:t>es deux méthodes les plus fréquentes dans la littérature </w:t>
      </w:r>
      <w:r>
        <w:rPr>
          <w:rFonts w:ascii="Times New Roman" w:eastAsia="Arial Unicode MS" w:hAnsi="Times New Roman"/>
          <w:sz w:val="24"/>
          <w:szCs w:val="24"/>
        </w:rPr>
        <w:t>qui pourraient être utilisées ici sont celles proposées</w:t>
      </w:r>
      <w:r w:rsidRPr="006646F8">
        <w:rPr>
          <w:rFonts w:ascii="Times New Roman" w:eastAsia="Arial Unicode MS" w:hAnsi="Times New Roman"/>
          <w:sz w:val="24"/>
          <w:szCs w:val="24"/>
        </w:rPr>
        <w:t xml:space="preserve"> de </w:t>
      </w:r>
      <w:r w:rsidRPr="00DF3D78">
        <w:rPr>
          <w:rFonts w:ascii="Times New Roman" w:eastAsia="Arial Unicode MS" w:hAnsi="Times New Roman"/>
          <w:sz w:val="24"/>
          <w:szCs w:val="24"/>
        </w:rPr>
        <w:t xml:space="preserve">Chaudhuri, Jalan et Suryahadi (2003) </w:t>
      </w:r>
      <w:r w:rsidRPr="006646F8">
        <w:rPr>
          <w:rFonts w:ascii="Times New Roman" w:eastAsia="Arial Unicode MS" w:hAnsi="Times New Roman"/>
          <w:sz w:val="24"/>
          <w:szCs w:val="24"/>
        </w:rPr>
        <w:t xml:space="preserve">et </w:t>
      </w:r>
      <w:r>
        <w:rPr>
          <w:rFonts w:ascii="Times New Roman" w:eastAsia="Arial Unicode MS" w:hAnsi="Times New Roman"/>
          <w:sz w:val="24"/>
          <w:szCs w:val="24"/>
        </w:rPr>
        <w:t xml:space="preserve">par </w:t>
      </w:r>
      <w:r w:rsidRPr="00DF3D78">
        <w:rPr>
          <w:rFonts w:ascii="Times New Roman" w:eastAsia="Arial Unicode MS" w:hAnsi="Times New Roman"/>
          <w:sz w:val="24"/>
          <w:szCs w:val="24"/>
        </w:rPr>
        <w:t>et Goh (2004)</w:t>
      </w:r>
      <w:r>
        <w:rPr>
          <w:rFonts w:ascii="Times New Roman" w:eastAsia="Arial Unicode MS" w:hAnsi="Times New Roman"/>
          <w:sz w:val="24"/>
          <w:szCs w:val="24"/>
        </w:rPr>
        <w:t>.</w:t>
      </w:r>
    </w:p>
    <w:p w:rsidR="00995F69" w:rsidRDefault="00995F69" w:rsidP="002D6A0A">
      <w:pPr>
        <w:autoSpaceDE w:val="0"/>
        <w:autoSpaceDN w:val="0"/>
        <w:adjustRightInd w:val="0"/>
        <w:spacing w:line="276" w:lineRule="auto"/>
        <w:rPr>
          <w:rFonts w:ascii="Times New Roman" w:eastAsia="Arial Unicode MS" w:hAnsi="Times New Roman"/>
          <w:sz w:val="24"/>
          <w:szCs w:val="24"/>
        </w:rPr>
      </w:pPr>
    </w:p>
    <w:p w:rsidR="00995F69" w:rsidRDefault="00995F69" w:rsidP="003232C4">
      <w:pPr>
        <w:spacing w:line="276" w:lineRule="auto"/>
        <w:rPr>
          <w:rFonts w:ascii="Times New Roman" w:hAnsi="Times New Roman"/>
          <w:sz w:val="24"/>
          <w:szCs w:val="24"/>
        </w:rPr>
      </w:pPr>
      <w:r>
        <w:rPr>
          <w:rFonts w:ascii="Times New Roman" w:hAnsi="Times New Roman"/>
          <w:sz w:val="24"/>
          <w:szCs w:val="24"/>
        </w:rPr>
        <w:t xml:space="preserve">Par ailleurs, l’analyse des matrices de transition est également utilisée. </w:t>
      </w:r>
      <w:r w:rsidRPr="006646F8">
        <w:rPr>
          <w:rFonts w:ascii="Times New Roman" w:hAnsi="Times New Roman"/>
          <w:sz w:val="24"/>
          <w:szCs w:val="24"/>
        </w:rPr>
        <w:t xml:space="preserve">Pour ce type d’analyse, on distingue </w:t>
      </w:r>
      <w:r>
        <w:rPr>
          <w:rFonts w:ascii="Times New Roman" w:hAnsi="Times New Roman"/>
          <w:sz w:val="24"/>
          <w:szCs w:val="24"/>
        </w:rPr>
        <w:t>globalement trois</w:t>
      </w:r>
      <w:r w:rsidR="00B75E53">
        <w:rPr>
          <w:rFonts w:ascii="Times New Roman" w:hAnsi="Times New Roman"/>
          <w:sz w:val="24"/>
          <w:szCs w:val="24"/>
        </w:rPr>
        <w:t xml:space="preserve"> approches</w:t>
      </w:r>
      <w:r>
        <w:rPr>
          <w:rFonts w:ascii="Times New Roman" w:hAnsi="Times New Roman"/>
          <w:sz w:val="24"/>
          <w:szCs w:val="24"/>
        </w:rPr>
        <w:t>: (i) l’approche de période, (ii) l’approche de composantes et (iii) l’approche mixte qui est une approche intermédiaire conciliant les deux approches précédentes (Clément, M. 2003).</w:t>
      </w:r>
    </w:p>
    <w:p w:rsidR="00995F69" w:rsidRPr="003428C6" w:rsidRDefault="00995F69" w:rsidP="00E8126B">
      <w:pPr>
        <w:spacing w:line="240" w:lineRule="auto"/>
        <w:rPr>
          <w:rFonts w:ascii="Times New Roman" w:hAnsi="Times New Roman"/>
          <w:sz w:val="24"/>
          <w:szCs w:val="24"/>
        </w:rPr>
      </w:pPr>
    </w:p>
    <w:p w:rsidR="00995F69" w:rsidRPr="003428C6" w:rsidRDefault="00995F69" w:rsidP="003232C4">
      <w:pPr>
        <w:spacing w:line="276" w:lineRule="auto"/>
        <w:rPr>
          <w:rFonts w:ascii="Times New Roman" w:hAnsi="Times New Roman"/>
          <w:sz w:val="24"/>
          <w:szCs w:val="24"/>
        </w:rPr>
      </w:pPr>
      <w:r>
        <w:rPr>
          <w:rFonts w:ascii="Times New Roman" w:hAnsi="Times New Roman"/>
          <w:sz w:val="24"/>
          <w:szCs w:val="24"/>
        </w:rPr>
        <w:t xml:space="preserve">La première approche se réfère au concept de durée de la pauvreté, et consiste à compter le nombre de périodes, c'est-à-dire le nombre de vagues du panel, que chaque ménage a passé en situation de pauvreté. Elle permet alors d’identifier trois catégories: les ménages pauvres à toutes les périodes (pauvres persistants), les ménages pauvres à certaines dates (pauvres temporaires) et les ménages qui n’ont jamais connu de situation de pauvreté (jamais pauvres). Un outil privilégié pour ce type d’analyses est la matrice de transition. </w:t>
      </w:r>
    </w:p>
    <w:p w:rsidR="00995F69" w:rsidRPr="003428C6" w:rsidRDefault="00995F69" w:rsidP="00E8126B">
      <w:pPr>
        <w:spacing w:line="240" w:lineRule="auto"/>
        <w:rPr>
          <w:rFonts w:ascii="Times New Roman" w:hAnsi="Times New Roman"/>
          <w:sz w:val="24"/>
          <w:szCs w:val="24"/>
        </w:rPr>
      </w:pPr>
    </w:p>
    <w:p w:rsidR="00995F69" w:rsidRPr="003428C6" w:rsidRDefault="00995F69" w:rsidP="003232C4">
      <w:pPr>
        <w:spacing w:line="276" w:lineRule="auto"/>
        <w:rPr>
          <w:rFonts w:ascii="Times New Roman" w:hAnsi="Times New Roman"/>
          <w:sz w:val="24"/>
          <w:szCs w:val="24"/>
        </w:rPr>
      </w:pPr>
      <w:r>
        <w:rPr>
          <w:rFonts w:ascii="Times New Roman" w:hAnsi="Times New Roman"/>
          <w:sz w:val="24"/>
          <w:szCs w:val="24"/>
        </w:rPr>
        <w:t xml:space="preserve">La deuxième approche est celle dite des composantes. Elle est largement basée sur le concept de la consommation (ou du revenu permanent). L’idée de départ est que le bien-être d’un individu </w:t>
      </w:r>
      <w:r w:rsidRPr="006646F8">
        <w:rPr>
          <w:rFonts w:ascii="Times New Roman" w:hAnsi="Times New Roman"/>
          <w:sz w:val="24"/>
          <w:szCs w:val="24"/>
        </w:rPr>
        <w:t>présent</w:t>
      </w:r>
      <w:r w:rsidR="00B75E53">
        <w:rPr>
          <w:rFonts w:ascii="Times New Roman" w:hAnsi="Times New Roman"/>
          <w:sz w:val="24"/>
          <w:szCs w:val="24"/>
        </w:rPr>
        <w:t>e</w:t>
      </w:r>
      <w:r>
        <w:rPr>
          <w:rFonts w:ascii="Times New Roman" w:hAnsi="Times New Roman"/>
          <w:sz w:val="24"/>
          <w:szCs w:val="24"/>
        </w:rPr>
        <w:t xml:space="preserve"> des fluctuations de court terme autour d’une tendance de long terme (le bien-être permanent). Partant de ce principe et conformément à la théorie du revenu permanent de Friedman, il est possible de distinguer deux composantes dans le bien-être : le bien-être transitoire et le bien-être permanent. L’objectif de cette approche est d’identifier pour chaque ménage pauvre la part de pauvreté chronique et la part de pauvreté transitoire. En d’autres termes, il s’agit de décomposer la pauvreté totale de chaque ménage en pauvreté chroniq</w:t>
      </w:r>
      <w:r w:rsidRPr="006646F8">
        <w:rPr>
          <w:rFonts w:ascii="Times New Roman" w:hAnsi="Times New Roman"/>
          <w:sz w:val="24"/>
          <w:szCs w:val="24"/>
        </w:rPr>
        <w:t>ue et transitoire</w:t>
      </w:r>
      <w:r>
        <w:rPr>
          <w:rStyle w:val="Appelnotedebasdep"/>
          <w:rFonts w:ascii="Times New Roman" w:hAnsi="Times New Roman"/>
          <w:sz w:val="24"/>
          <w:szCs w:val="24"/>
        </w:rPr>
        <w:footnoteReference w:id="91"/>
      </w:r>
      <w:r w:rsidRPr="006646F8">
        <w:rPr>
          <w:rFonts w:ascii="Times New Roman" w:hAnsi="Times New Roman"/>
          <w:sz w:val="24"/>
          <w:szCs w:val="24"/>
        </w:rPr>
        <w:t xml:space="preserve"> (Jalan et Ravallion, 1998). </w:t>
      </w:r>
    </w:p>
    <w:p w:rsidR="00995F69" w:rsidRPr="003428C6" w:rsidRDefault="00995F69"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La troisième approche est une approche mixte qui prolonge et enrichit l’approche par période. Il s’agit d’identifier différentes catégories de ménages selon le nombre de périodes qu’ils ont passées en situation de pauvreté, conformément à l’approche par période, mais également selon la position de leur bien-être permanent par rapport à la ligne de pauvreté, conformément à l’approche par composantes. Elle conduit à distinguer généralement quatre groupes proposés (Jal</w:t>
      </w:r>
      <w:r>
        <w:rPr>
          <w:rFonts w:ascii="Times New Roman" w:hAnsi="Times New Roman"/>
          <w:sz w:val="24"/>
          <w:szCs w:val="24"/>
        </w:rPr>
        <w:t>an et Ravallion, 1996</w:t>
      </w:r>
      <w:r w:rsidRPr="006646F8">
        <w:rPr>
          <w:rFonts w:ascii="Times New Roman" w:hAnsi="Times New Roman"/>
          <w:sz w:val="24"/>
          <w:szCs w:val="24"/>
        </w:rPr>
        <w:t>). Il y a la catégorie des pauvres chroniques persistants qui est composée des ménages ou individus pauvres à tous les points de la période étudiée. Cette catégorie correspond aux pauvres persistants de l’approche par période. La deuxième catégorie est celle des pauvres chroniques non persistants formés par les ménages qui ne sont pas pauvres à toutes les périodes mais dont le niveau de bien-être permanent est inférieur au seuil de pauvreté. Dans le cas de l’approche par période, ces ménages sont intégrés parmi les pauvres transitoires. La troisième catégorie est celle des pauvres transitoires qui connaissent occasionnellement des phases de pauvreté mais dont le bien-être de long terme est supérieur à la ligne de pauvreté. La quatrième catégorie est celle des non pauvres.</w:t>
      </w:r>
    </w:p>
    <w:p w:rsidR="00995F69" w:rsidRDefault="00995F69"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Pr>
          <w:rFonts w:ascii="Times New Roman" w:hAnsi="Times New Roman"/>
          <w:b/>
          <w:sz w:val="24"/>
          <w:szCs w:val="24"/>
        </w:rPr>
        <w:t xml:space="preserve">Besoins en données : </w:t>
      </w:r>
      <w:r w:rsidRPr="006646F8">
        <w:rPr>
          <w:rFonts w:ascii="Times New Roman" w:hAnsi="Times New Roman"/>
          <w:sz w:val="24"/>
          <w:szCs w:val="24"/>
        </w:rPr>
        <w:t xml:space="preserve">La mise en œuvre </w:t>
      </w:r>
      <w:r>
        <w:rPr>
          <w:rFonts w:ascii="Times New Roman" w:hAnsi="Times New Roman"/>
          <w:sz w:val="24"/>
          <w:szCs w:val="24"/>
        </w:rPr>
        <w:t xml:space="preserve">appropriée </w:t>
      </w:r>
      <w:r w:rsidRPr="006646F8">
        <w:rPr>
          <w:rFonts w:ascii="Times New Roman" w:hAnsi="Times New Roman"/>
          <w:sz w:val="24"/>
          <w:szCs w:val="24"/>
        </w:rPr>
        <w:t>de ces</w:t>
      </w:r>
      <w:r>
        <w:rPr>
          <w:rFonts w:ascii="Times New Roman" w:hAnsi="Times New Roman"/>
          <w:sz w:val="24"/>
          <w:szCs w:val="24"/>
        </w:rPr>
        <w:t xml:space="preserve"> approches nécessite </w:t>
      </w:r>
      <w:r w:rsidRPr="006646F8">
        <w:rPr>
          <w:rFonts w:ascii="Times New Roman" w:hAnsi="Times New Roman"/>
          <w:sz w:val="24"/>
          <w:szCs w:val="24"/>
        </w:rPr>
        <w:t xml:space="preserve">des données de panel. </w:t>
      </w:r>
      <w:r>
        <w:rPr>
          <w:rFonts w:ascii="Times New Roman" w:hAnsi="Times New Roman"/>
          <w:sz w:val="24"/>
          <w:szCs w:val="24"/>
        </w:rPr>
        <w:t xml:space="preserve">Dans le cadre du dispositif de suivi de la pauvreté reposant sur l’enquête, cette disposition a été intégrée et réalisée pour l’enquête EMICoV 1 à travers les données de 2006 et 2009. Mais elle n’a pas été sécurisée notamment à cause du couplage entre EMICoV et l’Enquête Démographique et de Santé (EDS). Ainsi, des efforts méritent d’être faits pour assurer la collecte de ces types de données pour une meilleure appréciation et un suivi rigoureux des indicateurs sur la vulnérabilité des ménages. </w:t>
      </w:r>
    </w:p>
    <w:p w:rsidR="001D6886" w:rsidRDefault="001D6886" w:rsidP="00E8126B">
      <w:pPr>
        <w:pStyle w:val="Titre2"/>
        <w:spacing w:before="0" w:after="0" w:line="240" w:lineRule="auto"/>
        <w:rPr>
          <w:rFonts w:ascii="Times New Roman" w:eastAsia="Times New Roman" w:hAnsi="Times New Roman"/>
          <w:i w:val="0"/>
          <w:lang w:eastAsia="fr-FR"/>
        </w:rPr>
      </w:pPr>
    </w:p>
    <w:p w:rsidR="00995F69" w:rsidRPr="001D6886" w:rsidRDefault="00995F69" w:rsidP="001D6886">
      <w:pPr>
        <w:pStyle w:val="Titre2"/>
        <w:spacing w:before="120" w:after="0" w:line="240" w:lineRule="auto"/>
        <w:rPr>
          <w:rFonts w:ascii="Times New Roman" w:hAnsi="Times New Roman"/>
          <w:i w:val="0"/>
          <w:color w:val="31849B" w:themeColor="accent5" w:themeShade="BF"/>
        </w:rPr>
      </w:pPr>
      <w:bookmarkStart w:id="214" w:name="_Toc382322968"/>
      <w:r w:rsidRPr="001D6886">
        <w:rPr>
          <w:rFonts w:ascii="Times New Roman" w:eastAsia="Times New Roman" w:hAnsi="Times New Roman"/>
          <w:i w:val="0"/>
          <w:color w:val="31849B" w:themeColor="accent5" w:themeShade="BF"/>
          <w:lang w:eastAsia="fr-FR"/>
        </w:rPr>
        <w:t>7.6</w:t>
      </w:r>
      <w:r w:rsidR="001D6886" w:rsidRPr="001D6886">
        <w:rPr>
          <w:rFonts w:ascii="Times New Roman" w:eastAsia="Times New Roman" w:hAnsi="Times New Roman"/>
          <w:i w:val="0"/>
          <w:color w:val="31849B" w:themeColor="accent5" w:themeShade="BF"/>
          <w:lang w:eastAsia="fr-FR"/>
        </w:rPr>
        <w:t xml:space="preserve">  P</w:t>
      </w:r>
      <w:r w:rsidRPr="001D6886">
        <w:rPr>
          <w:rFonts w:ascii="Times New Roman" w:eastAsia="Times New Roman" w:hAnsi="Times New Roman"/>
          <w:i w:val="0"/>
          <w:color w:val="31849B" w:themeColor="accent5" w:themeShade="BF"/>
          <w:lang w:eastAsia="fr-FR"/>
        </w:rPr>
        <w:t>érennisation des bonnes  pratiques</w:t>
      </w:r>
      <w:bookmarkEnd w:id="214"/>
    </w:p>
    <w:p w:rsidR="001D6886" w:rsidRDefault="001D6886"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Au Bénin</w:t>
      </w:r>
      <w:r w:rsidR="00FA11FB">
        <w:rPr>
          <w:rFonts w:ascii="Times New Roman" w:hAnsi="Times New Roman"/>
          <w:sz w:val="24"/>
          <w:szCs w:val="24"/>
        </w:rPr>
        <w:t>,</w:t>
      </w:r>
      <w:r w:rsidRPr="006646F8">
        <w:rPr>
          <w:rFonts w:ascii="Times New Roman" w:hAnsi="Times New Roman"/>
          <w:sz w:val="24"/>
          <w:szCs w:val="24"/>
        </w:rPr>
        <w:t xml:space="preserve"> la pratique de suivi évaluation de la pauvreté a enregistré la mise en œuvre de bonnes pratiques. Il s’agit notamment : i) de la mise en place d’un dispositif permanent de collecte des données auprès des ménages à travers l’EMICoV ; ii) la mise en œuvre des instruments d’évaluation tels que le SILP.</w:t>
      </w:r>
    </w:p>
    <w:p w:rsidR="00995F69" w:rsidRPr="00B54D24" w:rsidRDefault="00995F69" w:rsidP="00E8126B">
      <w:pPr>
        <w:spacing w:line="240" w:lineRule="auto"/>
        <w:ind w:left="114"/>
        <w:rPr>
          <w:rFonts w:ascii="Times New Roman" w:hAnsi="Times New Roman"/>
          <w:sz w:val="24"/>
          <w:szCs w:val="24"/>
        </w:rPr>
      </w:pPr>
    </w:p>
    <w:p w:rsidR="00995F69" w:rsidRDefault="00995F69">
      <w:pPr>
        <w:spacing w:line="276" w:lineRule="auto"/>
        <w:rPr>
          <w:rFonts w:ascii="Times New Roman" w:hAnsi="Times New Roman"/>
          <w:sz w:val="24"/>
          <w:szCs w:val="24"/>
          <w:highlight w:val="yellow"/>
        </w:rPr>
      </w:pPr>
      <w:r w:rsidRPr="006646F8">
        <w:rPr>
          <w:rFonts w:ascii="Times New Roman" w:hAnsi="Times New Roman"/>
          <w:b/>
          <w:sz w:val="24"/>
          <w:szCs w:val="24"/>
        </w:rPr>
        <w:t xml:space="preserve">La mise en place de dispositifs permanents d’enquêtes auprès des ménages constitue au Bénin une opportunité pour assurer un meilleur suivi de la pauvreté au Bénin. </w:t>
      </w:r>
      <w:r w:rsidRPr="006646F8">
        <w:rPr>
          <w:rFonts w:ascii="Times New Roman" w:hAnsi="Times New Roman"/>
          <w:sz w:val="24"/>
          <w:szCs w:val="24"/>
        </w:rPr>
        <w:t>En effet</w:t>
      </w:r>
      <w:r w:rsidR="00FA11FB">
        <w:rPr>
          <w:rFonts w:ascii="Times New Roman" w:hAnsi="Times New Roman"/>
          <w:sz w:val="24"/>
          <w:szCs w:val="24"/>
        </w:rPr>
        <w:t>,</w:t>
      </w:r>
      <w:r w:rsidRPr="006646F8">
        <w:rPr>
          <w:rFonts w:ascii="Times New Roman" w:hAnsi="Times New Roman"/>
          <w:sz w:val="24"/>
          <w:szCs w:val="24"/>
        </w:rPr>
        <w:t xml:space="preserve"> à travers les enquêtes de base et de suivi de l’EMICoV, il est possible </w:t>
      </w:r>
      <w:r>
        <w:rPr>
          <w:rFonts w:ascii="Times New Roman" w:hAnsi="Times New Roman"/>
          <w:sz w:val="24"/>
          <w:szCs w:val="24"/>
        </w:rPr>
        <w:t xml:space="preserve">comme mentionné plus haut </w:t>
      </w:r>
      <w:r w:rsidRPr="006646F8">
        <w:rPr>
          <w:rFonts w:ascii="Times New Roman" w:hAnsi="Times New Roman"/>
          <w:sz w:val="24"/>
          <w:szCs w:val="24"/>
        </w:rPr>
        <w:t>de disposer à un rythme annuel des indicateurs sur les différentes formes de pauvreté au Bénin et de suivre la mobilité des ménages dans la pauvreté. Ces indicateurs peuvent être disponibles au niveau national, départemental, et communal. Le défi pour l’INSAE est la pérennisation de ce dispositif eu égard à son coût.</w:t>
      </w:r>
      <w:r w:rsidR="00461661">
        <w:rPr>
          <w:rFonts w:ascii="Times New Roman" w:hAnsi="Times New Roman"/>
          <w:sz w:val="24"/>
          <w:szCs w:val="24"/>
        </w:rPr>
        <w:t xml:space="preserve"> </w:t>
      </w:r>
      <w:r>
        <w:rPr>
          <w:rFonts w:ascii="Times New Roman" w:hAnsi="Times New Roman"/>
          <w:sz w:val="24"/>
          <w:szCs w:val="24"/>
        </w:rPr>
        <w:t xml:space="preserve">A cet effet, l’idée </w:t>
      </w:r>
      <w:r w:rsidRPr="001064B7">
        <w:rPr>
          <w:rFonts w:ascii="Times New Roman" w:hAnsi="Times New Roman"/>
          <w:sz w:val="24"/>
          <w:szCs w:val="24"/>
        </w:rPr>
        <w:t>d’opter pour une opération portant sur une enquête de suivi chaque année et une enquête intégrale tous les cinq ans</w:t>
      </w:r>
      <w:r>
        <w:rPr>
          <w:rFonts w:ascii="Times New Roman" w:hAnsi="Times New Roman"/>
          <w:sz w:val="24"/>
          <w:szCs w:val="24"/>
        </w:rPr>
        <w:t xml:space="preserve"> pourrait être privilégiée.</w:t>
      </w:r>
    </w:p>
    <w:p w:rsidR="00995F69" w:rsidRDefault="00995F69"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 xml:space="preserve">Le </w:t>
      </w:r>
      <w:r w:rsidRPr="006646F8">
        <w:rPr>
          <w:rFonts w:ascii="Times New Roman" w:hAnsi="Times New Roman"/>
          <w:b/>
          <w:sz w:val="24"/>
          <w:szCs w:val="24"/>
        </w:rPr>
        <w:t>Suivi d’Impact Local Participatif</w:t>
      </w:r>
      <w:r w:rsidRPr="006646F8">
        <w:rPr>
          <w:rFonts w:ascii="Times New Roman" w:hAnsi="Times New Roman"/>
          <w:sz w:val="24"/>
          <w:szCs w:val="24"/>
        </w:rPr>
        <w:t xml:space="preserve"> (SILP) est un processus itératif par lequel les acteurs concernés à divers niveaux, par un secteur de services publics ou socio communautaires donné s’engagent dans: (i) l’analyse de la satisfaction des ménages qui sont destinataires des services offerts et l’analyse des effets et impacts de ces services sur leur niveau de vie; (ii) le suivi des ressources financières, matérielles et humaines allouées à la réalisation de ces services; (iii) la mesure des performances des structures impliquées dans la fourniture desdits services. </w:t>
      </w:r>
    </w:p>
    <w:p w:rsidR="00995F69" w:rsidRPr="00370064" w:rsidRDefault="00995F69" w:rsidP="00E8126B">
      <w:pPr>
        <w:spacing w:line="240" w:lineRule="auto"/>
        <w:jc w:val="left"/>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Le processus du SILP est une démarche participative impliquant tant les acteurs de l’offre (prestataires de services) que ceux de l’utilisation des services publics (usagers). Sa finalité est de trois ordres : (i) accroître l’efficacité de l’allocation et de l’utilisation des ressources destinées à la fourniture des services (extrants) pour satisfaire les usagers; (ii) associer ces usagers au suivi et contrôle des dépenses publiques; (iii) accroître la qualité et la pertinence des prestations des services publics pour une amélioration effective des conditions de vie des populations.</w:t>
      </w:r>
    </w:p>
    <w:p w:rsidR="00995F69" w:rsidRPr="00370064" w:rsidRDefault="00995F69"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Le SILP met les usagers et les producteurs de services publics et communautaires en situation d’évaluer ensemble la qualité de ces services, de suivre le cheminement des ressources publiques et communautaires affectées à ces services et de proposer des mesures correctives aux dysfonctionnements et déficits constatés. Le traçage des ressources constitue un volet important du SILP dans la mesure où il permet d’identifier les ressources publiques affectées à la réalisation du service, de vérifier leur transfert effectif au niveau auquel elles sont destinées, de questionner les mécanismes de leur affectation et de discuter de leur</w:t>
      </w:r>
      <w:r w:rsidR="00FA11FB">
        <w:rPr>
          <w:rFonts w:ascii="Times New Roman" w:hAnsi="Times New Roman"/>
          <w:sz w:val="24"/>
          <w:szCs w:val="24"/>
        </w:rPr>
        <w:t>s</w:t>
      </w:r>
      <w:r w:rsidRPr="006646F8">
        <w:rPr>
          <w:rFonts w:ascii="Times New Roman" w:hAnsi="Times New Roman"/>
          <w:sz w:val="24"/>
          <w:szCs w:val="24"/>
        </w:rPr>
        <w:t xml:space="preserve"> forces et insuffisances. Le traçage des dépenses publiques constitue une étape dans le suivi citoyen des dépenses publiques. </w:t>
      </w:r>
    </w:p>
    <w:p w:rsidR="00995F69" w:rsidRPr="00A27749" w:rsidRDefault="00995F69" w:rsidP="00E8126B">
      <w:pPr>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La mise en œuvre du SILP nécessite que les différents niveaux de la hiérarchie concernée soient réellement intéressés et disposés à s’engager dans un processus de remise en cause de soi et d’amélioration. A ce titre, un engagement politique formel au plus haut niveau est nécessaire. De même, le processus ne doit pas être perçu comme un système bureaucratique de contrôle et de sanction des fournisseurs de service par des usagers, ni de la hiérarchie sur les subalternes. Il doit plutôt être compris comme un processus d’apprentissage mutuel.</w:t>
      </w:r>
    </w:p>
    <w:p w:rsidR="00995F69" w:rsidRPr="00B54D24" w:rsidRDefault="00995F69" w:rsidP="00E8126B">
      <w:pPr>
        <w:pStyle w:val="Paragraphedeliste"/>
        <w:spacing w:line="240" w:lineRule="auto"/>
        <w:rPr>
          <w:rFonts w:ascii="Times New Roman" w:hAnsi="Times New Roman"/>
          <w:sz w:val="24"/>
          <w:szCs w:val="24"/>
        </w:rPr>
      </w:pPr>
    </w:p>
    <w:p w:rsidR="00995F69" w:rsidRDefault="00995F69" w:rsidP="003232C4">
      <w:pPr>
        <w:spacing w:line="276" w:lineRule="auto"/>
        <w:rPr>
          <w:rFonts w:ascii="Times New Roman" w:hAnsi="Times New Roman"/>
          <w:sz w:val="24"/>
          <w:szCs w:val="24"/>
        </w:rPr>
      </w:pPr>
      <w:r w:rsidRPr="006646F8">
        <w:rPr>
          <w:rFonts w:ascii="Times New Roman" w:hAnsi="Times New Roman"/>
          <w:sz w:val="24"/>
          <w:szCs w:val="24"/>
        </w:rPr>
        <w:t xml:space="preserve">La démarche SILP a été mise en œuvre dans le secteur de l’éducation et de la santé et son expérimentation dans le secteur de l’eau est en cours au cours de l’année 2012. </w:t>
      </w:r>
    </w:p>
    <w:p w:rsidR="00995F69" w:rsidRDefault="00995F69" w:rsidP="003232C4">
      <w:pPr>
        <w:spacing w:line="276" w:lineRule="auto"/>
        <w:ind w:left="114"/>
        <w:rPr>
          <w:rFonts w:ascii="Times New Roman" w:hAnsi="Times New Roman"/>
          <w:sz w:val="24"/>
          <w:szCs w:val="24"/>
        </w:rPr>
      </w:pPr>
    </w:p>
    <w:p w:rsidR="00995F69" w:rsidRDefault="00995F69" w:rsidP="00E8126B">
      <w:pPr>
        <w:spacing w:line="240" w:lineRule="auto"/>
        <w:ind w:left="114"/>
        <w:rPr>
          <w:rFonts w:ascii="Times New Roman" w:hAnsi="Times New Roman"/>
          <w:sz w:val="24"/>
          <w:szCs w:val="24"/>
        </w:rPr>
      </w:pPr>
    </w:p>
    <w:p w:rsidR="00995F69" w:rsidRPr="00E8126B" w:rsidRDefault="00995F69" w:rsidP="003232C4">
      <w:pPr>
        <w:spacing w:line="276" w:lineRule="auto"/>
        <w:ind w:left="114"/>
        <w:rPr>
          <w:rFonts w:ascii="Times New Roman" w:hAnsi="Times New Roman"/>
          <w:b/>
          <w:color w:val="31849B" w:themeColor="accent5" w:themeShade="BF"/>
          <w:sz w:val="28"/>
          <w:szCs w:val="28"/>
        </w:rPr>
      </w:pPr>
      <w:r w:rsidRPr="00E8126B">
        <w:rPr>
          <w:rFonts w:ascii="Times New Roman" w:hAnsi="Times New Roman"/>
          <w:b/>
          <w:color w:val="31849B" w:themeColor="accent5" w:themeShade="BF"/>
          <w:sz w:val="28"/>
          <w:szCs w:val="28"/>
        </w:rPr>
        <w:t>7.7</w:t>
      </w:r>
      <w:r w:rsidR="003C71C3">
        <w:rPr>
          <w:rFonts w:ascii="Times New Roman" w:hAnsi="Times New Roman"/>
          <w:b/>
          <w:color w:val="31849B" w:themeColor="accent5" w:themeShade="BF"/>
          <w:sz w:val="28"/>
          <w:szCs w:val="28"/>
        </w:rPr>
        <w:t xml:space="preserve"> </w:t>
      </w:r>
      <w:r w:rsidRPr="00E8126B">
        <w:rPr>
          <w:rFonts w:ascii="Times New Roman" w:hAnsi="Times New Roman"/>
          <w:b/>
          <w:color w:val="31849B" w:themeColor="accent5" w:themeShade="BF"/>
          <w:sz w:val="28"/>
          <w:szCs w:val="28"/>
        </w:rPr>
        <w:t xml:space="preserve">Conclusion </w:t>
      </w:r>
    </w:p>
    <w:p w:rsidR="00995F69" w:rsidRDefault="00995F69" w:rsidP="00E8126B">
      <w:pPr>
        <w:spacing w:line="240" w:lineRule="auto"/>
        <w:ind w:left="114"/>
        <w:rPr>
          <w:rFonts w:ascii="Times New Roman" w:hAnsi="Times New Roman"/>
          <w:sz w:val="24"/>
          <w:szCs w:val="24"/>
        </w:rPr>
      </w:pPr>
    </w:p>
    <w:p w:rsidR="00995F69" w:rsidRDefault="00995F69" w:rsidP="003232C4">
      <w:pPr>
        <w:spacing w:line="276" w:lineRule="auto"/>
        <w:ind w:left="114"/>
        <w:rPr>
          <w:rFonts w:ascii="Times New Roman" w:hAnsi="Times New Roman"/>
          <w:sz w:val="24"/>
          <w:szCs w:val="24"/>
        </w:rPr>
      </w:pPr>
      <w:r>
        <w:rPr>
          <w:rFonts w:ascii="Times New Roman" w:hAnsi="Times New Roman"/>
          <w:sz w:val="24"/>
          <w:szCs w:val="24"/>
        </w:rPr>
        <w:t xml:space="preserve">L’objectif visé dans ce chapitre est de passer en revue le dispositif de suivi de la pauvreté au Bénin afin de l’adapter aux exigences d’un système complet, efficient et pérenne pouvant permettre </w:t>
      </w:r>
      <w:r w:rsidRPr="007B43D0">
        <w:rPr>
          <w:rFonts w:ascii="Times New Roman" w:hAnsi="Times New Roman"/>
          <w:sz w:val="24"/>
          <w:szCs w:val="24"/>
        </w:rPr>
        <w:t xml:space="preserve">d’obtenir </w:t>
      </w:r>
      <w:r>
        <w:rPr>
          <w:rFonts w:ascii="Times New Roman" w:hAnsi="Times New Roman"/>
          <w:sz w:val="24"/>
          <w:szCs w:val="24"/>
        </w:rPr>
        <w:t xml:space="preserve">d’une part, </w:t>
      </w:r>
      <w:r w:rsidRPr="007B43D0">
        <w:rPr>
          <w:rFonts w:ascii="Times New Roman" w:hAnsi="Times New Roman"/>
          <w:sz w:val="24"/>
          <w:szCs w:val="24"/>
        </w:rPr>
        <w:t>une meilleure connaissance des conditions de vie des populations</w:t>
      </w:r>
      <w:r>
        <w:rPr>
          <w:rFonts w:ascii="Times New Roman" w:hAnsi="Times New Roman"/>
          <w:sz w:val="24"/>
          <w:szCs w:val="24"/>
        </w:rPr>
        <w:t xml:space="preserve"> et d’autre part, </w:t>
      </w:r>
      <w:r w:rsidRPr="007B43D0">
        <w:rPr>
          <w:rFonts w:ascii="Times New Roman" w:hAnsi="Times New Roman"/>
          <w:sz w:val="24"/>
          <w:szCs w:val="24"/>
        </w:rPr>
        <w:t>d’apprécier les résultats et impacts des politiques, programmes et projets de développement mis en œuvre</w:t>
      </w:r>
      <w:r>
        <w:rPr>
          <w:rFonts w:ascii="Times New Roman" w:hAnsi="Times New Roman"/>
          <w:sz w:val="24"/>
          <w:szCs w:val="24"/>
        </w:rPr>
        <w:t xml:space="preserve"> pour assurer une amélioration de leur bien-être. </w:t>
      </w:r>
    </w:p>
    <w:p w:rsidR="00995F69" w:rsidRDefault="00995F69" w:rsidP="003232C4">
      <w:pPr>
        <w:spacing w:line="276" w:lineRule="auto"/>
        <w:ind w:left="114"/>
        <w:rPr>
          <w:rFonts w:ascii="Times New Roman" w:hAnsi="Times New Roman"/>
          <w:sz w:val="24"/>
          <w:szCs w:val="24"/>
        </w:rPr>
      </w:pPr>
    </w:p>
    <w:p w:rsidR="00995F69" w:rsidRDefault="00995F69" w:rsidP="003232C4">
      <w:pPr>
        <w:spacing w:line="276" w:lineRule="auto"/>
        <w:ind w:left="114"/>
        <w:rPr>
          <w:rFonts w:ascii="Times New Roman" w:hAnsi="Times New Roman"/>
          <w:sz w:val="24"/>
          <w:szCs w:val="24"/>
        </w:rPr>
      </w:pPr>
      <w:r>
        <w:rPr>
          <w:rFonts w:ascii="Times New Roman" w:hAnsi="Times New Roman"/>
          <w:sz w:val="24"/>
          <w:szCs w:val="24"/>
        </w:rPr>
        <w:t xml:space="preserve">Globalement, le dispositif </w:t>
      </w:r>
      <w:r w:rsidRPr="007B43D0">
        <w:rPr>
          <w:rFonts w:ascii="Times New Roman" w:hAnsi="Times New Roman"/>
          <w:sz w:val="24"/>
          <w:szCs w:val="24"/>
        </w:rPr>
        <w:t>de suivi de la SCRP</w:t>
      </w:r>
      <w:r>
        <w:rPr>
          <w:rFonts w:ascii="Times New Roman" w:hAnsi="Times New Roman"/>
          <w:sz w:val="24"/>
          <w:szCs w:val="24"/>
        </w:rPr>
        <w:t xml:space="preserve"> à travers lequel le suivi de la pauvreté est réalisé au Bénin demeure pertinent. Il repose sur un dispositif </w:t>
      </w:r>
      <w:r w:rsidRPr="00942987">
        <w:rPr>
          <w:rFonts w:ascii="Times New Roman" w:hAnsi="Times New Roman"/>
          <w:sz w:val="24"/>
          <w:szCs w:val="24"/>
        </w:rPr>
        <w:t>de collecte de données auprès des ménages à travers l’Enquête Modulaire Intégrée sur les Conditions de Vie des ménages (EMICoV)</w:t>
      </w:r>
      <w:r>
        <w:rPr>
          <w:rFonts w:ascii="Times New Roman" w:hAnsi="Times New Roman"/>
          <w:sz w:val="24"/>
          <w:szCs w:val="24"/>
        </w:rPr>
        <w:t xml:space="preserve">  mis en place par l’INSAE depuis</w:t>
      </w:r>
      <w:r w:rsidRPr="00942987">
        <w:rPr>
          <w:rFonts w:ascii="Times New Roman" w:hAnsi="Times New Roman"/>
          <w:sz w:val="24"/>
          <w:szCs w:val="24"/>
        </w:rPr>
        <w:t xml:space="preserve"> 2006</w:t>
      </w:r>
      <w:r>
        <w:rPr>
          <w:rFonts w:ascii="Times New Roman" w:hAnsi="Times New Roman"/>
          <w:sz w:val="24"/>
          <w:szCs w:val="24"/>
        </w:rPr>
        <w:t xml:space="preserve">. Il est </w:t>
      </w:r>
      <w:r w:rsidRPr="00942987">
        <w:rPr>
          <w:rFonts w:ascii="Times New Roman" w:hAnsi="Times New Roman"/>
          <w:sz w:val="24"/>
          <w:szCs w:val="24"/>
        </w:rPr>
        <w:t xml:space="preserve">contenu dans la Stratégie Nationale de Développement de la Statistique (SNDS) couvrant la période </w:t>
      </w:r>
      <w:r w:rsidR="009B538A">
        <w:rPr>
          <w:rFonts w:ascii="Times New Roman" w:hAnsi="Times New Roman"/>
          <w:sz w:val="24"/>
          <w:szCs w:val="24"/>
        </w:rPr>
        <w:t>2008-2012</w:t>
      </w:r>
      <w:r w:rsidRPr="00942987">
        <w:rPr>
          <w:rFonts w:ascii="Times New Roman" w:hAnsi="Times New Roman"/>
          <w:sz w:val="24"/>
          <w:szCs w:val="24"/>
        </w:rPr>
        <w:t xml:space="preserve">. </w:t>
      </w:r>
    </w:p>
    <w:p w:rsidR="00995F69" w:rsidRDefault="00995F69" w:rsidP="003232C4">
      <w:pPr>
        <w:spacing w:line="276" w:lineRule="auto"/>
        <w:ind w:left="114"/>
        <w:rPr>
          <w:rFonts w:ascii="Times New Roman" w:hAnsi="Times New Roman"/>
          <w:sz w:val="24"/>
          <w:szCs w:val="24"/>
        </w:rPr>
      </w:pPr>
    </w:p>
    <w:p w:rsidR="001D6886" w:rsidRDefault="00995F69" w:rsidP="003232C4">
      <w:pPr>
        <w:spacing w:line="276" w:lineRule="auto"/>
        <w:ind w:left="114"/>
        <w:rPr>
          <w:rFonts w:ascii="Times New Roman" w:hAnsi="Times New Roman"/>
          <w:sz w:val="24"/>
          <w:szCs w:val="24"/>
        </w:rPr>
      </w:pPr>
      <w:r>
        <w:rPr>
          <w:rFonts w:ascii="Times New Roman" w:hAnsi="Times New Roman"/>
          <w:sz w:val="24"/>
          <w:szCs w:val="24"/>
        </w:rPr>
        <w:t>Au regard des résultats issus de cette évaluation, plusieurs besoins se sont affichés en termes (i) d’extension des indicateurs suivis</w:t>
      </w:r>
      <w:r w:rsidR="007D24F1">
        <w:rPr>
          <w:rFonts w:ascii="Times New Roman" w:hAnsi="Times New Roman"/>
          <w:sz w:val="24"/>
          <w:szCs w:val="24"/>
        </w:rPr>
        <w:t> ;</w:t>
      </w:r>
      <w:r>
        <w:rPr>
          <w:rFonts w:ascii="Times New Roman" w:hAnsi="Times New Roman"/>
          <w:sz w:val="24"/>
          <w:szCs w:val="24"/>
        </w:rPr>
        <w:t xml:space="preserve"> (ii) d’utilisation de nouvelles approches méthodologiques pour le calcul des nouveaux indicateurs envisagés</w:t>
      </w:r>
      <w:r w:rsidR="007D24F1">
        <w:rPr>
          <w:rFonts w:ascii="Times New Roman" w:hAnsi="Times New Roman"/>
          <w:sz w:val="24"/>
          <w:szCs w:val="24"/>
        </w:rPr>
        <w:t> ;</w:t>
      </w:r>
      <w:r>
        <w:rPr>
          <w:rFonts w:ascii="Times New Roman" w:hAnsi="Times New Roman"/>
          <w:sz w:val="24"/>
          <w:szCs w:val="24"/>
        </w:rPr>
        <w:t xml:space="preserve"> (iii) de révision ou d’approfondissement de certaines démarches méthodologiques spécifiques précédemment utilisées pour l’appréciation des indicateurs, en particulier ceux relatifs à la pauvreté</w:t>
      </w:r>
      <w:r w:rsidR="007D24F1">
        <w:rPr>
          <w:rFonts w:ascii="Times New Roman" w:hAnsi="Times New Roman"/>
          <w:sz w:val="24"/>
          <w:szCs w:val="24"/>
        </w:rPr>
        <w:t xml:space="preserve"> ; </w:t>
      </w:r>
      <w:r>
        <w:rPr>
          <w:rFonts w:ascii="Times New Roman" w:hAnsi="Times New Roman"/>
          <w:sz w:val="24"/>
          <w:szCs w:val="24"/>
        </w:rPr>
        <w:t>(iv) de révision ou d’adaptation des modules de l’enquête EMICoV pour intégrer les variables inhérentes au calcul des nouveaux indicateurs</w:t>
      </w:r>
      <w:r w:rsidR="007D24F1">
        <w:rPr>
          <w:rFonts w:ascii="Times New Roman" w:hAnsi="Times New Roman"/>
          <w:sz w:val="24"/>
          <w:szCs w:val="24"/>
        </w:rPr>
        <w:t xml:space="preserve"> ; </w:t>
      </w:r>
      <w:r>
        <w:rPr>
          <w:rFonts w:ascii="Times New Roman" w:hAnsi="Times New Roman"/>
          <w:sz w:val="24"/>
          <w:szCs w:val="24"/>
        </w:rPr>
        <w:t>(v) la régularité de la collecte des données</w:t>
      </w:r>
      <w:r w:rsidR="007D24F1">
        <w:rPr>
          <w:rFonts w:ascii="Times New Roman" w:hAnsi="Times New Roman"/>
          <w:sz w:val="24"/>
          <w:szCs w:val="24"/>
        </w:rPr>
        <w:t> ;</w:t>
      </w:r>
      <w:r>
        <w:rPr>
          <w:rFonts w:ascii="Times New Roman" w:hAnsi="Times New Roman"/>
          <w:sz w:val="24"/>
          <w:szCs w:val="24"/>
        </w:rPr>
        <w:t xml:space="preserve"> (vi) de conduite d’études d’impact rigoureuses et spécifiques</w:t>
      </w:r>
      <w:r w:rsidR="007D24F1">
        <w:rPr>
          <w:rFonts w:ascii="Times New Roman" w:hAnsi="Times New Roman"/>
          <w:sz w:val="24"/>
          <w:szCs w:val="24"/>
        </w:rPr>
        <w:t> ;</w:t>
      </w:r>
      <w:r>
        <w:rPr>
          <w:rFonts w:ascii="Times New Roman" w:hAnsi="Times New Roman"/>
          <w:sz w:val="24"/>
          <w:szCs w:val="24"/>
        </w:rPr>
        <w:t xml:space="preserve"> et (vi) de pérennisation des acquis du dispositif existant.</w:t>
      </w:r>
    </w:p>
    <w:p w:rsidR="00E8126B" w:rsidRDefault="00E8126B" w:rsidP="003232C4">
      <w:pPr>
        <w:spacing w:line="276" w:lineRule="auto"/>
        <w:ind w:left="114"/>
        <w:rPr>
          <w:rFonts w:ascii="Times New Roman" w:hAnsi="Times New Roman"/>
          <w:sz w:val="24"/>
          <w:szCs w:val="24"/>
        </w:rPr>
        <w:sectPr w:rsidR="00E8126B" w:rsidSect="00977A02">
          <w:pgSz w:w="11906" w:h="16838"/>
          <w:pgMar w:top="1219" w:right="1418" w:bottom="1418" w:left="1418"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370064" w:rsidTr="0031347F">
        <w:trPr>
          <w:trHeight w:val="756"/>
        </w:trPr>
        <w:tc>
          <w:tcPr>
            <w:tcW w:w="1418" w:type="dxa"/>
            <w:tcBorders>
              <w:right w:val="thinThickSmallGap" w:sz="24" w:space="0" w:color="FFFFFF" w:themeColor="background1"/>
            </w:tcBorders>
            <w:shd w:val="clear" w:color="auto" w:fill="92CDDC" w:themeFill="accent5" w:themeFillTint="99"/>
          </w:tcPr>
          <w:p w:rsidR="00370064" w:rsidRPr="00494CC8" w:rsidRDefault="00370064" w:rsidP="0031347F">
            <w:pPr>
              <w:pStyle w:val="Titre1"/>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370064" w:rsidRPr="00A27749" w:rsidRDefault="00A27749" w:rsidP="0031347F">
            <w:pPr>
              <w:spacing w:line="240" w:lineRule="auto"/>
              <w:rPr>
                <w:rFonts w:ascii="Times New Roman" w:hAnsi="Times New Roman"/>
                <w:b/>
                <w:sz w:val="52"/>
                <w:szCs w:val="52"/>
              </w:rPr>
            </w:pPr>
            <w:r w:rsidRPr="00A27749">
              <w:rPr>
                <w:rFonts w:ascii="Times New Roman" w:hAnsi="Times New Roman"/>
                <w:b/>
                <w:sz w:val="52"/>
                <w:szCs w:val="52"/>
              </w:rPr>
              <w:t>Conclusion  Générale</w:t>
            </w:r>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370064" w:rsidRPr="00E04E53" w:rsidRDefault="00370064" w:rsidP="0031347F">
            <w:pPr>
              <w:pStyle w:val="Titre1"/>
              <w:spacing w:line="240" w:lineRule="auto"/>
              <w:jc w:val="center"/>
              <w:outlineLvl w:val="0"/>
              <w:rPr>
                <w:rFonts w:ascii="Times New Roman" w:hAnsi="Times New Roman" w:cs="Times New Roman"/>
                <w:sz w:val="52"/>
                <w:szCs w:val="52"/>
              </w:rPr>
            </w:pPr>
          </w:p>
        </w:tc>
      </w:tr>
    </w:tbl>
    <w:p w:rsidR="00995F69" w:rsidRPr="00B54D24" w:rsidRDefault="00995F69" w:rsidP="003232C4">
      <w:pPr>
        <w:spacing w:line="276" w:lineRule="auto"/>
        <w:ind w:left="114"/>
        <w:rPr>
          <w:rFonts w:ascii="Times New Roman" w:hAnsi="Times New Roman"/>
          <w:sz w:val="24"/>
          <w:szCs w:val="24"/>
        </w:rPr>
      </w:pPr>
    </w:p>
    <w:p w:rsidR="00DD4F3A" w:rsidRPr="007B43D0" w:rsidRDefault="00DD4F3A" w:rsidP="00DD4F3A">
      <w:pPr>
        <w:pStyle w:val="Paragraphedeliste"/>
        <w:spacing w:before="120" w:after="200" w:line="276" w:lineRule="auto"/>
        <w:ind w:left="-360"/>
        <w:contextualSpacing w:val="0"/>
        <w:rPr>
          <w:rFonts w:ascii="Times New Roman" w:hAnsi="Times New Roman"/>
          <w:sz w:val="24"/>
          <w:szCs w:val="24"/>
        </w:rPr>
      </w:pPr>
      <w:r w:rsidRPr="00CE7F60">
        <w:rPr>
          <w:rFonts w:ascii="Times New Roman" w:hAnsi="Times New Roman"/>
          <w:sz w:val="24"/>
          <w:szCs w:val="24"/>
        </w:rPr>
        <w:t xml:space="preserve">Cette évaluation vise </w:t>
      </w:r>
      <w:r>
        <w:rPr>
          <w:rFonts w:ascii="Times New Roman" w:hAnsi="Times New Roman"/>
          <w:sz w:val="24"/>
          <w:szCs w:val="24"/>
        </w:rPr>
        <w:t xml:space="preserve">prioritairement </w:t>
      </w:r>
      <w:r w:rsidRPr="00CE7F60">
        <w:rPr>
          <w:rFonts w:ascii="Times New Roman" w:hAnsi="Times New Roman"/>
          <w:sz w:val="24"/>
          <w:szCs w:val="24"/>
        </w:rPr>
        <w:t>à mieux comprendre les caractéristiques et la dynamique de la pauvreté au Bénin. Ensuite, il est question de comprendre pourquoi la croissance n’a-t-elle pas é</w:t>
      </w:r>
      <w:r>
        <w:rPr>
          <w:rFonts w:ascii="Times New Roman" w:hAnsi="Times New Roman"/>
          <w:sz w:val="24"/>
          <w:szCs w:val="24"/>
        </w:rPr>
        <w:t>té plus favorable aux pauvres. E</w:t>
      </w:r>
      <w:r w:rsidRPr="00CE7F60">
        <w:rPr>
          <w:rFonts w:ascii="Times New Roman" w:hAnsi="Times New Roman"/>
          <w:sz w:val="24"/>
          <w:szCs w:val="24"/>
        </w:rPr>
        <w:t>nfin</w:t>
      </w:r>
      <w:r>
        <w:rPr>
          <w:rFonts w:ascii="Times New Roman" w:hAnsi="Times New Roman"/>
          <w:sz w:val="24"/>
          <w:szCs w:val="24"/>
        </w:rPr>
        <w:t xml:space="preserve">, elle  s’interroge sur </w:t>
      </w:r>
      <w:r w:rsidRPr="00CE7F60">
        <w:rPr>
          <w:rFonts w:ascii="Times New Roman" w:hAnsi="Times New Roman"/>
          <w:sz w:val="24"/>
          <w:szCs w:val="24"/>
        </w:rPr>
        <w:t xml:space="preserve">l’impact des dépenses publiques sur les mesures de lutte contre la pauvreté. Les dépenses publiques sont-elles un moyen de lutte efficace contre la pauvreté ? Comment pourraient-elles mieux répondre aux besoins des pauvres ? </w:t>
      </w:r>
    </w:p>
    <w:p w:rsidR="00DD4F3A" w:rsidRDefault="00DD4F3A" w:rsidP="00DD4F3A">
      <w:pPr>
        <w:pStyle w:val="Paragraphedeliste"/>
        <w:spacing w:before="120" w:after="200" w:line="276" w:lineRule="auto"/>
        <w:ind w:left="-360"/>
        <w:contextualSpacing w:val="0"/>
        <w:rPr>
          <w:rFonts w:ascii="Times New Roman" w:eastAsia="Arial Unicode MS" w:hAnsi="Times New Roman"/>
          <w:sz w:val="24"/>
          <w:szCs w:val="24"/>
        </w:rPr>
      </w:pPr>
      <w:r>
        <w:rPr>
          <w:rFonts w:ascii="Times New Roman" w:hAnsi="Times New Roman"/>
          <w:sz w:val="24"/>
          <w:szCs w:val="24"/>
        </w:rPr>
        <w:t>Pour répondre à ces différentes préoccupations, les données de l’Enquête EMICoV de 2006, 2009 et 2011 ont été utilisées. Des ajustements nécessaires ont été effectués afin de rendre comparables les principales données utilisées dans le temps. Les approches méthodologiques adoptées sont spécifiques aux questionnements de l’évaluation. Au terme des analyses effectuées, plusieurs</w:t>
      </w:r>
      <w:r>
        <w:rPr>
          <w:rFonts w:ascii="Times New Roman" w:eastAsia="Arial Unicode MS" w:hAnsi="Times New Roman"/>
          <w:sz w:val="24"/>
          <w:szCs w:val="24"/>
        </w:rPr>
        <w:t xml:space="preserve"> résultats émergent : </w:t>
      </w:r>
    </w:p>
    <w:p w:rsidR="00DD4F3A" w:rsidRDefault="00DD4F3A" w:rsidP="00930D19">
      <w:pPr>
        <w:pStyle w:val="Paragraphedeliste"/>
        <w:numPr>
          <w:ilvl w:val="0"/>
          <w:numId w:val="18"/>
        </w:numPr>
        <w:spacing w:before="120" w:after="200" w:line="276" w:lineRule="auto"/>
        <w:contextualSpacing w:val="0"/>
        <w:rPr>
          <w:rFonts w:ascii="Times New Roman" w:eastAsia="Arial Unicode MS" w:hAnsi="Times New Roman"/>
          <w:sz w:val="24"/>
          <w:szCs w:val="24"/>
        </w:rPr>
      </w:pPr>
      <w:r>
        <w:rPr>
          <w:rFonts w:ascii="Times New Roman" w:eastAsia="Arial Unicode MS" w:hAnsi="Times New Roman"/>
          <w:sz w:val="24"/>
          <w:szCs w:val="24"/>
        </w:rPr>
        <w:t>C</w:t>
      </w:r>
      <w:r w:rsidRPr="0012724F">
        <w:rPr>
          <w:rFonts w:ascii="Times New Roman" w:eastAsia="Arial Unicode MS" w:hAnsi="Times New Roman"/>
          <w:sz w:val="24"/>
          <w:szCs w:val="24"/>
        </w:rPr>
        <w:t>ontrairement</w:t>
      </w:r>
      <w:r w:rsidR="007D24F1">
        <w:rPr>
          <w:rFonts w:ascii="Times New Roman" w:eastAsia="Arial Unicode MS" w:hAnsi="Times New Roman"/>
          <w:sz w:val="24"/>
          <w:szCs w:val="24"/>
        </w:rPr>
        <w:t xml:space="preserve"> à</w:t>
      </w:r>
      <w:r w:rsidRPr="0012724F">
        <w:rPr>
          <w:rFonts w:ascii="Times New Roman" w:eastAsia="Arial Unicode MS" w:hAnsi="Times New Roman"/>
          <w:sz w:val="24"/>
          <w:szCs w:val="24"/>
        </w:rPr>
        <w:t xml:space="preserve"> la pauvreté monétaire</w:t>
      </w:r>
      <w:r w:rsidR="007D24F1">
        <w:rPr>
          <w:rFonts w:ascii="Times New Roman" w:eastAsia="Arial Unicode MS" w:hAnsi="Times New Roman"/>
          <w:sz w:val="24"/>
          <w:szCs w:val="24"/>
        </w:rPr>
        <w:t>,</w:t>
      </w:r>
      <w:r w:rsidRPr="0012724F">
        <w:rPr>
          <w:rFonts w:ascii="Times New Roman" w:eastAsia="Arial Unicode MS" w:hAnsi="Times New Roman"/>
          <w:sz w:val="24"/>
          <w:szCs w:val="24"/>
        </w:rPr>
        <w:t xml:space="preserve"> qui a connu une évolution erratique, la pauvreté non monétaire</w:t>
      </w:r>
      <w:r w:rsidR="003C71C3">
        <w:rPr>
          <w:rFonts w:ascii="Times New Roman" w:eastAsia="Arial Unicode MS" w:hAnsi="Times New Roman"/>
          <w:sz w:val="24"/>
          <w:szCs w:val="24"/>
        </w:rPr>
        <w:t xml:space="preserve"> </w:t>
      </w:r>
      <w:r w:rsidRPr="0012724F">
        <w:rPr>
          <w:rFonts w:ascii="Times New Roman" w:eastAsia="Arial Unicode MS" w:hAnsi="Times New Roman"/>
          <w:sz w:val="24"/>
          <w:szCs w:val="24"/>
        </w:rPr>
        <w:t xml:space="preserve">focalisée sur les conditions d’existence a </w:t>
      </w:r>
      <w:r w:rsidRPr="0012724F">
        <w:rPr>
          <w:rFonts w:ascii="Times New Roman" w:hAnsi="Times New Roman"/>
          <w:sz w:val="24"/>
          <w:szCs w:val="24"/>
        </w:rPr>
        <w:t>connu</w:t>
      </w:r>
      <w:r w:rsidRPr="0012724F">
        <w:rPr>
          <w:rFonts w:ascii="Times New Roman" w:eastAsia="Arial Unicode MS" w:hAnsi="Times New Roman"/>
          <w:sz w:val="24"/>
          <w:szCs w:val="24"/>
        </w:rPr>
        <w:t xml:space="preserve"> une tendance à la baisse continue et conséquente depuis 2006</w:t>
      </w:r>
      <w:r>
        <w:rPr>
          <w:rFonts w:ascii="Times New Roman" w:eastAsia="Arial Unicode MS" w:hAnsi="Times New Roman"/>
          <w:sz w:val="24"/>
          <w:szCs w:val="24"/>
        </w:rPr>
        <w:t xml:space="preserve">. </w:t>
      </w:r>
    </w:p>
    <w:p w:rsidR="00DD4F3A" w:rsidRDefault="00DD4F3A" w:rsidP="00930D19">
      <w:pPr>
        <w:pStyle w:val="Paragraphedeliste"/>
        <w:numPr>
          <w:ilvl w:val="0"/>
          <w:numId w:val="18"/>
        </w:numPr>
        <w:spacing w:before="120" w:after="200" w:line="276" w:lineRule="auto"/>
        <w:contextualSpacing w:val="0"/>
        <w:rPr>
          <w:rFonts w:ascii="Times New Roman" w:eastAsia="Arial Unicode MS" w:hAnsi="Times New Roman"/>
          <w:sz w:val="24"/>
          <w:szCs w:val="24"/>
        </w:rPr>
      </w:pPr>
      <w:r w:rsidRPr="00E46EC1">
        <w:rPr>
          <w:rFonts w:ascii="Times New Roman" w:eastAsia="Arial Unicode MS" w:hAnsi="Times New Roman"/>
          <w:sz w:val="24"/>
          <w:szCs w:val="24"/>
        </w:rPr>
        <w:t>La pauvreté monétaire est plus répandue et prononcée en milieu rural. La situation inverse est notée en ce qui concerne la pauvreté non monétaire. Au niveau régional, l’existence de fortes disparités est encore persistante</w:t>
      </w:r>
      <w:r>
        <w:rPr>
          <w:rFonts w:ascii="Times New Roman" w:eastAsia="Arial Unicode MS" w:hAnsi="Times New Roman"/>
          <w:sz w:val="24"/>
          <w:szCs w:val="24"/>
        </w:rPr>
        <w:t xml:space="preserve"> </w:t>
      </w:r>
      <w:r w:rsidR="00FA11FB">
        <w:rPr>
          <w:rFonts w:ascii="Times New Roman" w:eastAsia="Arial Unicode MS" w:hAnsi="Times New Roman"/>
          <w:sz w:val="24"/>
          <w:szCs w:val="24"/>
        </w:rPr>
        <w:t xml:space="preserve">en </w:t>
      </w:r>
      <w:r>
        <w:rPr>
          <w:rFonts w:ascii="Times New Roman" w:eastAsia="Arial Unicode MS" w:hAnsi="Times New Roman"/>
          <w:sz w:val="24"/>
          <w:szCs w:val="24"/>
        </w:rPr>
        <w:t>ce qui concerne les deux dimensions de la pauvreté</w:t>
      </w:r>
      <w:r w:rsidR="00FA11FB">
        <w:rPr>
          <w:rFonts w:ascii="Times New Roman" w:eastAsia="Arial Unicode MS" w:hAnsi="Times New Roman"/>
          <w:sz w:val="24"/>
          <w:szCs w:val="24"/>
        </w:rPr>
        <w:t>.</w:t>
      </w:r>
    </w:p>
    <w:p w:rsidR="00DD4F3A" w:rsidRPr="00F40CCB" w:rsidRDefault="00DD4F3A" w:rsidP="00930D19">
      <w:pPr>
        <w:pStyle w:val="Paragraphedeliste"/>
        <w:numPr>
          <w:ilvl w:val="0"/>
          <w:numId w:val="18"/>
        </w:numPr>
        <w:spacing w:before="120" w:after="200" w:line="276" w:lineRule="auto"/>
        <w:contextualSpacing w:val="0"/>
        <w:rPr>
          <w:rFonts w:ascii="Times New Roman" w:eastAsia="Arial Unicode MS" w:hAnsi="Times New Roman"/>
          <w:sz w:val="24"/>
          <w:szCs w:val="24"/>
        </w:rPr>
      </w:pPr>
      <w:r>
        <w:rPr>
          <w:rFonts w:ascii="Times New Roman" w:eastAsia="Arial Unicode MS" w:hAnsi="Times New Roman"/>
          <w:sz w:val="24"/>
          <w:szCs w:val="24"/>
        </w:rPr>
        <w:t xml:space="preserve">Une </w:t>
      </w:r>
      <w:r w:rsidRPr="00F40CCB">
        <w:rPr>
          <w:rFonts w:ascii="Times New Roman" w:eastAsia="Arial Unicode MS" w:hAnsi="Times New Roman"/>
          <w:sz w:val="24"/>
          <w:szCs w:val="24"/>
        </w:rPr>
        <w:t>forte corrélation de la pauvreté avec les différents attributs de la population tels que la localisation spatiale (urbain/rural), les formes d’emplois, les statuts socioprofessionnels, la composition du ménage, le niveau d’instruct</w:t>
      </w:r>
      <w:r>
        <w:rPr>
          <w:rFonts w:ascii="Times New Roman" w:eastAsia="Arial Unicode MS" w:hAnsi="Times New Roman"/>
          <w:sz w:val="24"/>
          <w:szCs w:val="24"/>
        </w:rPr>
        <w:t xml:space="preserve">ion, le sexe du chef de ménage est établie. </w:t>
      </w:r>
    </w:p>
    <w:p w:rsidR="00DD4F3A" w:rsidRPr="00E87FC6" w:rsidRDefault="00DD4F3A" w:rsidP="00930D19">
      <w:pPr>
        <w:pStyle w:val="Paragraphedeliste"/>
        <w:numPr>
          <w:ilvl w:val="0"/>
          <w:numId w:val="18"/>
        </w:numPr>
        <w:spacing w:before="120" w:after="200" w:line="276" w:lineRule="auto"/>
        <w:contextualSpacing w:val="0"/>
        <w:rPr>
          <w:rFonts w:ascii="Times New Roman" w:eastAsia="Arial Unicode MS" w:hAnsi="Times New Roman"/>
          <w:sz w:val="24"/>
          <w:szCs w:val="24"/>
        </w:rPr>
      </w:pPr>
      <w:r w:rsidRPr="00E87FC6">
        <w:rPr>
          <w:rFonts w:ascii="Times New Roman" w:eastAsia="Arial Unicode MS" w:hAnsi="Times New Roman"/>
          <w:sz w:val="24"/>
          <w:szCs w:val="24"/>
        </w:rPr>
        <w:t xml:space="preserve">L’analyse de la pauvreté selon le sexe du chef de ménage montre que les ménages dirigés par les femmes semblent connaître moins la pauvreté monétaire, mais elles apparaissent plus vulnérables </w:t>
      </w:r>
      <w:r w:rsidR="003C71C3">
        <w:rPr>
          <w:rFonts w:ascii="Times New Roman" w:eastAsia="Arial Unicode MS" w:hAnsi="Times New Roman"/>
          <w:sz w:val="24"/>
          <w:szCs w:val="24"/>
        </w:rPr>
        <w:t xml:space="preserve">à la pauvreté </w:t>
      </w:r>
      <w:r w:rsidRPr="00E87FC6">
        <w:rPr>
          <w:rFonts w:ascii="Times New Roman" w:eastAsia="Arial Unicode MS" w:hAnsi="Times New Roman"/>
          <w:sz w:val="24"/>
          <w:szCs w:val="24"/>
        </w:rPr>
        <w:t>que les ménages dirigés par les hommes.</w:t>
      </w:r>
    </w:p>
    <w:p w:rsidR="00DD4F3A" w:rsidRPr="00E87FC6" w:rsidRDefault="00DD4F3A" w:rsidP="00930D19">
      <w:pPr>
        <w:pStyle w:val="Paragraphedeliste"/>
        <w:numPr>
          <w:ilvl w:val="0"/>
          <w:numId w:val="18"/>
        </w:numPr>
        <w:spacing w:before="120" w:after="200" w:line="276" w:lineRule="auto"/>
        <w:contextualSpacing w:val="0"/>
        <w:rPr>
          <w:rFonts w:ascii="Times New Roman" w:eastAsia="Arial Unicode MS" w:hAnsi="Times New Roman"/>
          <w:sz w:val="24"/>
          <w:szCs w:val="24"/>
        </w:rPr>
      </w:pPr>
      <w:r w:rsidRPr="00E87FC6">
        <w:rPr>
          <w:rFonts w:ascii="Times New Roman" w:eastAsia="Arial Unicode MS" w:hAnsi="Times New Roman"/>
          <w:sz w:val="24"/>
          <w:szCs w:val="24"/>
        </w:rPr>
        <w:t>L’analyse de l’interaction entre la pauvreté et la branche d’activité du chef de ménage indique que la participation au marché du travail n’est pas considérée comme un facteur clé dans l’explication de la pauvreté au Bénin. Ceci pose ainsi globalement la question de la qualité de l’emploi sur laquelle les politiques de l’emploi devraient être axées étant donné que le taux de salarisation est faible (10%) et que plus de la moitié de la population active occupée au Bénin est caractérisé</w:t>
      </w:r>
      <w:r w:rsidR="00FA11FB">
        <w:rPr>
          <w:rFonts w:ascii="Times New Roman" w:eastAsia="Arial Unicode MS" w:hAnsi="Times New Roman"/>
          <w:sz w:val="24"/>
          <w:szCs w:val="24"/>
        </w:rPr>
        <w:t>e</w:t>
      </w:r>
      <w:r w:rsidRPr="00E87FC6">
        <w:rPr>
          <w:rFonts w:ascii="Times New Roman" w:eastAsia="Arial Unicode MS" w:hAnsi="Times New Roman"/>
          <w:sz w:val="24"/>
          <w:szCs w:val="24"/>
        </w:rPr>
        <w:t xml:space="preserve"> par le sous-emploi. </w:t>
      </w:r>
    </w:p>
    <w:p w:rsidR="00DD4F3A" w:rsidRPr="0025273C" w:rsidRDefault="00DD4F3A" w:rsidP="00930D19">
      <w:pPr>
        <w:pStyle w:val="Paragraphedeliste"/>
        <w:numPr>
          <w:ilvl w:val="0"/>
          <w:numId w:val="18"/>
        </w:numPr>
        <w:spacing w:line="276" w:lineRule="auto"/>
        <w:rPr>
          <w:rFonts w:ascii="Times New Roman" w:hAnsi="Times New Roman"/>
          <w:sz w:val="24"/>
          <w:szCs w:val="24"/>
        </w:rPr>
      </w:pPr>
      <w:r w:rsidRPr="00E87FC6">
        <w:rPr>
          <w:rFonts w:ascii="Times New Roman" w:eastAsia="Arial Unicode MS" w:hAnsi="Times New Roman"/>
          <w:sz w:val="24"/>
          <w:szCs w:val="24"/>
        </w:rPr>
        <w:t>La pauvreté au Bénin s’apparente principalement à un phénomène transitoire. Cependant, 15,5% d’individus sont en situation de pauvreté permanente. En outre, les résultats montrent que les ménages sortis de la pauvreté sont ceux qui s</w:t>
      </w:r>
      <w:r w:rsidRPr="0025273C">
        <w:rPr>
          <w:rFonts w:ascii="Times New Roman" w:hAnsi="Times New Roman"/>
          <w:sz w:val="24"/>
          <w:szCs w:val="24"/>
        </w:rPr>
        <w:t>ont en général des ménages de niveau de vie initiale élevé,</w:t>
      </w:r>
      <w:r>
        <w:rPr>
          <w:rFonts w:ascii="Times New Roman" w:hAnsi="Times New Roman"/>
          <w:sz w:val="24"/>
          <w:szCs w:val="24"/>
        </w:rPr>
        <w:t xml:space="preserve"> près de la ligne de pauvreté, </w:t>
      </w:r>
      <w:r w:rsidRPr="0025273C">
        <w:rPr>
          <w:rFonts w:ascii="Times New Roman" w:hAnsi="Times New Roman"/>
          <w:sz w:val="24"/>
          <w:szCs w:val="24"/>
        </w:rPr>
        <w:t xml:space="preserve">qui vivent en milieu urbain, sont de taille réduite et dirigés par des femmes ou souvent des jeunes (moins de 30 ans). Ce groupe se traduit par un meilleur statut dans l’emploi du chef de ménage (patron et cadre supérieur, employé ou ouvrier qualifié), exerçant une activité relevant du secteur secondaire ou tertiaire. </w:t>
      </w:r>
    </w:p>
    <w:p w:rsidR="00DD4F3A" w:rsidRPr="005572B4" w:rsidRDefault="00DD4F3A" w:rsidP="00B33ECF">
      <w:pPr>
        <w:pStyle w:val="Paragraphedeliste"/>
        <w:spacing w:line="240" w:lineRule="auto"/>
        <w:ind w:left="360"/>
        <w:rPr>
          <w:rFonts w:ascii="Times New Roman" w:eastAsia="Arial Unicode MS" w:hAnsi="Times New Roman"/>
          <w:sz w:val="24"/>
          <w:szCs w:val="24"/>
        </w:rPr>
      </w:pPr>
    </w:p>
    <w:p w:rsidR="00DD4F3A" w:rsidRPr="005572B4" w:rsidRDefault="00DD4F3A" w:rsidP="00930D19">
      <w:pPr>
        <w:pStyle w:val="Paragraphedeliste"/>
        <w:numPr>
          <w:ilvl w:val="0"/>
          <w:numId w:val="18"/>
        </w:numPr>
        <w:spacing w:line="276" w:lineRule="auto"/>
        <w:rPr>
          <w:rFonts w:ascii="Times New Roman" w:eastAsia="Arial Unicode MS" w:hAnsi="Times New Roman"/>
          <w:sz w:val="24"/>
          <w:szCs w:val="24"/>
        </w:rPr>
      </w:pPr>
      <w:r w:rsidRPr="005572B4">
        <w:rPr>
          <w:rFonts w:ascii="Times New Roman" w:eastAsia="Arial Unicode MS" w:hAnsi="Times New Roman"/>
          <w:sz w:val="24"/>
          <w:szCs w:val="24"/>
        </w:rPr>
        <w:t xml:space="preserve">Les ménages qui sont entrés dans la pauvreté ou qui restés toujours pauvres sont ceux vivant en milieu rural, généralement de grande taille et ayant un niveau de vie initial faible, dirigés par des hommes, en général âgés et travaillant dans le secteur primaire (Agriculture, Elevage et Pêche) pour compte propre ou en tant que manœuvre ou apprentis. Ces ménages ont connu une baisse du nombre d’actif occupés et ont subi les chocs biophysiques (inondations/sécheresses) entre 2006 et 2009.  </w:t>
      </w:r>
    </w:p>
    <w:p w:rsidR="00DD4F3A" w:rsidRDefault="00DD4F3A" w:rsidP="00B33ECF">
      <w:pPr>
        <w:autoSpaceDE w:val="0"/>
        <w:autoSpaceDN w:val="0"/>
        <w:adjustRightInd w:val="0"/>
        <w:spacing w:line="240" w:lineRule="auto"/>
        <w:rPr>
          <w:rFonts w:ascii="Times New Roman" w:hAnsi="Times New Roman"/>
          <w:sz w:val="24"/>
          <w:szCs w:val="24"/>
          <w:highlight w:val="yellow"/>
        </w:rPr>
      </w:pPr>
    </w:p>
    <w:p w:rsidR="00DD4F3A" w:rsidRDefault="00DD4F3A" w:rsidP="00930D19">
      <w:pPr>
        <w:pStyle w:val="Paragraphedeliste"/>
        <w:numPr>
          <w:ilvl w:val="0"/>
          <w:numId w:val="18"/>
        </w:numPr>
        <w:spacing w:line="276" w:lineRule="auto"/>
        <w:rPr>
          <w:rFonts w:ascii="Times New Roman" w:eastAsia="Arial Unicode MS" w:hAnsi="Times New Roman"/>
          <w:sz w:val="24"/>
          <w:szCs w:val="24"/>
        </w:rPr>
      </w:pPr>
      <w:r w:rsidRPr="005572B4">
        <w:rPr>
          <w:rFonts w:ascii="Times New Roman" w:eastAsia="Arial Unicode MS" w:hAnsi="Times New Roman"/>
          <w:sz w:val="24"/>
          <w:szCs w:val="24"/>
        </w:rPr>
        <w:t>Les variables sociodémographiques et socio-économiques qui influencent différemment la transition dans la pauvreté sont : le cycle de vie, le niveau d’instruction du chef de ménage, l’accès à l’emploi, la taille du ménage, le milieu de résidence, l’accessibilité économique aux biens sociaux (le logement, la santé, l’éduc</w:t>
      </w:r>
      <w:r w:rsidR="007D24F1">
        <w:rPr>
          <w:rFonts w:ascii="Times New Roman" w:eastAsia="Arial Unicode MS" w:hAnsi="Times New Roman"/>
          <w:sz w:val="24"/>
          <w:szCs w:val="24"/>
        </w:rPr>
        <w:t>a</w:t>
      </w:r>
      <w:r w:rsidRPr="005572B4">
        <w:rPr>
          <w:rFonts w:ascii="Times New Roman" w:eastAsia="Arial Unicode MS" w:hAnsi="Times New Roman"/>
          <w:sz w:val="24"/>
          <w:szCs w:val="24"/>
        </w:rPr>
        <w:t xml:space="preserve">tion et la communication) et l’exposition aux  chocs biophysiques et </w:t>
      </w:r>
      <w:r>
        <w:rPr>
          <w:rFonts w:ascii="Times New Roman" w:eastAsia="Arial Unicode MS" w:hAnsi="Times New Roman"/>
          <w:sz w:val="24"/>
          <w:szCs w:val="24"/>
        </w:rPr>
        <w:t>sociaux.</w:t>
      </w:r>
    </w:p>
    <w:p w:rsidR="00DD4F3A" w:rsidRDefault="00DD4F3A" w:rsidP="00B33ECF">
      <w:pPr>
        <w:spacing w:line="240" w:lineRule="auto"/>
        <w:rPr>
          <w:rFonts w:ascii="Times New Roman" w:hAnsi="Times New Roman"/>
          <w:sz w:val="24"/>
          <w:szCs w:val="24"/>
        </w:rPr>
      </w:pPr>
    </w:p>
    <w:p w:rsidR="00DD4F3A" w:rsidRPr="009412DB" w:rsidRDefault="00DD4F3A" w:rsidP="00930D19">
      <w:pPr>
        <w:pStyle w:val="Paragraphedeliste"/>
        <w:numPr>
          <w:ilvl w:val="0"/>
          <w:numId w:val="18"/>
        </w:numPr>
        <w:spacing w:line="276" w:lineRule="auto"/>
        <w:rPr>
          <w:rFonts w:ascii="Times New Roman" w:eastAsia="Arial Unicode MS" w:hAnsi="Times New Roman"/>
          <w:sz w:val="24"/>
          <w:szCs w:val="24"/>
        </w:rPr>
      </w:pPr>
      <w:r w:rsidRPr="009412DB">
        <w:rPr>
          <w:rFonts w:ascii="Times New Roman" w:hAnsi="Times New Roman"/>
          <w:sz w:val="24"/>
          <w:szCs w:val="24"/>
        </w:rPr>
        <w:t xml:space="preserve">Les pôles de croissance identifiés par le </w:t>
      </w:r>
      <w:r w:rsidR="00FA11FB">
        <w:rPr>
          <w:rFonts w:ascii="Times New Roman" w:hAnsi="Times New Roman"/>
          <w:sz w:val="24"/>
          <w:szCs w:val="24"/>
        </w:rPr>
        <w:t>G</w:t>
      </w:r>
      <w:r w:rsidR="00FA11FB" w:rsidRPr="009412DB">
        <w:rPr>
          <w:rFonts w:ascii="Times New Roman" w:hAnsi="Times New Roman"/>
          <w:sz w:val="24"/>
          <w:szCs w:val="24"/>
        </w:rPr>
        <w:t xml:space="preserve">ouvernement </w:t>
      </w:r>
      <w:r w:rsidRPr="009412DB">
        <w:rPr>
          <w:rFonts w:ascii="Times New Roman" w:hAnsi="Times New Roman"/>
          <w:sz w:val="24"/>
          <w:szCs w:val="24"/>
        </w:rPr>
        <w:t>peuvent efficacement contribuer à</w:t>
      </w:r>
      <w:r w:rsidRPr="009412DB">
        <w:rPr>
          <w:rFonts w:ascii="Times New Roman" w:eastAsia="Arial Unicode MS" w:hAnsi="Times New Roman"/>
          <w:sz w:val="24"/>
          <w:szCs w:val="24"/>
        </w:rPr>
        <w:t xml:space="preserve"> la réduction de la pauvreté et par conséquent à l’atteinte des Objectifs du Millénaire pour le Développement. En particulier, le pôle agroalimentaire et agriculture (agriculture vivrière) doit être privilégié dans la mise en </w:t>
      </w:r>
      <w:r w:rsidR="00FA11FB" w:rsidRPr="009412DB">
        <w:rPr>
          <w:rFonts w:ascii="Times New Roman" w:eastAsia="Arial Unicode MS" w:hAnsi="Times New Roman"/>
          <w:sz w:val="24"/>
          <w:szCs w:val="24"/>
        </w:rPr>
        <w:t>œ</w:t>
      </w:r>
      <w:r w:rsidR="00FA11FB">
        <w:rPr>
          <w:rFonts w:ascii="Times New Roman" w:eastAsia="Arial Unicode MS" w:hAnsi="Times New Roman"/>
          <w:sz w:val="24"/>
          <w:szCs w:val="24"/>
        </w:rPr>
        <w:t>u</w:t>
      </w:r>
      <w:r w:rsidR="00FA11FB" w:rsidRPr="009412DB">
        <w:rPr>
          <w:rFonts w:ascii="Times New Roman" w:eastAsia="Arial Unicode MS" w:hAnsi="Times New Roman"/>
          <w:sz w:val="24"/>
          <w:szCs w:val="24"/>
        </w:rPr>
        <w:t>vre</w:t>
      </w:r>
      <w:r w:rsidRPr="009412DB">
        <w:rPr>
          <w:rFonts w:ascii="Times New Roman" w:eastAsia="Arial Unicode MS" w:hAnsi="Times New Roman"/>
          <w:sz w:val="24"/>
          <w:szCs w:val="24"/>
        </w:rPr>
        <w:t xml:space="preserve"> des p</w:t>
      </w:r>
      <w:r>
        <w:rPr>
          <w:rFonts w:ascii="Times New Roman" w:eastAsia="Arial Unicode MS" w:hAnsi="Times New Roman"/>
          <w:sz w:val="24"/>
          <w:szCs w:val="24"/>
        </w:rPr>
        <w:t xml:space="preserve">olitiques en faveur des pauvres en mettant une emphase sur l’accroissement de la productivité agricole et la nécessité de professionnaliser le secteur. </w:t>
      </w:r>
    </w:p>
    <w:p w:rsidR="00DD4F3A" w:rsidRPr="00F51185" w:rsidRDefault="00DD4F3A" w:rsidP="00B33ECF">
      <w:pPr>
        <w:pStyle w:val="Paragraphedeliste"/>
        <w:spacing w:line="240" w:lineRule="auto"/>
        <w:rPr>
          <w:rFonts w:ascii="Times New Roman" w:eastAsia="Arial Unicode MS" w:hAnsi="Times New Roman"/>
          <w:sz w:val="24"/>
          <w:szCs w:val="24"/>
        </w:rPr>
      </w:pPr>
    </w:p>
    <w:p w:rsidR="00DD4F3A" w:rsidRPr="005E0D35" w:rsidRDefault="00DD4F3A" w:rsidP="00930D19">
      <w:pPr>
        <w:pStyle w:val="Paragraphedeliste"/>
        <w:numPr>
          <w:ilvl w:val="0"/>
          <w:numId w:val="18"/>
        </w:numPr>
        <w:spacing w:line="276" w:lineRule="auto"/>
        <w:rPr>
          <w:rFonts w:ascii="Times New Roman" w:eastAsia="Times New Roman" w:hAnsi="Times New Roman"/>
          <w:bCs/>
          <w:color w:val="000000"/>
          <w:sz w:val="24"/>
          <w:szCs w:val="24"/>
          <w:lang w:eastAsia="fr-FR"/>
        </w:rPr>
      </w:pPr>
      <w:r>
        <w:rPr>
          <w:rFonts w:ascii="Times New Roman" w:eastAsia="Arial Unicode MS" w:hAnsi="Times New Roman"/>
          <w:sz w:val="24"/>
          <w:szCs w:val="24"/>
        </w:rPr>
        <w:t xml:space="preserve">La </w:t>
      </w:r>
      <w:r w:rsidRPr="005E0D35">
        <w:rPr>
          <w:rFonts w:ascii="Times New Roman" w:eastAsia="Arial Unicode MS" w:hAnsi="Times New Roman"/>
          <w:sz w:val="24"/>
          <w:szCs w:val="24"/>
        </w:rPr>
        <w:t xml:space="preserve"> connexion entre la croissance économique et la pauvreté</w:t>
      </w:r>
      <w:r>
        <w:rPr>
          <w:rFonts w:ascii="Times New Roman" w:eastAsia="Arial Unicode MS" w:hAnsi="Times New Roman"/>
          <w:sz w:val="24"/>
          <w:szCs w:val="24"/>
        </w:rPr>
        <w:t xml:space="preserve"> est </w:t>
      </w:r>
      <w:r w:rsidRPr="005E0D35">
        <w:rPr>
          <w:rFonts w:ascii="Times New Roman" w:eastAsia="Arial Unicode MS" w:hAnsi="Times New Roman"/>
          <w:sz w:val="24"/>
          <w:szCs w:val="24"/>
        </w:rPr>
        <w:t>apparente, en ce sens que les épisodes de croissance soutenue observés ont été majoritairement profitables aux plus pauvres</w:t>
      </w:r>
      <w:r>
        <w:rPr>
          <w:rFonts w:ascii="Times New Roman" w:eastAsia="Arial Unicode MS" w:hAnsi="Times New Roman"/>
          <w:sz w:val="24"/>
          <w:szCs w:val="24"/>
        </w:rPr>
        <w:t xml:space="preserve">. </w:t>
      </w:r>
      <w:r w:rsidRPr="005E0D35">
        <w:rPr>
          <w:rFonts w:ascii="Times New Roman" w:eastAsia="Arial Unicode MS" w:hAnsi="Times New Roman"/>
          <w:sz w:val="24"/>
          <w:szCs w:val="24"/>
        </w:rPr>
        <w:t xml:space="preserve"> Pour </w:t>
      </w:r>
      <w:r>
        <w:rPr>
          <w:rFonts w:ascii="Times New Roman" w:eastAsia="Arial Unicode MS" w:hAnsi="Times New Roman"/>
          <w:sz w:val="24"/>
          <w:szCs w:val="24"/>
        </w:rPr>
        <w:t>parvenir à une réduction conséquente de la pauvreté</w:t>
      </w:r>
      <w:r w:rsidRPr="005E0D35">
        <w:rPr>
          <w:rFonts w:ascii="Times New Roman" w:eastAsia="Arial Unicode MS" w:hAnsi="Times New Roman"/>
          <w:sz w:val="24"/>
          <w:szCs w:val="24"/>
        </w:rPr>
        <w:t>, il est donc nécessaire que la croissance profite à l’ensemble des populations pauvres mais également à une frange des populations vulnérables</w:t>
      </w:r>
      <w:r w:rsidR="00486650">
        <w:rPr>
          <w:rFonts w:ascii="Times New Roman" w:eastAsia="Arial Unicode MS" w:hAnsi="Times New Roman"/>
          <w:sz w:val="24"/>
          <w:szCs w:val="24"/>
        </w:rPr>
        <w:t>,</w:t>
      </w:r>
      <w:r w:rsidRPr="005E0D35">
        <w:rPr>
          <w:rFonts w:ascii="Times New Roman" w:eastAsia="Arial Unicode MS" w:hAnsi="Times New Roman"/>
          <w:sz w:val="24"/>
          <w:szCs w:val="24"/>
        </w:rPr>
        <w:t xml:space="preserve"> notamment ceux dont les dépenses de consommation par tête sont proches du seuil de pauvreté et qui sont susceptibles de tomber dans la pauvreté</w:t>
      </w:r>
      <w:r w:rsidRPr="005E0D35">
        <w:rPr>
          <w:rFonts w:ascii="Times New Roman" w:eastAsia="Times New Roman" w:hAnsi="Times New Roman"/>
          <w:bCs/>
          <w:color w:val="000000"/>
          <w:sz w:val="24"/>
          <w:szCs w:val="24"/>
          <w:lang w:eastAsia="fr-FR"/>
        </w:rPr>
        <w:t>.</w:t>
      </w:r>
    </w:p>
    <w:p w:rsidR="00DD4F3A" w:rsidRPr="0086465C" w:rsidRDefault="00DD4F3A" w:rsidP="00B33ECF">
      <w:pPr>
        <w:spacing w:line="240" w:lineRule="auto"/>
        <w:rPr>
          <w:rFonts w:ascii="Times New Roman" w:eastAsia="Times New Roman" w:hAnsi="Times New Roman"/>
          <w:bCs/>
          <w:color w:val="000000"/>
          <w:sz w:val="24"/>
          <w:szCs w:val="24"/>
          <w:lang w:eastAsia="fr-FR"/>
        </w:rPr>
      </w:pPr>
    </w:p>
    <w:p w:rsidR="00DD4F3A" w:rsidRPr="005E0D35" w:rsidRDefault="00DD4F3A" w:rsidP="00930D19">
      <w:pPr>
        <w:pStyle w:val="Paragraphedeliste"/>
        <w:numPr>
          <w:ilvl w:val="0"/>
          <w:numId w:val="18"/>
        </w:numPr>
        <w:spacing w:line="276" w:lineRule="auto"/>
        <w:rPr>
          <w:rFonts w:ascii="Times New Roman" w:eastAsia="Arial Unicode MS" w:hAnsi="Times New Roman"/>
          <w:sz w:val="24"/>
          <w:szCs w:val="24"/>
        </w:rPr>
      </w:pPr>
      <w:r>
        <w:rPr>
          <w:rFonts w:ascii="Times New Roman" w:eastAsia="Arial Unicode MS" w:hAnsi="Times New Roman"/>
          <w:sz w:val="24"/>
          <w:szCs w:val="24"/>
        </w:rPr>
        <w:t>L</w:t>
      </w:r>
      <w:r w:rsidRPr="005E0D35">
        <w:rPr>
          <w:rFonts w:ascii="Times New Roman" w:eastAsia="Arial Unicode MS" w:hAnsi="Times New Roman"/>
          <w:sz w:val="24"/>
          <w:szCs w:val="24"/>
        </w:rPr>
        <w:t xml:space="preserve">es mesures de redistribution </w:t>
      </w:r>
      <w:r>
        <w:rPr>
          <w:rFonts w:ascii="Times New Roman" w:eastAsia="Arial Unicode MS" w:hAnsi="Times New Roman"/>
          <w:sz w:val="24"/>
          <w:szCs w:val="24"/>
        </w:rPr>
        <w:t>sont importantes dans les</w:t>
      </w:r>
      <w:r w:rsidRPr="005E0D35">
        <w:rPr>
          <w:rFonts w:ascii="Times New Roman" w:eastAsia="Arial Unicode MS" w:hAnsi="Times New Roman"/>
          <w:sz w:val="24"/>
          <w:szCs w:val="24"/>
        </w:rPr>
        <w:t xml:space="preserve"> stratégie</w:t>
      </w:r>
      <w:r>
        <w:rPr>
          <w:rFonts w:ascii="Times New Roman" w:eastAsia="Arial Unicode MS" w:hAnsi="Times New Roman"/>
          <w:sz w:val="24"/>
          <w:szCs w:val="24"/>
        </w:rPr>
        <w:t>s</w:t>
      </w:r>
      <w:r w:rsidRPr="005E0D35">
        <w:rPr>
          <w:rFonts w:ascii="Times New Roman" w:eastAsia="Arial Unicode MS" w:hAnsi="Times New Roman"/>
          <w:sz w:val="24"/>
          <w:szCs w:val="24"/>
        </w:rPr>
        <w:t xml:space="preserve"> de réduction de la pauvreté basée sur une croissance pro-pauvre. </w:t>
      </w:r>
      <w:r>
        <w:rPr>
          <w:rFonts w:ascii="Times New Roman" w:eastAsia="Arial Unicode MS" w:hAnsi="Times New Roman"/>
          <w:sz w:val="24"/>
          <w:szCs w:val="24"/>
        </w:rPr>
        <w:t>Ainsi, l</w:t>
      </w:r>
      <w:r w:rsidRPr="00F51185">
        <w:rPr>
          <w:rFonts w:ascii="Times New Roman" w:eastAsia="Times New Roman" w:hAnsi="Times New Roman"/>
          <w:bCs/>
          <w:color w:val="000000"/>
          <w:sz w:val="24"/>
          <w:szCs w:val="24"/>
          <w:lang w:eastAsia="fr-FR"/>
        </w:rPr>
        <w:t>es stratégies de réduction de la pauvreté à opérationnaliser au Bénin doivent donc privilégier autant la relance de la croissance que les politiques de redistribution en direction des plus pauvres.</w:t>
      </w:r>
      <w:r w:rsidRPr="005E0D35">
        <w:rPr>
          <w:rFonts w:ascii="Times New Roman" w:eastAsia="Arial Unicode MS" w:hAnsi="Times New Roman"/>
          <w:sz w:val="24"/>
          <w:szCs w:val="24"/>
        </w:rPr>
        <w:t xml:space="preserve"> Toutefois, lorsqu’elles reposent sur des transferts indirects ou des subventions, elles peuvent s’avérer difficilement soutenables. </w:t>
      </w:r>
    </w:p>
    <w:p w:rsidR="00DD4F3A" w:rsidRDefault="00DD4F3A" w:rsidP="00B33ECF">
      <w:pPr>
        <w:spacing w:line="240" w:lineRule="auto"/>
        <w:rPr>
          <w:rFonts w:ascii="Times New Roman" w:eastAsia="Times New Roman" w:hAnsi="Times New Roman"/>
          <w:bCs/>
          <w:color w:val="000000"/>
          <w:sz w:val="24"/>
          <w:szCs w:val="24"/>
          <w:lang w:eastAsia="fr-FR"/>
        </w:rPr>
      </w:pPr>
    </w:p>
    <w:p w:rsidR="00DD4F3A" w:rsidRPr="00691D0B" w:rsidRDefault="00DD4F3A" w:rsidP="00930D19">
      <w:pPr>
        <w:pStyle w:val="Paragraphedeliste"/>
        <w:numPr>
          <w:ilvl w:val="0"/>
          <w:numId w:val="18"/>
        </w:numPr>
        <w:spacing w:line="276" w:lineRule="auto"/>
        <w:rPr>
          <w:rFonts w:ascii="Times New Roman" w:hAnsi="Times New Roman"/>
          <w:sz w:val="24"/>
          <w:szCs w:val="24"/>
        </w:rPr>
      </w:pPr>
      <w:r w:rsidRPr="00691D0B">
        <w:rPr>
          <w:rFonts w:ascii="Times New Roman" w:hAnsi="Times New Roman"/>
          <w:sz w:val="24"/>
          <w:szCs w:val="24"/>
        </w:rPr>
        <w:t xml:space="preserve">Au plan national en 2010, 61,8% des ménages ont subi des chocs, tous types confondus. </w:t>
      </w:r>
      <w:r>
        <w:rPr>
          <w:rFonts w:ascii="Times New Roman" w:hAnsi="Times New Roman"/>
          <w:sz w:val="24"/>
          <w:szCs w:val="24"/>
        </w:rPr>
        <w:t>P</w:t>
      </w:r>
      <w:r w:rsidRPr="00691D0B">
        <w:rPr>
          <w:rFonts w:ascii="Times New Roman" w:hAnsi="Times New Roman"/>
          <w:sz w:val="24"/>
          <w:szCs w:val="24"/>
        </w:rPr>
        <w:t xml:space="preserve">ar ordre d’importance </w:t>
      </w:r>
      <w:r>
        <w:rPr>
          <w:rFonts w:ascii="Times New Roman" w:hAnsi="Times New Roman"/>
          <w:sz w:val="24"/>
          <w:szCs w:val="24"/>
        </w:rPr>
        <w:t xml:space="preserve">apparaissent </w:t>
      </w:r>
      <w:r w:rsidRPr="00691D0B">
        <w:rPr>
          <w:rFonts w:ascii="Times New Roman" w:hAnsi="Times New Roman"/>
          <w:sz w:val="24"/>
          <w:szCs w:val="24"/>
        </w:rPr>
        <w:t>les</w:t>
      </w:r>
      <w:r w:rsidRPr="00691D0B">
        <w:rPr>
          <w:rFonts w:ascii="Times New Roman" w:hAnsi="Times New Roman"/>
          <w:color w:val="231F20"/>
          <w:sz w:val="24"/>
          <w:szCs w:val="24"/>
        </w:rPr>
        <w:t xml:space="preserve"> chocs économiques (41,7%) suivis des chocs biophysiques (31,9%)  et sociaux (14,3%). </w:t>
      </w:r>
    </w:p>
    <w:p w:rsidR="00DD4F3A" w:rsidRDefault="00DD4F3A" w:rsidP="00DD4F3A">
      <w:pPr>
        <w:pStyle w:val="Paragraphedeliste"/>
        <w:spacing w:line="276" w:lineRule="auto"/>
        <w:ind w:left="360"/>
        <w:rPr>
          <w:rFonts w:ascii="Times New Roman" w:hAnsi="Times New Roman"/>
          <w:sz w:val="24"/>
          <w:szCs w:val="24"/>
        </w:rPr>
      </w:pPr>
    </w:p>
    <w:p w:rsidR="00DD4F3A" w:rsidRPr="00691D0B" w:rsidRDefault="00DD4F3A" w:rsidP="00930D19">
      <w:pPr>
        <w:pStyle w:val="Paragraphedeliste"/>
        <w:numPr>
          <w:ilvl w:val="0"/>
          <w:numId w:val="18"/>
        </w:numPr>
        <w:spacing w:line="276" w:lineRule="auto"/>
        <w:rPr>
          <w:rFonts w:ascii="Times New Roman" w:hAnsi="Times New Roman"/>
          <w:sz w:val="24"/>
          <w:szCs w:val="24"/>
        </w:rPr>
      </w:pPr>
      <w:r w:rsidRPr="00691D0B">
        <w:rPr>
          <w:rFonts w:ascii="Times New Roman" w:hAnsi="Times New Roman"/>
          <w:sz w:val="24"/>
          <w:szCs w:val="24"/>
        </w:rPr>
        <w:t xml:space="preserve">Les chocs idiosyncratiques se sont </w:t>
      </w:r>
      <w:r w:rsidR="00486650">
        <w:rPr>
          <w:rFonts w:ascii="Times New Roman" w:hAnsi="Times New Roman"/>
          <w:sz w:val="24"/>
          <w:szCs w:val="24"/>
        </w:rPr>
        <w:t xml:space="preserve">avérés </w:t>
      </w:r>
      <w:r w:rsidRPr="00691D0B">
        <w:rPr>
          <w:rFonts w:ascii="Times New Roman" w:hAnsi="Times New Roman"/>
          <w:sz w:val="24"/>
          <w:szCs w:val="24"/>
        </w:rPr>
        <w:t xml:space="preserve">moins importants que les chocs covariants : les premiers représentent le quart des chocs subis (25,4%), alors que les seconds comptent pour 73,3%. </w:t>
      </w:r>
    </w:p>
    <w:p w:rsidR="00DD4F3A" w:rsidRDefault="00DD4F3A" w:rsidP="00B33ECF">
      <w:pPr>
        <w:spacing w:line="240" w:lineRule="auto"/>
        <w:rPr>
          <w:rFonts w:ascii="Times New Roman" w:hAnsi="Times New Roman"/>
          <w:sz w:val="24"/>
          <w:szCs w:val="24"/>
        </w:rPr>
      </w:pPr>
    </w:p>
    <w:p w:rsidR="00DD4F3A" w:rsidRDefault="00DD4F3A" w:rsidP="00930D19">
      <w:pPr>
        <w:pStyle w:val="Paragraphedeliste"/>
        <w:numPr>
          <w:ilvl w:val="0"/>
          <w:numId w:val="18"/>
        </w:numPr>
        <w:spacing w:line="276" w:lineRule="auto"/>
        <w:rPr>
          <w:rFonts w:ascii="Times New Roman" w:hAnsi="Times New Roman"/>
          <w:sz w:val="24"/>
          <w:szCs w:val="24"/>
        </w:rPr>
      </w:pPr>
      <w:r>
        <w:rPr>
          <w:rFonts w:ascii="Times New Roman" w:hAnsi="Times New Roman"/>
          <w:sz w:val="24"/>
          <w:szCs w:val="24"/>
        </w:rPr>
        <w:t>L</w:t>
      </w:r>
      <w:r w:rsidRPr="00D56B46">
        <w:rPr>
          <w:rFonts w:ascii="Times New Roman" w:hAnsi="Times New Roman"/>
          <w:sz w:val="24"/>
          <w:szCs w:val="24"/>
        </w:rPr>
        <w:t xml:space="preserve">es chocs biophysiques </w:t>
      </w:r>
      <w:r>
        <w:rPr>
          <w:rFonts w:ascii="Times New Roman" w:hAnsi="Times New Roman"/>
          <w:sz w:val="24"/>
          <w:szCs w:val="24"/>
        </w:rPr>
        <w:t xml:space="preserve">sont plus prépondérants en milieu rural. La situation inverse est notée en ce qui concerne les chocs économiques. </w:t>
      </w:r>
    </w:p>
    <w:p w:rsidR="00DD4F3A" w:rsidRDefault="00DD4F3A" w:rsidP="00DD4F3A">
      <w:pPr>
        <w:autoSpaceDE w:val="0"/>
        <w:autoSpaceDN w:val="0"/>
        <w:adjustRightInd w:val="0"/>
        <w:spacing w:line="276" w:lineRule="auto"/>
        <w:rPr>
          <w:rFonts w:ascii="Times New Roman" w:hAnsi="Times New Roman"/>
          <w:sz w:val="24"/>
          <w:szCs w:val="24"/>
        </w:rPr>
      </w:pPr>
    </w:p>
    <w:p w:rsidR="00DD4F3A" w:rsidRPr="00D56B46" w:rsidRDefault="00DD4F3A" w:rsidP="00930D19">
      <w:pPr>
        <w:pStyle w:val="Paragraphedeliste"/>
        <w:numPr>
          <w:ilvl w:val="0"/>
          <w:numId w:val="18"/>
        </w:numPr>
        <w:spacing w:line="276" w:lineRule="auto"/>
        <w:rPr>
          <w:rFonts w:ascii="Times New Roman" w:hAnsi="Times New Roman"/>
          <w:sz w:val="24"/>
          <w:szCs w:val="24"/>
        </w:rPr>
      </w:pPr>
      <w:r>
        <w:rPr>
          <w:rFonts w:ascii="Times New Roman" w:hAnsi="Times New Roman"/>
          <w:sz w:val="24"/>
          <w:szCs w:val="24"/>
        </w:rPr>
        <w:t>Les</w:t>
      </w:r>
      <w:r w:rsidRPr="00D56B46">
        <w:rPr>
          <w:rFonts w:ascii="Times New Roman" w:hAnsi="Times New Roman"/>
          <w:sz w:val="24"/>
          <w:szCs w:val="24"/>
        </w:rPr>
        <w:t xml:space="preserve"> départeme</w:t>
      </w:r>
      <w:r>
        <w:rPr>
          <w:rFonts w:ascii="Times New Roman" w:hAnsi="Times New Roman"/>
          <w:sz w:val="24"/>
          <w:szCs w:val="24"/>
        </w:rPr>
        <w:t>nts au sud du Bénin sont</w:t>
      </w:r>
      <w:r w:rsidRPr="00D56B46">
        <w:rPr>
          <w:rFonts w:ascii="Times New Roman" w:hAnsi="Times New Roman"/>
          <w:sz w:val="24"/>
          <w:szCs w:val="24"/>
        </w:rPr>
        <w:t xml:space="preserve"> plus touchés par l’ensemble des chocs que ceux du nord.</w:t>
      </w:r>
    </w:p>
    <w:p w:rsidR="00DD4F3A" w:rsidRDefault="00DD4F3A" w:rsidP="00B33ECF">
      <w:pPr>
        <w:spacing w:line="240" w:lineRule="auto"/>
        <w:rPr>
          <w:rFonts w:ascii="Times New Roman" w:hAnsi="Times New Roman"/>
          <w:sz w:val="24"/>
          <w:szCs w:val="24"/>
        </w:rPr>
      </w:pPr>
    </w:p>
    <w:p w:rsidR="00DD4F3A" w:rsidRDefault="00DD4F3A" w:rsidP="00930D19">
      <w:pPr>
        <w:pStyle w:val="Paragraphedeliste"/>
        <w:numPr>
          <w:ilvl w:val="0"/>
          <w:numId w:val="18"/>
        </w:numPr>
        <w:spacing w:line="276" w:lineRule="auto"/>
        <w:rPr>
          <w:rFonts w:ascii="Times New Roman" w:hAnsi="Times New Roman"/>
          <w:sz w:val="24"/>
          <w:szCs w:val="24"/>
        </w:rPr>
      </w:pPr>
      <w:r>
        <w:rPr>
          <w:rFonts w:ascii="Times New Roman" w:hAnsi="Times New Roman"/>
          <w:sz w:val="24"/>
          <w:szCs w:val="24"/>
        </w:rPr>
        <w:t>L</w:t>
      </w:r>
      <w:r w:rsidRPr="00F105AD">
        <w:rPr>
          <w:rFonts w:ascii="Times New Roman" w:hAnsi="Times New Roman"/>
          <w:sz w:val="24"/>
          <w:szCs w:val="24"/>
        </w:rPr>
        <w:t xml:space="preserve">es chocs biophysiques affectent proportionnellement plus de ménages </w:t>
      </w:r>
      <w:r>
        <w:rPr>
          <w:rFonts w:ascii="Times New Roman" w:hAnsi="Times New Roman"/>
          <w:sz w:val="24"/>
          <w:szCs w:val="24"/>
        </w:rPr>
        <w:t>pauvres transitoires (entrée dans la pauvreté) et pauvres chroniques (toujours pauvre). Ainsi, l</w:t>
      </w:r>
      <w:r w:rsidRPr="005844E8">
        <w:rPr>
          <w:rFonts w:ascii="Times New Roman" w:hAnsi="Times New Roman"/>
          <w:sz w:val="24"/>
          <w:szCs w:val="24"/>
        </w:rPr>
        <w:t xml:space="preserve">es chocs covariants </w:t>
      </w:r>
      <w:r>
        <w:rPr>
          <w:rFonts w:ascii="Times New Roman" w:hAnsi="Times New Roman"/>
          <w:sz w:val="24"/>
          <w:szCs w:val="24"/>
        </w:rPr>
        <w:t xml:space="preserve">en particulier  </w:t>
      </w:r>
      <w:r w:rsidRPr="00AC38BA">
        <w:rPr>
          <w:rFonts w:ascii="Times New Roman" w:hAnsi="Times New Roman"/>
          <w:sz w:val="24"/>
          <w:szCs w:val="24"/>
        </w:rPr>
        <w:t xml:space="preserve">des chocs  biophysiques </w:t>
      </w:r>
      <w:r>
        <w:rPr>
          <w:rFonts w:ascii="Times New Roman" w:hAnsi="Times New Roman"/>
          <w:sz w:val="24"/>
          <w:szCs w:val="24"/>
        </w:rPr>
        <w:t xml:space="preserve">(inondations, sécheresse, etc…) </w:t>
      </w:r>
      <w:r w:rsidRPr="005844E8">
        <w:rPr>
          <w:rFonts w:ascii="Times New Roman" w:hAnsi="Times New Roman"/>
          <w:sz w:val="24"/>
          <w:szCs w:val="24"/>
        </w:rPr>
        <w:t xml:space="preserve">affectent </w:t>
      </w:r>
      <w:r>
        <w:rPr>
          <w:rFonts w:ascii="Times New Roman" w:hAnsi="Times New Roman"/>
          <w:sz w:val="24"/>
          <w:szCs w:val="24"/>
        </w:rPr>
        <w:t>l</w:t>
      </w:r>
      <w:r w:rsidRPr="005844E8">
        <w:rPr>
          <w:rFonts w:ascii="Times New Roman" w:hAnsi="Times New Roman"/>
          <w:sz w:val="24"/>
          <w:szCs w:val="24"/>
        </w:rPr>
        <w:t xml:space="preserve">es groupes de ménages selon leurs moyens de survie. </w:t>
      </w:r>
    </w:p>
    <w:p w:rsidR="00DD4F3A" w:rsidRDefault="00DD4F3A" w:rsidP="00B33ECF">
      <w:pPr>
        <w:spacing w:line="240" w:lineRule="auto"/>
      </w:pPr>
    </w:p>
    <w:p w:rsidR="00DD4F3A" w:rsidRDefault="00B33ECF" w:rsidP="00930D19">
      <w:pPr>
        <w:pStyle w:val="Paragraphedeliste"/>
        <w:numPr>
          <w:ilvl w:val="0"/>
          <w:numId w:val="18"/>
        </w:numPr>
        <w:spacing w:line="276" w:lineRule="auto"/>
        <w:rPr>
          <w:rFonts w:ascii="Times New Roman" w:hAnsi="Times New Roman"/>
          <w:sz w:val="24"/>
          <w:szCs w:val="24"/>
        </w:rPr>
      </w:pPr>
      <w:r>
        <w:rPr>
          <w:rFonts w:ascii="Times New Roman" w:hAnsi="Times New Roman"/>
          <w:sz w:val="24"/>
          <w:szCs w:val="24"/>
        </w:rPr>
        <w:t>L</w:t>
      </w:r>
      <w:r w:rsidR="00DD4F3A">
        <w:rPr>
          <w:rFonts w:ascii="Times New Roman" w:hAnsi="Times New Roman"/>
          <w:sz w:val="24"/>
          <w:szCs w:val="24"/>
        </w:rPr>
        <w:t>es</w:t>
      </w:r>
      <w:r w:rsidR="00DD4F3A" w:rsidRPr="002D05BB">
        <w:rPr>
          <w:rFonts w:ascii="Times New Roman" w:hAnsi="Times New Roman"/>
          <w:sz w:val="24"/>
          <w:szCs w:val="24"/>
        </w:rPr>
        <w:t xml:space="preserve"> stratégies</w:t>
      </w:r>
      <w:r w:rsidR="00DD4F3A">
        <w:rPr>
          <w:rFonts w:ascii="Times New Roman" w:hAnsi="Times New Roman"/>
          <w:sz w:val="24"/>
          <w:szCs w:val="24"/>
        </w:rPr>
        <w:t xml:space="preserve"> adoptées par les ménages pour faire face à ces chocs</w:t>
      </w:r>
      <w:r w:rsidR="00DD4F3A" w:rsidRPr="007C051D">
        <w:rPr>
          <w:rFonts w:ascii="Times New Roman" w:hAnsi="Times New Roman"/>
          <w:sz w:val="24"/>
          <w:szCs w:val="24"/>
        </w:rPr>
        <w:t xml:space="preserve"> sont globalement d’ordre financier et alimentaire</w:t>
      </w:r>
      <w:r w:rsidR="00DD4F3A">
        <w:rPr>
          <w:rFonts w:ascii="Times New Roman" w:hAnsi="Times New Roman"/>
          <w:sz w:val="24"/>
          <w:szCs w:val="24"/>
        </w:rPr>
        <w:t>. F</w:t>
      </w:r>
      <w:r w:rsidR="00DD4F3A" w:rsidRPr="007C051D">
        <w:rPr>
          <w:rFonts w:ascii="Times New Roman" w:hAnsi="Times New Roman"/>
          <w:sz w:val="24"/>
          <w:szCs w:val="24"/>
        </w:rPr>
        <w:t xml:space="preserve">ace aux chocs économiques, les ménages préfèrent consommer des aliments moins </w:t>
      </w:r>
      <w:r w:rsidR="006E3DBE">
        <w:rPr>
          <w:rFonts w:ascii="Times New Roman" w:hAnsi="Times New Roman"/>
          <w:sz w:val="24"/>
          <w:szCs w:val="24"/>
        </w:rPr>
        <w:t>coûteux</w:t>
      </w:r>
      <w:r w:rsidR="00DD4F3A" w:rsidRPr="007C051D">
        <w:rPr>
          <w:rFonts w:ascii="Times New Roman" w:hAnsi="Times New Roman"/>
          <w:sz w:val="24"/>
          <w:szCs w:val="24"/>
        </w:rPr>
        <w:t xml:space="preserve"> ou moins préférés et dépenser les économies. </w:t>
      </w:r>
      <w:r w:rsidR="00DD4F3A">
        <w:rPr>
          <w:rFonts w:ascii="Times New Roman" w:hAnsi="Times New Roman"/>
          <w:sz w:val="24"/>
          <w:szCs w:val="24"/>
        </w:rPr>
        <w:t>F</w:t>
      </w:r>
      <w:r w:rsidR="00DD4F3A" w:rsidRPr="007C051D">
        <w:rPr>
          <w:rFonts w:ascii="Times New Roman" w:hAnsi="Times New Roman"/>
          <w:sz w:val="24"/>
          <w:szCs w:val="24"/>
        </w:rPr>
        <w:t xml:space="preserve">ace aux chocs sociaux, la plupart des ménages dépensent les économies ou empruntent de l’argent ou encore consomment des aliments moins </w:t>
      </w:r>
      <w:r w:rsidR="006E3DBE">
        <w:rPr>
          <w:rFonts w:ascii="Times New Roman" w:hAnsi="Times New Roman"/>
          <w:sz w:val="24"/>
          <w:szCs w:val="24"/>
        </w:rPr>
        <w:t>coûteux</w:t>
      </w:r>
      <w:r w:rsidR="00DD4F3A" w:rsidRPr="007C051D">
        <w:rPr>
          <w:rFonts w:ascii="Times New Roman" w:hAnsi="Times New Roman"/>
          <w:sz w:val="24"/>
          <w:szCs w:val="24"/>
        </w:rPr>
        <w:t xml:space="preserve">. </w:t>
      </w:r>
      <w:r w:rsidR="00DD4F3A">
        <w:rPr>
          <w:rFonts w:ascii="Times New Roman" w:hAnsi="Times New Roman"/>
          <w:sz w:val="24"/>
          <w:szCs w:val="24"/>
        </w:rPr>
        <w:t xml:space="preserve">En ce qui concerne les </w:t>
      </w:r>
      <w:r w:rsidR="00DD4F3A" w:rsidRPr="00311D59">
        <w:rPr>
          <w:rFonts w:ascii="Times New Roman" w:hAnsi="Times New Roman"/>
          <w:sz w:val="24"/>
          <w:szCs w:val="24"/>
        </w:rPr>
        <w:t>chocs biophysiques</w:t>
      </w:r>
      <w:r w:rsidR="00DD4F3A">
        <w:rPr>
          <w:rFonts w:ascii="Times New Roman" w:hAnsi="Times New Roman"/>
          <w:sz w:val="24"/>
          <w:szCs w:val="24"/>
        </w:rPr>
        <w:t xml:space="preserve">, les stratégies portent sur </w:t>
      </w:r>
      <w:r w:rsidR="00DD4F3A" w:rsidRPr="00311D59">
        <w:rPr>
          <w:rFonts w:ascii="Times New Roman" w:hAnsi="Times New Roman"/>
          <w:sz w:val="24"/>
          <w:szCs w:val="24"/>
        </w:rPr>
        <w:t xml:space="preserve">la consommation des aliments moins </w:t>
      </w:r>
      <w:r w:rsidR="006E3DBE">
        <w:rPr>
          <w:rFonts w:ascii="Times New Roman" w:hAnsi="Times New Roman"/>
          <w:sz w:val="24"/>
          <w:szCs w:val="24"/>
        </w:rPr>
        <w:t>coûteux</w:t>
      </w:r>
      <w:r w:rsidR="00DD4F3A" w:rsidRPr="00311D59">
        <w:rPr>
          <w:rFonts w:ascii="Times New Roman" w:hAnsi="Times New Roman"/>
          <w:sz w:val="24"/>
          <w:szCs w:val="24"/>
        </w:rPr>
        <w:t xml:space="preserve"> ou moins préférés, la dépense des économies, l’achat de nourriture à crédit et la réduction de la quantité d’aliments consommés par repas.</w:t>
      </w:r>
    </w:p>
    <w:p w:rsidR="00DD4F3A" w:rsidRPr="005E7BA4" w:rsidRDefault="00DD4F3A" w:rsidP="00B33ECF">
      <w:pPr>
        <w:pStyle w:val="Paragraphedeliste"/>
        <w:spacing w:line="240" w:lineRule="auto"/>
        <w:rPr>
          <w:rFonts w:ascii="Times New Roman" w:hAnsi="Times New Roman"/>
          <w:sz w:val="24"/>
          <w:szCs w:val="24"/>
        </w:rPr>
      </w:pPr>
    </w:p>
    <w:p w:rsidR="00DD4F3A" w:rsidRDefault="00DD4F3A" w:rsidP="00930D19">
      <w:pPr>
        <w:pStyle w:val="Paragraphedeliste"/>
        <w:numPr>
          <w:ilvl w:val="0"/>
          <w:numId w:val="18"/>
        </w:numPr>
        <w:spacing w:line="276" w:lineRule="auto"/>
        <w:rPr>
          <w:rFonts w:ascii="Times New Roman" w:hAnsi="Times New Roman"/>
          <w:sz w:val="24"/>
          <w:szCs w:val="24"/>
        </w:rPr>
      </w:pPr>
      <w:r w:rsidRPr="005E7BA4">
        <w:rPr>
          <w:rFonts w:ascii="Times New Roman" w:hAnsi="Times New Roman"/>
          <w:sz w:val="24"/>
          <w:szCs w:val="24"/>
        </w:rPr>
        <w:t>Globalement, l’impact des stratégies de gestion de risque adoptées par les ménages sur leur capacité à se relever de la diminution du revenu ou des biens suite aux chocs est largement partiel</w:t>
      </w:r>
      <w:r w:rsidRPr="00B235F4">
        <w:rPr>
          <w:rFonts w:ascii="Times New Roman" w:hAnsi="Times New Roman"/>
          <w:sz w:val="24"/>
          <w:szCs w:val="24"/>
        </w:rPr>
        <w:t>.</w:t>
      </w:r>
      <w:r w:rsidR="003C71C3">
        <w:rPr>
          <w:rFonts w:ascii="Times New Roman" w:hAnsi="Times New Roman"/>
          <w:sz w:val="24"/>
          <w:szCs w:val="24"/>
        </w:rPr>
        <w:t xml:space="preserve"> </w:t>
      </w:r>
      <w:r w:rsidRPr="00B235F4">
        <w:rPr>
          <w:rFonts w:ascii="Times New Roman" w:hAnsi="Times New Roman"/>
          <w:sz w:val="24"/>
          <w:szCs w:val="24"/>
        </w:rPr>
        <w:t xml:space="preserve">Ceci montre le caractère limité et peu efficace des stratégies adoptées par les ménages pour faire </w:t>
      </w:r>
      <w:r w:rsidR="00461661">
        <w:rPr>
          <w:rFonts w:ascii="Times New Roman" w:hAnsi="Times New Roman"/>
          <w:sz w:val="24"/>
          <w:szCs w:val="24"/>
        </w:rPr>
        <w:t xml:space="preserve">face </w:t>
      </w:r>
      <w:r w:rsidRPr="00B235F4">
        <w:rPr>
          <w:rFonts w:ascii="Times New Roman" w:hAnsi="Times New Roman"/>
          <w:sz w:val="24"/>
          <w:szCs w:val="24"/>
        </w:rPr>
        <w:t xml:space="preserve">aux chocs et laisse présager d’une part, de leur effet de très court terme </w:t>
      </w:r>
      <w:r>
        <w:rPr>
          <w:rFonts w:ascii="Times New Roman" w:hAnsi="Times New Roman"/>
          <w:sz w:val="24"/>
          <w:szCs w:val="24"/>
        </w:rPr>
        <w:t xml:space="preserve"> et d’autre part, de la nécessité pour les ménages, de </w:t>
      </w:r>
      <w:r w:rsidRPr="00582FCD">
        <w:rPr>
          <w:rFonts w:ascii="Times New Roman" w:hAnsi="Times New Roman"/>
          <w:sz w:val="24"/>
          <w:szCs w:val="24"/>
        </w:rPr>
        <w:t xml:space="preserve">disposer et </w:t>
      </w:r>
      <w:r>
        <w:rPr>
          <w:rFonts w:ascii="Times New Roman" w:hAnsi="Times New Roman"/>
          <w:sz w:val="24"/>
          <w:szCs w:val="24"/>
        </w:rPr>
        <w:t>d’</w:t>
      </w:r>
      <w:r w:rsidRPr="00582FCD">
        <w:rPr>
          <w:rFonts w:ascii="Times New Roman" w:hAnsi="Times New Roman"/>
          <w:sz w:val="24"/>
          <w:szCs w:val="24"/>
        </w:rPr>
        <w:t>utiliser des instruments appropriés pour gérer efficacement le</w:t>
      </w:r>
      <w:r w:rsidR="003C71C3">
        <w:rPr>
          <w:rFonts w:ascii="Times New Roman" w:hAnsi="Times New Roman"/>
          <w:sz w:val="24"/>
          <w:szCs w:val="24"/>
        </w:rPr>
        <w:t xml:space="preserve"> </w:t>
      </w:r>
      <w:r w:rsidRPr="00582FCD">
        <w:rPr>
          <w:rFonts w:ascii="Times New Roman" w:hAnsi="Times New Roman"/>
          <w:sz w:val="24"/>
          <w:szCs w:val="24"/>
        </w:rPr>
        <w:t>risque sous quelque forme qu’il se présente</w:t>
      </w:r>
      <w:r w:rsidR="00461661">
        <w:rPr>
          <w:rFonts w:ascii="Times New Roman" w:hAnsi="Times New Roman"/>
          <w:sz w:val="24"/>
          <w:szCs w:val="24"/>
        </w:rPr>
        <w:t>.</w:t>
      </w:r>
    </w:p>
    <w:p w:rsidR="00DD4F3A" w:rsidRDefault="00DD4F3A" w:rsidP="00B33ECF">
      <w:pPr>
        <w:spacing w:line="240" w:lineRule="auto"/>
      </w:pPr>
    </w:p>
    <w:p w:rsidR="00DD4F3A" w:rsidRPr="00EB74C2" w:rsidRDefault="00DD4F3A" w:rsidP="00930D19">
      <w:pPr>
        <w:pStyle w:val="Paragraphedeliste"/>
        <w:numPr>
          <w:ilvl w:val="0"/>
          <w:numId w:val="18"/>
        </w:numPr>
        <w:spacing w:line="276" w:lineRule="auto"/>
        <w:rPr>
          <w:rFonts w:ascii="Times New Roman" w:hAnsi="Times New Roman"/>
          <w:sz w:val="24"/>
        </w:rPr>
      </w:pPr>
      <w:r w:rsidRPr="00EB74C2">
        <w:rPr>
          <w:rFonts w:ascii="Times New Roman" w:hAnsi="Times New Roman"/>
          <w:sz w:val="24"/>
        </w:rPr>
        <w:t>La structure des dépenses publiques du Bénin reste dominée par les dépenses de fonctionnement, notamment la masse salariale qui représente environ 40% des recettes fiscales pour une norme de 35%. Environ 2/3 des dépenses publiques sont consacrées au fonctionnement de l’Administration publique et 1/3 à l’investissement.</w:t>
      </w:r>
    </w:p>
    <w:p w:rsidR="00DD4F3A" w:rsidRDefault="00DD4F3A" w:rsidP="00B33ECF">
      <w:pPr>
        <w:pStyle w:val="Paragraphedeliste"/>
        <w:spacing w:line="240" w:lineRule="auto"/>
        <w:ind w:left="360"/>
        <w:rPr>
          <w:rFonts w:ascii="Times New Roman" w:hAnsi="Times New Roman"/>
          <w:sz w:val="24"/>
        </w:rPr>
      </w:pPr>
    </w:p>
    <w:p w:rsidR="00DD4F3A" w:rsidRDefault="00DD4F3A" w:rsidP="00930D19">
      <w:pPr>
        <w:pStyle w:val="Paragraphedeliste"/>
        <w:numPr>
          <w:ilvl w:val="0"/>
          <w:numId w:val="18"/>
        </w:numPr>
        <w:spacing w:line="276" w:lineRule="auto"/>
        <w:rPr>
          <w:rFonts w:ascii="Times New Roman" w:hAnsi="Times New Roman"/>
          <w:sz w:val="24"/>
        </w:rPr>
      </w:pPr>
      <w:r w:rsidRPr="00EB74C2">
        <w:rPr>
          <w:rFonts w:ascii="Times New Roman" w:hAnsi="Times New Roman"/>
          <w:sz w:val="24"/>
        </w:rPr>
        <w:t>Le taux d’exécution du budget est relativement faible au niveau des secteurs prioritaire</w:t>
      </w:r>
      <w:r w:rsidR="00486650">
        <w:rPr>
          <w:rFonts w:ascii="Times New Roman" w:hAnsi="Times New Roman"/>
          <w:sz w:val="24"/>
        </w:rPr>
        <w:t>s</w:t>
      </w:r>
      <w:r w:rsidRPr="00EB74C2">
        <w:rPr>
          <w:rFonts w:ascii="Times New Roman" w:hAnsi="Times New Roman"/>
          <w:sz w:val="24"/>
        </w:rPr>
        <w:t>. Il est de même des ressources aux structures déconcentrées et décentralisées</w:t>
      </w:r>
      <w:r w:rsidR="00461661">
        <w:rPr>
          <w:rFonts w:ascii="Times New Roman" w:hAnsi="Times New Roman"/>
          <w:sz w:val="24"/>
        </w:rPr>
        <w:t>.</w:t>
      </w:r>
    </w:p>
    <w:p w:rsidR="00DD4F3A" w:rsidRPr="00EB74C2" w:rsidRDefault="00DD4F3A" w:rsidP="00B33ECF">
      <w:pPr>
        <w:pStyle w:val="Paragraphedeliste"/>
        <w:spacing w:line="240" w:lineRule="auto"/>
        <w:rPr>
          <w:rFonts w:ascii="Times New Roman" w:hAnsi="Times New Roman"/>
          <w:sz w:val="24"/>
        </w:rPr>
      </w:pPr>
    </w:p>
    <w:p w:rsidR="00DD4F3A" w:rsidRPr="006E3E67" w:rsidRDefault="00313BDC" w:rsidP="00930D19">
      <w:pPr>
        <w:pStyle w:val="Paragraphedeliste"/>
        <w:numPr>
          <w:ilvl w:val="0"/>
          <w:numId w:val="18"/>
        </w:numPr>
        <w:spacing w:line="276" w:lineRule="auto"/>
        <w:rPr>
          <w:rFonts w:ascii="Times New Roman" w:hAnsi="Times New Roman"/>
          <w:sz w:val="24"/>
        </w:rPr>
      </w:pPr>
      <w:r>
        <w:rPr>
          <w:rFonts w:ascii="Times New Roman" w:hAnsi="Times New Roman"/>
          <w:sz w:val="24"/>
        </w:rPr>
        <w:t>L</w:t>
      </w:r>
      <w:r w:rsidRPr="006E3E67">
        <w:rPr>
          <w:rFonts w:ascii="Times New Roman" w:hAnsi="Times New Roman"/>
          <w:sz w:val="24"/>
        </w:rPr>
        <w:t xml:space="preserve">es externalités positives des dépenses publiques en </w:t>
      </w:r>
      <w:r w:rsidR="00386B3F" w:rsidRPr="006E3E67">
        <w:rPr>
          <w:rFonts w:ascii="Times New Roman" w:hAnsi="Times New Roman"/>
          <w:sz w:val="24"/>
        </w:rPr>
        <w:t>éducation</w:t>
      </w:r>
      <w:r w:rsidR="00386B3F">
        <w:rPr>
          <w:rFonts w:ascii="Times New Roman" w:hAnsi="Times New Roman"/>
          <w:sz w:val="24"/>
        </w:rPr>
        <w:t>,</w:t>
      </w:r>
      <w:r w:rsidR="00386B3F" w:rsidRPr="006E3E67">
        <w:rPr>
          <w:rFonts w:ascii="Times New Roman" w:hAnsi="Times New Roman"/>
          <w:sz w:val="24"/>
        </w:rPr>
        <w:t xml:space="preserve"> en</w:t>
      </w:r>
      <w:r w:rsidRPr="006E3E67">
        <w:rPr>
          <w:rFonts w:ascii="Times New Roman" w:hAnsi="Times New Roman"/>
          <w:sz w:val="24"/>
        </w:rPr>
        <w:t xml:space="preserve"> santé</w:t>
      </w:r>
      <w:r>
        <w:rPr>
          <w:rFonts w:ascii="Times New Roman" w:hAnsi="Times New Roman"/>
          <w:sz w:val="24"/>
        </w:rPr>
        <w:t>, en agriculture et en infrastructures d’assainissement</w:t>
      </w:r>
      <w:r w:rsidRPr="006E3E67">
        <w:rPr>
          <w:rFonts w:ascii="Times New Roman" w:hAnsi="Times New Roman"/>
          <w:sz w:val="24"/>
        </w:rPr>
        <w:t xml:space="preserve"> sur l’atteinte des OMD 2, 4 et 5</w:t>
      </w:r>
      <w:r>
        <w:rPr>
          <w:rFonts w:ascii="Times New Roman" w:hAnsi="Times New Roman"/>
          <w:sz w:val="24"/>
        </w:rPr>
        <w:t xml:space="preserve"> sont confirmées</w:t>
      </w:r>
      <w:r w:rsidRPr="006E3E67">
        <w:rPr>
          <w:rFonts w:ascii="Times New Roman" w:hAnsi="Times New Roman"/>
          <w:sz w:val="24"/>
        </w:rPr>
        <w:t>.</w:t>
      </w:r>
      <w:r>
        <w:rPr>
          <w:rFonts w:ascii="Times New Roman" w:hAnsi="Times New Roman"/>
          <w:sz w:val="24"/>
        </w:rPr>
        <w:t xml:space="preserve"> En particulier, les dépenses en agriculture et en infrastructures d’assainissement concourent à la réduction de la pauvreté monétaire, ce qui n’est pas le cas des dépenses publiques en éducation et en santé</w:t>
      </w:r>
      <w:r w:rsidRPr="006E3E67">
        <w:rPr>
          <w:rFonts w:ascii="Times New Roman" w:hAnsi="Times New Roman"/>
          <w:sz w:val="24"/>
        </w:rPr>
        <w:t xml:space="preserve"> à court et moyen termes</w:t>
      </w:r>
      <w:r w:rsidR="00DD4F3A" w:rsidRPr="006E3E67">
        <w:rPr>
          <w:rFonts w:ascii="Times New Roman" w:hAnsi="Times New Roman"/>
          <w:sz w:val="24"/>
        </w:rPr>
        <w:t>. En conséquence, la politique du Gouvernement ne doit pas viser uniquement les secteurs sociaux mais elle doit rechercher l’équilibre entre les dépenses sociales et les investissements en infrastructures.</w:t>
      </w:r>
    </w:p>
    <w:p w:rsidR="00DD4F3A" w:rsidRDefault="00DD4F3A" w:rsidP="00B33ECF">
      <w:pPr>
        <w:spacing w:line="240" w:lineRule="auto"/>
        <w:rPr>
          <w:b/>
        </w:rPr>
      </w:pPr>
    </w:p>
    <w:p w:rsidR="00DD4F3A" w:rsidRPr="006E3E67" w:rsidRDefault="00DD4F3A" w:rsidP="00930D19">
      <w:pPr>
        <w:pStyle w:val="Paragraphedeliste"/>
        <w:numPr>
          <w:ilvl w:val="0"/>
          <w:numId w:val="18"/>
        </w:numPr>
        <w:spacing w:line="276" w:lineRule="auto"/>
        <w:rPr>
          <w:rFonts w:ascii="Times New Roman" w:hAnsi="Times New Roman"/>
          <w:sz w:val="24"/>
          <w:szCs w:val="24"/>
        </w:rPr>
      </w:pPr>
      <w:r w:rsidRPr="006E3E67">
        <w:rPr>
          <w:rFonts w:ascii="Times New Roman" w:hAnsi="Times New Roman"/>
          <w:sz w:val="24"/>
          <w:szCs w:val="24"/>
        </w:rPr>
        <w:t>L’analyse du marché du travail béninois révèle un taux de chômage faible (0</w:t>
      </w:r>
      <w:r w:rsidR="00461661">
        <w:rPr>
          <w:rFonts w:ascii="Times New Roman" w:hAnsi="Times New Roman"/>
          <w:sz w:val="24"/>
          <w:szCs w:val="24"/>
        </w:rPr>
        <w:t>,</w:t>
      </w:r>
      <w:r w:rsidRPr="006E3E67">
        <w:rPr>
          <w:rFonts w:ascii="Times New Roman" w:hAnsi="Times New Roman"/>
          <w:sz w:val="24"/>
          <w:szCs w:val="24"/>
        </w:rPr>
        <w:t>5%) au sens BIT en 2010. Cette situation à priori reluisante cache en réalité deux problèmes majeurs </w:t>
      </w:r>
      <w:r w:rsidR="00461661">
        <w:rPr>
          <w:rFonts w:ascii="Times New Roman" w:hAnsi="Times New Roman"/>
          <w:sz w:val="24"/>
          <w:szCs w:val="24"/>
        </w:rPr>
        <w:t>à savoir :</w:t>
      </w:r>
      <w:r w:rsidR="00461661" w:rsidRPr="006E3E67">
        <w:rPr>
          <w:rFonts w:ascii="Times New Roman" w:hAnsi="Times New Roman"/>
          <w:sz w:val="24"/>
          <w:szCs w:val="24"/>
        </w:rPr>
        <w:t xml:space="preserve"> </w:t>
      </w:r>
      <w:r w:rsidRPr="006E3E67">
        <w:rPr>
          <w:rFonts w:ascii="Times New Roman" w:hAnsi="Times New Roman"/>
          <w:sz w:val="24"/>
          <w:szCs w:val="24"/>
        </w:rPr>
        <w:t>(i) inadéquation de la formation au marché du travail</w:t>
      </w:r>
      <w:r w:rsidR="00461661">
        <w:rPr>
          <w:rFonts w:ascii="Times New Roman" w:hAnsi="Times New Roman"/>
          <w:sz w:val="24"/>
          <w:szCs w:val="24"/>
        </w:rPr>
        <w:t> ;</w:t>
      </w:r>
      <w:r w:rsidRPr="006E3E67">
        <w:rPr>
          <w:rFonts w:ascii="Times New Roman" w:hAnsi="Times New Roman"/>
          <w:sz w:val="24"/>
          <w:szCs w:val="24"/>
        </w:rPr>
        <w:t xml:space="preserve"> le chômage augmente avec le niveau d’instruction contrairement aux prédictions de la théorie économique ;</w:t>
      </w:r>
      <w:r w:rsidR="00461661">
        <w:rPr>
          <w:rFonts w:ascii="Times New Roman" w:hAnsi="Times New Roman"/>
          <w:sz w:val="24"/>
          <w:szCs w:val="24"/>
        </w:rPr>
        <w:t xml:space="preserve"> et</w:t>
      </w:r>
      <w:r w:rsidRPr="006E3E67">
        <w:rPr>
          <w:rFonts w:ascii="Times New Roman" w:hAnsi="Times New Roman"/>
          <w:sz w:val="24"/>
          <w:szCs w:val="24"/>
        </w:rPr>
        <w:t xml:space="preserve"> (ii) un sous-emploi visible et invisible élevé</w:t>
      </w:r>
      <w:r w:rsidR="00F970F2">
        <w:rPr>
          <w:rFonts w:ascii="Times New Roman" w:hAnsi="Times New Roman"/>
          <w:sz w:val="24"/>
          <w:szCs w:val="24"/>
        </w:rPr>
        <w:t> ;</w:t>
      </w:r>
      <w:r w:rsidRPr="006E3E67">
        <w:rPr>
          <w:rFonts w:ascii="Times New Roman" w:hAnsi="Times New Roman"/>
          <w:sz w:val="24"/>
          <w:szCs w:val="24"/>
        </w:rPr>
        <w:t>les actifs occupés béninois sont rationnés en terme d’heure de travail et occupe</w:t>
      </w:r>
      <w:r w:rsidR="00486650">
        <w:rPr>
          <w:rFonts w:ascii="Times New Roman" w:hAnsi="Times New Roman"/>
          <w:sz w:val="24"/>
          <w:szCs w:val="24"/>
        </w:rPr>
        <w:t>nt</w:t>
      </w:r>
      <w:r w:rsidRPr="006E3E67">
        <w:rPr>
          <w:rFonts w:ascii="Times New Roman" w:hAnsi="Times New Roman"/>
          <w:sz w:val="24"/>
          <w:szCs w:val="24"/>
        </w:rPr>
        <w:t xml:space="preserve"> le plus souvent des activités de subsistance.</w:t>
      </w:r>
    </w:p>
    <w:p w:rsidR="00DD4F3A" w:rsidRPr="00F31609" w:rsidRDefault="00DD4F3A" w:rsidP="00B33ECF">
      <w:pPr>
        <w:pStyle w:val="Paragraphedeliste"/>
        <w:spacing w:line="240" w:lineRule="auto"/>
        <w:rPr>
          <w:rFonts w:ascii="Times New Roman" w:hAnsi="Times New Roman"/>
          <w:sz w:val="24"/>
          <w:szCs w:val="24"/>
        </w:rPr>
      </w:pPr>
    </w:p>
    <w:p w:rsidR="00DD4F3A" w:rsidRPr="006E3E67" w:rsidRDefault="00DD4F3A" w:rsidP="00930D19">
      <w:pPr>
        <w:pStyle w:val="Paragraphedeliste"/>
        <w:numPr>
          <w:ilvl w:val="0"/>
          <w:numId w:val="18"/>
        </w:numPr>
        <w:spacing w:line="276" w:lineRule="auto"/>
        <w:rPr>
          <w:rFonts w:ascii="Times New Roman" w:hAnsi="Times New Roman"/>
          <w:sz w:val="24"/>
          <w:szCs w:val="24"/>
        </w:rPr>
      </w:pPr>
      <w:r w:rsidRPr="006E3E67">
        <w:rPr>
          <w:rFonts w:ascii="Times New Roman" w:hAnsi="Times New Roman"/>
          <w:sz w:val="24"/>
          <w:szCs w:val="24"/>
        </w:rPr>
        <w:t xml:space="preserve">La combinaison de ces paradoxes du marché du travail béninois a pour conséquence la difficulté d’insertion des jeunes diplômés d’une part, et une forte inégalité sociale limitant ainsi la réduction de la pauvreté par la force du travail, d’autre part. </w:t>
      </w:r>
    </w:p>
    <w:p w:rsidR="00DD4F3A" w:rsidRDefault="00DD4F3A" w:rsidP="00B33ECF">
      <w:pPr>
        <w:spacing w:line="240" w:lineRule="auto"/>
        <w:rPr>
          <w:rFonts w:ascii="Times New Roman" w:hAnsi="Times New Roman"/>
          <w:sz w:val="24"/>
          <w:szCs w:val="24"/>
        </w:rPr>
      </w:pPr>
    </w:p>
    <w:p w:rsidR="00313BDC" w:rsidRDefault="00DD4F3A" w:rsidP="00930D19">
      <w:pPr>
        <w:pStyle w:val="Paragraphedeliste"/>
        <w:numPr>
          <w:ilvl w:val="0"/>
          <w:numId w:val="18"/>
        </w:numPr>
        <w:spacing w:line="276" w:lineRule="auto"/>
        <w:rPr>
          <w:rFonts w:ascii="Times New Roman" w:hAnsi="Times New Roman"/>
          <w:sz w:val="24"/>
          <w:szCs w:val="24"/>
        </w:rPr>
      </w:pPr>
      <w:r>
        <w:rPr>
          <w:rFonts w:ascii="Times New Roman" w:hAnsi="Times New Roman"/>
          <w:sz w:val="24"/>
          <w:szCs w:val="24"/>
        </w:rPr>
        <w:t xml:space="preserve">De l’analyse des </w:t>
      </w:r>
      <w:r w:rsidRPr="00471BE3">
        <w:rPr>
          <w:rFonts w:ascii="Times New Roman" w:hAnsi="Times New Roman"/>
          <w:sz w:val="24"/>
          <w:szCs w:val="24"/>
        </w:rPr>
        <w:t>inégalités d’accès entre sexe</w:t>
      </w:r>
      <w:r w:rsidR="00486650">
        <w:rPr>
          <w:rFonts w:ascii="Times New Roman" w:hAnsi="Times New Roman"/>
          <w:sz w:val="24"/>
          <w:szCs w:val="24"/>
        </w:rPr>
        <w:t>s</w:t>
      </w:r>
      <w:r w:rsidRPr="00471BE3">
        <w:rPr>
          <w:rFonts w:ascii="Times New Roman" w:hAnsi="Times New Roman"/>
          <w:sz w:val="24"/>
          <w:szCs w:val="24"/>
        </w:rPr>
        <w:t xml:space="preserve">, </w:t>
      </w:r>
      <w:r>
        <w:rPr>
          <w:rFonts w:ascii="Times New Roman" w:hAnsi="Times New Roman"/>
          <w:sz w:val="24"/>
          <w:szCs w:val="24"/>
        </w:rPr>
        <w:t>il ressort que l</w:t>
      </w:r>
      <w:r w:rsidRPr="005E7BA4">
        <w:rPr>
          <w:rFonts w:ascii="Times New Roman" w:hAnsi="Times New Roman"/>
          <w:sz w:val="24"/>
          <w:szCs w:val="24"/>
        </w:rPr>
        <w:t>es femmes sont caractérisées par un faible pouvoir économique comparées aux hommes</w:t>
      </w:r>
      <w:r w:rsidR="00313BDC">
        <w:rPr>
          <w:rFonts w:ascii="Times New Roman" w:hAnsi="Times New Roman"/>
          <w:sz w:val="24"/>
          <w:szCs w:val="24"/>
        </w:rPr>
        <w:t>.</w:t>
      </w:r>
      <w:r w:rsidRPr="005E7BA4">
        <w:rPr>
          <w:rFonts w:ascii="Times New Roman" w:hAnsi="Times New Roman"/>
          <w:sz w:val="24"/>
          <w:szCs w:val="24"/>
        </w:rPr>
        <w:t xml:space="preserve"> </w:t>
      </w:r>
    </w:p>
    <w:p w:rsidR="00313BDC" w:rsidRDefault="00313BDC" w:rsidP="00313BDC">
      <w:pPr>
        <w:pStyle w:val="Paragraphedeliste"/>
        <w:spacing w:line="276" w:lineRule="auto"/>
        <w:ind w:left="360"/>
        <w:rPr>
          <w:rFonts w:ascii="Times New Roman" w:hAnsi="Times New Roman"/>
          <w:sz w:val="24"/>
          <w:szCs w:val="24"/>
        </w:rPr>
      </w:pPr>
    </w:p>
    <w:p w:rsidR="00DD4F3A" w:rsidRPr="00313BDC" w:rsidRDefault="00DD4F3A" w:rsidP="00930D19">
      <w:pPr>
        <w:pStyle w:val="Paragraphedeliste"/>
        <w:numPr>
          <w:ilvl w:val="0"/>
          <w:numId w:val="18"/>
        </w:numPr>
        <w:spacing w:line="276" w:lineRule="auto"/>
        <w:rPr>
          <w:rFonts w:ascii="Times New Roman" w:hAnsi="Times New Roman"/>
          <w:sz w:val="24"/>
          <w:szCs w:val="24"/>
        </w:rPr>
      </w:pPr>
      <w:r w:rsidRPr="00313BDC">
        <w:rPr>
          <w:rFonts w:ascii="Times New Roman" w:hAnsi="Times New Roman"/>
          <w:sz w:val="24"/>
          <w:szCs w:val="24"/>
        </w:rPr>
        <w:t xml:space="preserve">Les obstacles fondés sur le sexe qui expliquent les inégalités d’accès en termes de pouvoir économique au Bénin sont liés au </w:t>
      </w:r>
      <w:r w:rsidR="00832112" w:rsidRPr="00832112">
        <w:rPr>
          <w:rFonts w:ascii="Times New Roman" w:hAnsi="Times New Roman"/>
          <w:sz w:val="24"/>
          <w:szCs w:val="24"/>
        </w:rPr>
        <w:t xml:space="preserve">niveau d’instruction, la taille du ménage, le type d’emploi, la catégorie socioprofessionnelle, la branche d’activités, le milieu de résidence, l’âge et au statut migratoire. Ils  constituent des facteurs de différenciation du niveau de pauvreté aussi bien chez les hommes que chez les femmes. Toutefois, la taille du ménage met en exergue le fardeau du travail sans rémunération qui caractérise les femmes et les prédispose à un pouvoir économique relativement faible. </w:t>
      </w:r>
    </w:p>
    <w:p w:rsidR="00DD4F3A" w:rsidRDefault="00DD4F3A" w:rsidP="00B33ECF">
      <w:pPr>
        <w:spacing w:line="240" w:lineRule="auto"/>
      </w:pPr>
    </w:p>
    <w:p w:rsidR="00DD4F3A" w:rsidRPr="00021B33" w:rsidRDefault="00DD4F3A" w:rsidP="00930D19">
      <w:pPr>
        <w:pStyle w:val="Paragraphedeliste"/>
        <w:numPr>
          <w:ilvl w:val="0"/>
          <w:numId w:val="18"/>
        </w:numPr>
        <w:spacing w:line="276" w:lineRule="auto"/>
        <w:rPr>
          <w:rFonts w:ascii="Times New Roman" w:hAnsi="Times New Roman"/>
          <w:sz w:val="24"/>
          <w:szCs w:val="24"/>
        </w:rPr>
      </w:pPr>
      <w:r>
        <w:rPr>
          <w:rFonts w:ascii="Times New Roman" w:hAnsi="Times New Roman"/>
          <w:sz w:val="24"/>
          <w:szCs w:val="24"/>
        </w:rPr>
        <w:t>L’analyse du dispositif de suivi de la pauvreté révèle au regard des résultats issus de cette évaluation, plusieurs besoins qui se présentent en termes : (i) d’extension des indicateurs</w:t>
      </w:r>
      <w:r w:rsidR="00B61409">
        <w:rPr>
          <w:rFonts w:ascii="Times New Roman" w:hAnsi="Times New Roman"/>
          <w:sz w:val="24"/>
          <w:szCs w:val="24"/>
        </w:rPr>
        <w:t xml:space="preserve"> suivis</w:t>
      </w:r>
      <w:r w:rsidR="007D24F1">
        <w:rPr>
          <w:rFonts w:ascii="Times New Roman" w:hAnsi="Times New Roman"/>
          <w:sz w:val="24"/>
          <w:szCs w:val="24"/>
        </w:rPr>
        <w:t> ;</w:t>
      </w:r>
      <w:r w:rsidR="00B61409">
        <w:rPr>
          <w:rFonts w:ascii="Times New Roman" w:hAnsi="Times New Roman"/>
          <w:sz w:val="24"/>
          <w:szCs w:val="24"/>
        </w:rPr>
        <w:t xml:space="preserve"> (ii) d’utilisation d’</w:t>
      </w:r>
      <w:r>
        <w:rPr>
          <w:rFonts w:ascii="Times New Roman" w:hAnsi="Times New Roman"/>
          <w:sz w:val="24"/>
          <w:szCs w:val="24"/>
        </w:rPr>
        <w:t xml:space="preserve">approches méthodologiques </w:t>
      </w:r>
      <w:r w:rsidR="00B61409">
        <w:rPr>
          <w:rFonts w:ascii="Times New Roman" w:hAnsi="Times New Roman"/>
          <w:sz w:val="24"/>
          <w:szCs w:val="24"/>
        </w:rPr>
        <w:t xml:space="preserve">adéquats </w:t>
      </w:r>
      <w:r>
        <w:rPr>
          <w:rFonts w:ascii="Times New Roman" w:hAnsi="Times New Roman"/>
          <w:sz w:val="24"/>
          <w:szCs w:val="24"/>
        </w:rPr>
        <w:t>pour le calcul des nouveaux indicateurs envisagés</w:t>
      </w:r>
      <w:r w:rsidR="007D24F1">
        <w:rPr>
          <w:rFonts w:ascii="Times New Roman" w:hAnsi="Times New Roman"/>
          <w:sz w:val="24"/>
          <w:szCs w:val="24"/>
        </w:rPr>
        <w:t> ;</w:t>
      </w:r>
      <w:r>
        <w:rPr>
          <w:rFonts w:ascii="Times New Roman" w:hAnsi="Times New Roman"/>
          <w:sz w:val="24"/>
          <w:szCs w:val="24"/>
        </w:rPr>
        <w:t xml:space="preserve"> (iii) de révision ou d’approfondissement de certaines démarches méthodologiques spécifiques précédemment utilisées pour une appréciation des indicateurs</w:t>
      </w:r>
      <w:r w:rsidR="007D24F1">
        <w:rPr>
          <w:rFonts w:ascii="Times New Roman" w:hAnsi="Times New Roman"/>
          <w:sz w:val="24"/>
          <w:szCs w:val="24"/>
        </w:rPr>
        <w:t> ;</w:t>
      </w:r>
      <w:r>
        <w:rPr>
          <w:rFonts w:ascii="Times New Roman" w:hAnsi="Times New Roman"/>
          <w:sz w:val="24"/>
          <w:szCs w:val="24"/>
        </w:rPr>
        <w:t xml:space="preserve"> (iv) de révision ou d’adaptation des modules de l’enquête EMICoV pour intégrer les variables inhérentes aux nouveaux indicateurs</w:t>
      </w:r>
      <w:r w:rsidR="007D24F1">
        <w:rPr>
          <w:rFonts w:ascii="Times New Roman" w:hAnsi="Times New Roman"/>
          <w:sz w:val="24"/>
          <w:szCs w:val="24"/>
        </w:rPr>
        <w:t> ;</w:t>
      </w:r>
      <w:r>
        <w:rPr>
          <w:rFonts w:ascii="Times New Roman" w:hAnsi="Times New Roman"/>
          <w:sz w:val="24"/>
          <w:szCs w:val="24"/>
        </w:rPr>
        <w:t xml:space="preserve"> (v) la régularité</w:t>
      </w:r>
      <w:r w:rsidR="00B61409">
        <w:rPr>
          <w:rFonts w:ascii="Times New Roman" w:hAnsi="Times New Roman"/>
          <w:sz w:val="24"/>
          <w:szCs w:val="24"/>
        </w:rPr>
        <w:t xml:space="preserve"> de la collecte des données</w:t>
      </w:r>
      <w:r w:rsidR="007D24F1">
        <w:rPr>
          <w:rFonts w:ascii="Times New Roman" w:hAnsi="Times New Roman"/>
          <w:sz w:val="24"/>
          <w:szCs w:val="24"/>
        </w:rPr>
        <w:t> ;</w:t>
      </w:r>
      <w:r>
        <w:rPr>
          <w:rFonts w:ascii="Times New Roman" w:hAnsi="Times New Roman"/>
          <w:sz w:val="24"/>
          <w:szCs w:val="24"/>
        </w:rPr>
        <w:t xml:space="preserve"> (vi) de conduite d’études d’impact rigoureuses et spécifiques</w:t>
      </w:r>
      <w:r w:rsidR="007D24F1">
        <w:rPr>
          <w:rFonts w:ascii="Times New Roman" w:hAnsi="Times New Roman"/>
          <w:sz w:val="24"/>
          <w:szCs w:val="24"/>
        </w:rPr>
        <w:t> ;</w:t>
      </w:r>
      <w:r>
        <w:rPr>
          <w:rFonts w:ascii="Times New Roman" w:hAnsi="Times New Roman"/>
          <w:sz w:val="24"/>
          <w:szCs w:val="24"/>
        </w:rPr>
        <w:t xml:space="preserve"> et (vi</w:t>
      </w:r>
      <w:r w:rsidR="00F970F2">
        <w:rPr>
          <w:rFonts w:ascii="Times New Roman" w:hAnsi="Times New Roman"/>
          <w:sz w:val="24"/>
          <w:szCs w:val="24"/>
        </w:rPr>
        <w:t>i</w:t>
      </w:r>
      <w:r>
        <w:rPr>
          <w:rFonts w:ascii="Times New Roman" w:hAnsi="Times New Roman"/>
          <w:sz w:val="24"/>
          <w:szCs w:val="24"/>
        </w:rPr>
        <w:t xml:space="preserve">) de pérennisation des acquis du dispositif existant. </w:t>
      </w:r>
    </w:p>
    <w:p w:rsidR="00B05645" w:rsidRDefault="00B05645" w:rsidP="00931B66">
      <w:pPr>
        <w:spacing w:line="276" w:lineRule="auto"/>
        <w:rPr>
          <w:rFonts w:ascii="Times New Roman" w:hAnsi="Times New Roman"/>
          <w:b/>
          <w:sz w:val="24"/>
          <w:szCs w:val="24"/>
        </w:rPr>
      </w:pPr>
    </w:p>
    <w:p w:rsidR="00313BDC" w:rsidRDefault="00313BDC" w:rsidP="00931B66">
      <w:pPr>
        <w:spacing w:line="276" w:lineRule="auto"/>
        <w:rPr>
          <w:rFonts w:ascii="Times New Roman" w:hAnsi="Times New Roman"/>
          <w:b/>
          <w:sz w:val="24"/>
          <w:szCs w:val="24"/>
        </w:rPr>
        <w:sectPr w:rsidR="00313BDC" w:rsidSect="00977A02">
          <w:pgSz w:w="11906" w:h="16838"/>
          <w:pgMar w:top="1219" w:right="1418" w:bottom="1418" w:left="1418"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2E7181" w:rsidTr="002E7181">
        <w:trPr>
          <w:trHeight w:val="756"/>
        </w:trPr>
        <w:tc>
          <w:tcPr>
            <w:tcW w:w="1418" w:type="dxa"/>
            <w:tcBorders>
              <w:right w:val="thinThickSmallGap" w:sz="24" w:space="0" w:color="FFFFFF" w:themeColor="background1"/>
            </w:tcBorders>
            <w:shd w:val="clear" w:color="auto" w:fill="92CDDC" w:themeFill="accent5" w:themeFillTint="99"/>
          </w:tcPr>
          <w:p w:rsidR="002E7181" w:rsidRPr="00494CC8" w:rsidRDefault="002E7181" w:rsidP="00272B35">
            <w:pPr>
              <w:pStyle w:val="Titre1"/>
              <w:jc w:val="center"/>
              <w:outlineLvl w:val="0"/>
              <w:rPr>
                <w:rFonts w:ascii="Times New Roman" w:hAnsi="Times New Roman" w:cs="Times New Roman"/>
                <w:sz w:val="28"/>
                <w:szCs w:val="28"/>
              </w:rPr>
            </w:pPr>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2E7181" w:rsidRPr="002E7181" w:rsidRDefault="00B61409" w:rsidP="002E7181">
            <w:pPr>
              <w:spacing w:line="240" w:lineRule="auto"/>
              <w:rPr>
                <w:rFonts w:ascii="Times New Roman" w:hAnsi="Times New Roman"/>
                <w:b/>
                <w:sz w:val="52"/>
                <w:szCs w:val="52"/>
              </w:rPr>
            </w:pPr>
            <w:r w:rsidRPr="001064B7">
              <w:rPr>
                <w:rFonts w:ascii="Times New Roman" w:hAnsi="Times New Roman"/>
                <w:b/>
                <w:sz w:val="52"/>
                <w:szCs w:val="52"/>
              </w:rPr>
              <w:t>R</w:t>
            </w:r>
            <w:r>
              <w:rPr>
                <w:rFonts w:ascii="Times New Roman" w:hAnsi="Times New Roman"/>
                <w:b/>
                <w:sz w:val="52"/>
                <w:szCs w:val="52"/>
              </w:rPr>
              <w:t>é</w:t>
            </w:r>
            <w:r w:rsidRPr="001064B7">
              <w:rPr>
                <w:rFonts w:ascii="Times New Roman" w:hAnsi="Times New Roman"/>
                <w:b/>
                <w:sz w:val="52"/>
                <w:szCs w:val="52"/>
              </w:rPr>
              <w:t>férences</w:t>
            </w:r>
            <w:r w:rsidR="00313BDC">
              <w:rPr>
                <w:rFonts w:ascii="Times New Roman" w:hAnsi="Times New Roman"/>
                <w:b/>
                <w:sz w:val="52"/>
                <w:szCs w:val="52"/>
              </w:rPr>
              <w:t xml:space="preserve"> </w:t>
            </w:r>
            <w:r w:rsidR="001064B7" w:rsidRPr="001064B7">
              <w:rPr>
                <w:rFonts w:ascii="Times New Roman" w:hAnsi="Times New Roman"/>
                <w:b/>
                <w:sz w:val="52"/>
                <w:szCs w:val="52"/>
              </w:rPr>
              <w:t>bibliographiques</w:t>
            </w:r>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2E7181" w:rsidRPr="00E04E53" w:rsidRDefault="002E7181" w:rsidP="00272B35">
            <w:pPr>
              <w:pStyle w:val="Titre1"/>
              <w:spacing w:line="240" w:lineRule="auto"/>
              <w:jc w:val="center"/>
              <w:outlineLvl w:val="0"/>
              <w:rPr>
                <w:rFonts w:ascii="Times New Roman" w:hAnsi="Times New Roman" w:cs="Times New Roman"/>
                <w:sz w:val="52"/>
                <w:szCs w:val="52"/>
              </w:rPr>
            </w:pPr>
          </w:p>
        </w:tc>
      </w:tr>
    </w:tbl>
    <w:p w:rsidR="004E5410" w:rsidRDefault="004E5410" w:rsidP="00931B66">
      <w:pPr>
        <w:spacing w:line="276" w:lineRule="auto"/>
        <w:rPr>
          <w:rFonts w:ascii="Times New Roman" w:hAnsi="Times New Roman"/>
          <w:b/>
          <w:sz w:val="24"/>
          <w:szCs w:val="24"/>
        </w:rPr>
      </w:pPr>
    </w:p>
    <w:p w:rsidR="008C2241" w:rsidRDefault="008C224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AGVSAN(2009), Analyse Globale de la Vulnérabilité, de la Sécurité Alimentaire et de la Nutrition.PAM/UNICEF/INSAE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Arndt, Garcia, Tarp, Thurlow (2011), «Poverty Reduction and Economic Structure: Comparative Path Analysis for Mozambique and Vietnam», Review of Income and Wealth.DOI: 10.1111/j.1475-4991.2011.00474.x</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Balaro et al, (2010), « Politiques de croissance pro-pauvre : Quelles stratégies pour le Bénin</w:t>
      </w:r>
      <w:r w:rsidR="00486650">
        <w:rPr>
          <w:rFonts w:ascii="Times New Roman" w:eastAsia="Times New Roman" w:hAnsi="Times New Roman"/>
          <w:color w:val="000000"/>
          <w:sz w:val="24"/>
          <w:szCs w:val="24"/>
          <w:lang w:eastAsia="fr-FR"/>
        </w:rPr>
        <w:t> ?</w:t>
      </w:r>
      <w:r w:rsidRPr="003C4491">
        <w:rPr>
          <w:rFonts w:ascii="Times New Roman" w:eastAsia="Times New Roman" w:hAnsi="Times New Roman"/>
          <w:color w:val="000000"/>
          <w:sz w:val="24"/>
          <w:szCs w:val="24"/>
          <w:lang w:eastAsia="fr-FR"/>
        </w:rPr>
        <w:t>», PNUD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Bane M.J. et Ellwood D.T. (1986), « Slipping Into and Out of Poverty: The Dynamics of Spells», Journal of Human Resources, hiver, pp. 1-23.</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val="en-US" w:eastAsia="fr-FR"/>
        </w:rPr>
        <w:t xml:space="preserve">Bane, M.J. and Ellwood, DT. 1986.”Slipping into and out of Poverty: The Dynamics of Spells.” </w:t>
      </w:r>
      <w:r w:rsidRPr="003C4491">
        <w:rPr>
          <w:rFonts w:ascii="Times New Roman" w:eastAsia="Times New Roman" w:hAnsi="Times New Roman"/>
          <w:color w:val="000000"/>
          <w:sz w:val="24"/>
          <w:szCs w:val="24"/>
          <w:lang w:eastAsia="fr-FR"/>
        </w:rPr>
        <w:t>The Journal of Human</w:t>
      </w:r>
      <w:r w:rsidR="00336009">
        <w:rPr>
          <w:rFonts w:ascii="Times New Roman" w:eastAsia="Times New Roman" w:hAnsi="Times New Roman"/>
          <w:color w:val="000000"/>
          <w:sz w:val="24"/>
          <w:szCs w:val="24"/>
          <w:lang w:eastAsia="fr-FR"/>
        </w:rPr>
        <w:t xml:space="preserve"> </w:t>
      </w:r>
      <w:r w:rsidRPr="003C4491">
        <w:rPr>
          <w:rFonts w:ascii="Times New Roman" w:eastAsia="Times New Roman" w:hAnsi="Times New Roman"/>
          <w:color w:val="000000"/>
          <w:sz w:val="24"/>
          <w:szCs w:val="24"/>
          <w:lang w:eastAsia="fr-FR"/>
        </w:rPr>
        <w:t>Resources 12:1-23</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Banque mondiale (2001), «Rapport sur le développement dans le monde 2001», Banque mondiale, Washington D.C.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Banque mondiale (2008), «Rapport sur le développement dans le monde 2008», Banque mondiale, Washington D.C.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Banque mondiale (2012), «Revue des dépenses publiques : Renforcer la Décentralisation pour améliorer la fourniture de services publics au Bénin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Baulch B. and Hoddinott J. (2000), «Economic Mobility and Poverty Dynamics in Developing Countries», Journal of Development Studies, 36 (2), pp. 1-24.</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BIT (1998), « La mesure du sous-emploi », Rapport I de la 16è Conférence Internationale des Statisticiens du Travail (CIST), Genève 6-15 octobre 1998.</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 xml:space="preserve">Bocanfuso, D et  Ménard, C (2009), La croissance pro-pauvre : un aperçu exhaustif de la </w:t>
      </w:r>
      <w:r w:rsidR="00486650">
        <w:rPr>
          <w:rFonts w:ascii="Times New Roman" w:eastAsia="Times New Roman" w:hAnsi="Times New Roman"/>
          <w:color w:val="000000"/>
          <w:sz w:val="24"/>
          <w:szCs w:val="24"/>
          <w:lang w:eastAsia="fr-FR"/>
        </w:rPr>
        <w:t xml:space="preserve">      </w:t>
      </w:r>
      <w:r w:rsidRPr="003C4491">
        <w:rPr>
          <w:rFonts w:ascii="Times New Roman" w:eastAsia="Times New Roman" w:hAnsi="Times New Roman"/>
          <w:color w:val="000000"/>
          <w:sz w:val="24"/>
          <w:szCs w:val="24"/>
          <w:lang w:eastAsia="fr-FR"/>
        </w:rPr>
        <w:t xml:space="preserve">«boîte à outils », GREDI, Université de Sherbrooke.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 xml:space="preserve">Bourguignon F. (2002): ¨ The Distributional Effects of Growth: Case Studies Vs. </w:t>
      </w:r>
      <w:r w:rsidRPr="00A95C30">
        <w:rPr>
          <w:rFonts w:ascii="Times New Roman" w:eastAsia="Times New Roman" w:hAnsi="Times New Roman"/>
          <w:color w:val="000000"/>
          <w:sz w:val="24"/>
          <w:szCs w:val="24"/>
          <w:lang w:val="en-US" w:eastAsia="fr-FR"/>
        </w:rPr>
        <w:t xml:space="preserve">Cross-Country Regressions”, Delta Working Papers, vol. 23.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A95C30">
        <w:rPr>
          <w:rFonts w:ascii="Times New Roman" w:eastAsia="Times New Roman" w:hAnsi="Times New Roman"/>
          <w:color w:val="000000"/>
          <w:sz w:val="24"/>
          <w:szCs w:val="24"/>
          <w:lang w:val="en-US" w:eastAsia="fr-FR"/>
        </w:rPr>
        <w:t>Bourguignon, F. (2003). “The Growth Elasticity of Poverty Reduction; Explaining Heterogeneity Across Countries and Time Periods”, in T. Eicher and S. Turnovskyeds, Inequality and growth, Theory and Policy Implications, Cambridge: The MIT Press.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BOUTKHILI Khadija, «L’impact de la mondialisation sur le Marché du travail, émigration </w:t>
      </w:r>
      <w:r w:rsidRPr="00010AEF">
        <w:rPr>
          <w:rFonts w:ascii="Times New Roman" w:eastAsia="Times New Roman" w:hAnsi="Times New Roman"/>
          <w:color w:val="000000"/>
          <w:sz w:val="24"/>
          <w:szCs w:val="24"/>
          <w:lang w:eastAsia="fr-FR"/>
        </w:rPr>
        <w:t>des</w:t>
      </w:r>
      <w:r w:rsidRPr="004E5410">
        <w:rPr>
          <w:rFonts w:ascii="Times New Roman" w:eastAsia="Times New Roman" w:hAnsi="Times New Roman"/>
          <w:color w:val="000000"/>
          <w:sz w:val="24"/>
          <w:szCs w:val="24"/>
          <w:lang w:eastAsia="fr-FR"/>
        </w:rPr>
        <w:t xml:space="preserve"> femmes dans les pays du Maghreb»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Cervantes-Godoy, D. and J. Dewbre (2010), “Economic Importance of Agriculture for Poverty Reduction”, OECD Food, Agriculture and Fisheries Working Papers, No. 23, OECD Publishing.</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Chaudhri et Ravallion (1994), « Aspect méthodologique du ciblage des politiques sur les pauvres chroniques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Chaudhuri, S., J. Jalan, and A. Suryahadi (</w:t>
      </w:r>
      <w:r>
        <w:rPr>
          <w:rFonts w:ascii="Times New Roman" w:eastAsia="Times New Roman" w:hAnsi="Times New Roman"/>
          <w:color w:val="000000"/>
          <w:sz w:val="24"/>
          <w:szCs w:val="24"/>
          <w:lang w:val="en-US" w:eastAsia="fr-FR"/>
        </w:rPr>
        <w:t>2003</w:t>
      </w:r>
      <w:r w:rsidRPr="003C4491">
        <w:rPr>
          <w:rFonts w:ascii="Times New Roman" w:eastAsia="Times New Roman" w:hAnsi="Times New Roman"/>
          <w:color w:val="000000"/>
          <w:sz w:val="24"/>
          <w:szCs w:val="24"/>
          <w:lang w:val="en-US" w:eastAsia="fr-FR"/>
        </w:rPr>
        <w:t>).</w:t>
      </w:r>
      <w:r w:rsidRPr="00A95C30">
        <w:rPr>
          <w:rFonts w:ascii="Times New Roman" w:eastAsia="Times New Roman" w:hAnsi="Times New Roman"/>
          <w:color w:val="000000"/>
          <w:sz w:val="24"/>
          <w:szCs w:val="24"/>
          <w:lang w:val="en-US" w:eastAsia="fr-FR"/>
        </w:rPr>
        <w:t>“Assessing Household Vulnerability to Poverty: A Methodology and Estimates for Indonesia,” Columbia University Department of Economics Discussion Paper No. 0102-52, New York: Columbia University.</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Clément, M. (2003), « Dynamique et persistance de la pauvreté en Russie », Document de travail no 89, Centre d’Economie de Développement de l’université Montesquieu Bordeaux IV</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Coudouel, A., J. Hentschel, et Q. Wodon, 2002, Poverty Measurement and Analysis, in J. Klugman, editeur, A Sourcebook for Poverty Reduction Strategies, Volume 1: Core Techniques and Cross-Cutting Issues, World Bank, Washington.</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Defourny and Thorbecke (1984), «Structural path analysis and multiplier decomposition within a social accounting matrix», Economic Journal, 94, 111-136.</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Dercon, S. (2000), “Assessing Vulnerability to Poverty CSAE”, Oxford University”, mimeo. www.economics.ox.ac.uk/members/stefan.dercon/</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Dercon, S. and P. Krishnan (2000), «Vulnerability, Seasonality and Poverty in Ethiopia», The Journal of Development Studies, Vol. 36, No. 3, pp. 25-53.</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DFID, CRDI et la  Fondation Hewlett, 2013,  Croissance de l’économie et débouchés économiques des femmes. Examen des écrits aux fins du programme de recherche du DFID, du CRDI et de la Fondation Hewlett portant sur l’autonomisation économique des femmes, l’égalité des sexes et la croissance dans les pays à faible revenu</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Dorothée B., Alex S. (2006), « Dynamique de la pauvreté en Haïti et ses déterminants », GREDI,  Cahier de recherche / WorkingPaper  06-15, Avril 2006</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Drèze, J et al. (1992), «Economic Mobility and agricultural Labor in Rural India, A case study», STICERD, London School of Economics 1992, mimeo.</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 xml:space="preserve">Drèze, J. et al (1992), "Economic Mobility and agricultural Labor in Rural India: A case study”. </w:t>
      </w:r>
      <w:r w:rsidRPr="00A95C30">
        <w:rPr>
          <w:rFonts w:ascii="Times New Roman" w:eastAsia="Times New Roman" w:hAnsi="Times New Roman"/>
          <w:color w:val="000000"/>
          <w:sz w:val="24"/>
          <w:szCs w:val="24"/>
          <w:lang w:val="en-US" w:eastAsia="fr-FR"/>
        </w:rPr>
        <w:t>STICERD, London School of Economics, mimeo.</w:t>
      </w:r>
    </w:p>
    <w:p w:rsidR="008C2241" w:rsidRDefault="004F064D">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hyperlink r:id="rId84" w:history="1">
        <w:r w:rsidR="003C4491" w:rsidRPr="00010AEF">
          <w:rPr>
            <w:rFonts w:ascii="Times New Roman" w:eastAsia="Times New Roman" w:hAnsi="Times New Roman"/>
            <w:color w:val="000000"/>
            <w:sz w:val="24"/>
            <w:szCs w:val="24"/>
            <w:lang w:val="en-US" w:eastAsia="fr-FR"/>
          </w:rPr>
          <w:t>Duclos J.Y, Araar A. and Giles J. (2006), «Chronic and Transient Poverty: Measurement and Estimation, with Evidence from China», CIRPEE Working Paper No. 06-11 Available at SSRN: http://ssrn.com/abstrat=895181.</w:t>
        </w:r>
      </w:hyperlink>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 xml:space="preserve">Duclos Jean Yves (2002), « Vulnérabilité et la pauvreté : Quelques distinctions », Université de Laval.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Ehrhart, C (2006), Croissance, redistribution et lutte contre la pauvreté : l’évolution non linéaire de l’approche de la Banque mondiale, entre d’Études et de Recherches Économiques et Sociales de l’Université  de la Réunion (CERESUR)</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Ekaterina Kalugina et Boris Najman (2004), Travail et pauvreté en Russie : évaluations  objectives et perceptions subjectives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EL AYNAOUI J.P. (1998), «Participation, choix occupationnel et gains sur un marché du travail segmenté : une analyse appliquée au cas du Maroc», Document de travail</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Fan, HazzeletThorat (2000), « Government Spending, Growth, and Poverty in Rural India», American Agricultural Economics Association, 1038-1051.</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Fan, Jitsuchon, et Methakunnavut (2004), «The importance of Public Investment for Reducing Rural Poverty in Middle-Income countries: case of Thailand»,  Development Strategy and Governance Division of International Food Policy Research Institute discussion paper N°7.</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Fan, Shenggen, and S.K. Thorat, 2007, ‘Public Investment, Growth and Poverty reduction: A Comparative Analysis  of India and China’, in: Gulati and Fan, eds., pp.121-40.FARA, 2006</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Fan, Zhang etRao (2004), «Public expenditure, growth and poverty reduction in rural Uganda», Development Strategy and Governance Division of International Food Policy Research Institute discussion paper N°4.</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 xml:space="preserve">FIDA, 2001, Evaluation de la pauvreté rurale en Afrique de l’Ouest et du Centre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 xml:space="preserve">Fields G.S (1997), «Poverty, inequality and economic well-being», African economic growth in comparative perspective.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FMI, 2010, Afrique subsaharienne Maintenir la croissance ; Perspectives économiques régionales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 xml:space="preserve">Forum Africain pour la Recherche Agricole (2006), Cadre pour la Productivité Agricole en Afrique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Gaiha R (1992),«On the chronically poor in rural India», Journal of International Development, vol.4, n°3, 273-289</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Gaiha R. (1988), «On measuring the risk of poverty in rural India in Rural poverty in south Asia», Colombia University Press, 1988.</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 xml:space="preserve">Gaiha, R and A.B. Dealalikar (1993), «Persistent, expected and innate poverty-estimates for semi-arid rural South India», 1975-1984, Cambridge journal of Ecoonomics, vol.17, n°4, 409-421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Gaiha, R. and A.B. Deolalikar (1993) «Persistent, Expected and Innate Poverty: Estimates for Semi-Arid Rural South India 1975-1984»,  Cambridge Journal of Economics,  pp. 409-421.</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Grootaert,  C.  and  Kanbur,  R.  (1990), « Policy-oriented analysis of poverty and the social dimensions of structural adjustment:  a methodology and proposed application to Côte d’Ivoire», 1985-88.  Washington DC, The World Bank.</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Grooteart (1995), “The determinants of poverty, Why some people escape from poverty  and others do not,” Policy Research Working paper, Wordbank</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4E5410">
        <w:rPr>
          <w:rFonts w:ascii="Times New Roman" w:eastAsia="Times New Roman" w:hAnsi="Times New Roman"/>
          <w:color w:val="000000"/>
          <w:sz w:val="24"/>
          <w:szCs w:val="24"/>
          <w:lang w:val="en-US" w:eastAsia="fr-FR"/>
        </w:rPr>
        <w:t>Haddad, L. and A.U. Ahmed (2002), «Avoiding Chronic and Transitory Poverty: Evidence from Egypt», 1997-99 Food Consumption and Nutrition Division Discussion Paper No. 133, IFPRI, Washington D.C.</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 xml:space="preserve">Hodges, Anthony, Damien Mèdédji, Jean-Jacques Mongbo et Clare O’Brien (2010). Etude sur l'état des lieux et les perspectives de protection sociale au Bénin. Partie II: Etude de faisabilité d'un programme de transferts sociaux en espèces. Rapport pour UNICEF et le Gouvernement du Bénin. Oxford : Oxford Policy Management.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Hodonou A., Mededji D. Gninafon A., Totin A. (2010), « Dynamique de la pauvreté au Bénin: Approche par l’analyse des processus stochastiques de type markoviens », PEP, janvier 2010</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Hodonou, A et Mèdédji, D, Gninanfon, A et Totin, A (2010), « Dynamique de la pauvreté au Bénin: approche par l’analyse des processus stochastiques de type markovien, WP-PEP, Université Laval, Canada</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Holzmann, R et Jørgensen, S, 2000,  Social Risk Management: A new conceptual framework for Social Protection, and beyond,  Social Protection, Human Development Network, The World Bank</w:t>
      </w:r>
      <w:r w:rsidRPr="003C4491">
        <w:rPr>
          <w:rFonts w:ascii="Times New Roman" w:eastAsia="Times New Roman" w:hAnsi="Times New Roman"/>
          <w:color w:val="000000"/>
          <w:sz w:val="24"/>
          <w:szCs w:val="24"/>
          <w:lang w:val="en-US" w:eastAsia="fr-FR"/>
        </w:rPr>
        <w:cr/>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Howard Oxley, Thai-Thanh Dang et Pablo Antolín (2000), « Dynamique de la pauvreté dans six pays de l’OCDE », Revue économique de l’OCDE n° 30, 2000/I</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IEM, 2001,  « La pauvreté n’est pas une condition permanente », Note Economique, Institut Economique de Montréal</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INSAE (2011), «Enquête modulaire intégrée sur les conditions de vie des ménages»,  EMICoV 2011</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010AEF">
        <w:rPr>
          <w:rFonts w:ascii="Times New Roman" w:eastAsia="Times New Roman" w:hAnsi="Times New Roman"/>
          <w:color w:val="000000"/>
          <w:sz w:val="24"/>
          <w:szCs w:val="24"/>
          <w:lang w:val="en-US" w:eastAsia="fr-FR"/>
        </w:rPr>
        <w:t>Jalan, J. and M. Ravallion (1998), «Is Transient Poverty Different? Evidence from Rural China», Journal of Development Studies, Vol. 36, No. 6, pp.82-99.</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J-C S. K</w:t>
      </w:r>
      <w:r w:rsidR="00B61409" w:rsidRPr="004E5410">
        <w:rPr>
          <w:rFonts w:ascii="Times New Roman" w:eastAsia="Times New Roman" w:hAnsi="Times New Roman"/>
          <w:color w:val="000000"/>
          <w:sz w:val="24"/>
          <w:szCs w:val="24"/>
          <w:lang w:eastAsia="fr-FR"/>
        </w:rPr>
        <w:t>eke</w:t>
      </w:r>
      <w:r w:rsidRPr="004E5410">
        <w:rPr>
          <w:rFonts w:ascii="Times New Roman" w:eastAsia="Times New Roman" w:hAnsi="Times New Roman"/>
          <w:color w:val="000000"/>
          <w:sz w:val="24"/>
          <w:szCs w:val="24"/>
          <w:lang w:eastAsia="fr-FR"/>
        </w:rPr>
        <w:t xml:space="preserve"> et Alexandre BIAOU (2010), «Dynamique du marché du travail au Bénin», Etudes et document n° 002/2010, 39 p.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Lachaud (1997c), « Pauvreté, dimension des ménage</w:t>
      </w:r>
      <w:r w:rsidR="00486650">
        <w:rPr>
          <w:rFonts w:ascii="Times New Roman" w:eastAsia="Times New Roman" w:hAnsi="Times New Roman"/>
          <w:color w:val="000000"/>
          <w:sz w:val="24"/>
          <w:szCs w:val="24"/>
          <w:lang w:eastAsia="fr-FR"/>
        </w:rPr>
        <w:t>s</w:t>
      </w:r>
      <w:r w:rsidRPr="004E5410">
        <w:rPr>
          <w:rFonts w:ascii="Times New Roman" w:eastAsia="Times New Roman" w:hAnsi="Times New Roman"/>
          <w:color w:val="000000"/>
          <w:sz w:val="24"/>
          <w:szCs w:val="24"/>
          <w:lang w:eastAsia="fr-FR"/>
        </w:rPr>
        <w:t xml:space="preserve"> et genre au Burkina-Faso », Bordeau, Document de travail no 17, Université Montesquieu-Bordeau IV. CED.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L</w:t>
      </w:r>
      <w:r w:rsidR="00B61409" w:rsidRPr="004E5410">
        <w:rPr>
          <w:rFonts w:ascii="Times New Roman" w:eastAsia="Times New Roman" w:hAnsi="Times New Roman"/>
          <w:color w:val="000000"/>
          <w:sz w:val="24"/>
          <w:szCs w:val="24"/>
          <w:lang w:eastAsia="fr-FR"/>
        </w:rPr>
        <w:t>achaud</w:t>
      </w:r>
      <w:r w:rsidRPr="004E5410">
        <w:rPr>
          <w:rFonts w:ascii="Times New Roman" w:eastAsia="Times New Roman" w:hAnsi="Times New Roman"/>
          <w:color w:val="000000"/>
          <w:sz w:val="24"/>
          <w:szCs w:val="24"/>
          <w:lang w:eastAsia="fr-FR"/>
        </w:rPr>
        <w:t xml:space="preserve"> (J-P) (1998), «Modélisation des déterminants de la pauvreté et marché du travail en Afrique : le  cas du Burkina Faso », Centre d’économie du développement Université Montesquieu Bordeaux IV France, Document de travail N°32</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Mededji Damien (2011), «Note sur les politiques et programmes sur l’emploi des jeunes au Bénin », Document de travail</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Mededji Damien. (200</w:t>
      </w:r>
      <w:r>
        <w:rPr>
          <w:rFonts w:ascii="Times New Roman" w:eastAsia="Times New Roman" w:hAnsi="Times New Roman"/>
          <w:color w:val="000000"/>
          <w:sz w:val="24"/>
          <w:szCs w:val="24"/>
          <w:lang w:eastAsia="fr-FR"/>
        </w:rPr>
        <w:t>8</w:t>
      </w:r>
      <w:r w:rsidRPr="004E5410">
        <w:rPr>
          <w:rFonts w:ascii="Times New Roman" w:eastAsia="Times New Roman" w:hAnsi="Times New Roman"/>
          <w:color w:val="000000"/>
          <w:sz w:val="24"/>
          <w:szCs w:val="24"/>
          <w:lang w:eastAsia="fr-FR"/>
        </w:rPr>
        <w:t xml:space="preserve">), « Dynamique de la pauvreté en milieu urbain au Bénin : une analyse en </w:t>
      </w:r>
      <w:r w:rsidR="00486650" w:rsidRPr="004E5410">
        <w:rPr>
          <w:rFonts w:ascii="Times New Roman" w:eastAsia="Times New Roman" w:hAnsi="Times New Roman"/>
          <w:color w:val="000000"/>
          <w:sz w:val="24"/>
          <w:szCs w:val="24"/>
          <w:lang w:eastAsia="fr-FR"/>
        </w:rPr>
        <w:t>ter</w:t>
      </w:r>
      <w:r w:rsidR="00486650">
        <w:rPr>
          <w:rFonts w:ascii="Times New Roman" w:eastAsia="Times New Roman" w:hAnsi="Times New Roman"/>
          <w:color w:val="000000"/>
          <w:sz w:val="24"/>
          <w:szCs w:val="24"/>
          <w:lang w:eastAsia="fr-FR"/>
        </w:rPr>
        <w:t>m</w:t>
      </w:r>
      <w:r w:rsidR="00486650" w:rsidRPr="004E5410">
        <w:rPr>
          <w:rFonts w:ascii="Times New Roman" w:eastAsia="Times New Roman" w:hAnsi="Times New Roman"/>
          <w:color w:val="000000"/>
          <w:sz w:val="24"/>
          <w:szCs w:val="24"/>
          <w:lang w:eastAsia="fr-FR"/>
        </w:rPr>
        <w:t>e</w:t>
      </w:r>
      <w:r w:rsidR="00486650">
        <w:rPr>
          <w:rFonts w:ascii="Times New Roman" w:eastAsia="Times New Roman" w:hAnsi="Times New Roman"/>
          <w:color w:val="000000"/>
          <w:sz w:val="24"/>
          <w:szCs w:val="24"/>
          <w:lang w:eastAsia="fr-FR"/>
        </w:rPr>
        <w:t>s</w:t>
      </w:r>
      <w:r w:rsidR="00486650" w:rsidRPr="004E5410">
        <w:rPr>
          <w:rFonts w:ascii="Times New Roman" w:eastAsia="Times New Roman" w:hAnsi="Times New Roman"/>
          <w:color w:val="000000"/>
          <w:sz w:val="24"/>
          <w:szCs w:val="24"/>
          <w:lang w:eastAsia="fr-FR"/>
        </w:rPr>
        <w:t xml:space="preserve"> </w:t>
      </w:r>
      <w:r w:rsidRPr="004E5410">
        <w:rPr>
          <w:rFonts w:ascii="Times New Roman" w:eastAsia="Times New Roman" w:hAnsi="Times New Roman"/>
          <w:color w:val="000000"/>
          <w:sz w:val="24"/>
          <w:szCs w:val="24"/>
          <w:lang w:eastAsia="fr-FR"/>
        </w:rPr>
        <w:t>d’entrées et sorties », PEP</w:t>
      </w:r>
      <w:r>
        <w:rPr>
          <w:rFonts w:ascii="Times New Roman" w:eastAsia="Times New Roman" w:hAnsi="Times New Roman"/>
          <w:color w:val="000000"/>
          <w:sz w:val="24"/>
          <w:szCs w:val="24"/>
          <w:lang w:eastAsia="fr-FR"/>
        </w:rPr>
        <w:t>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Murdoch, J. (1994) “Poverty and Vulnerability” American Economic Review, Vol. 84, No. 2, pp. 221-225.</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010AEF">
        <w:rPr>
          <w:rFonts w:ascii="Times New Roman" w:eastAsia="Times New Roman" w:hAnsi="Times New Roman"/>
          <w:color w:val="000000"/>
          <w:sz w:val="24"/>
          <w:szCs w:val="24"/>
          <w:lang w:val="en-US" w:eastAsia="fr-FR"/>
        </w:rPr>
        <w:t>Narayan, D. et al. (2000), «Voices of the Poor: Crying Out for Change », Banque</w:t>
      </w:r>
      <w:r w:rsidR="00486650">
        <w:rPr>
          <w:rFonts w:ascii="Times New Roman" w:eastAsia="Times New Roman" w:hAnsi="Times New Roman"/>
          <w:color w:val="000000"/>
          <w:sz w:val="24"/>
          <w:szCs w:val="24"/>
          <w:lang w:val="en-US" w:eastAsia="fr-FR"/>
        </w:rPr>
        <w:t xml:space="preserve"> </w:t>
      </w:r>
      <w:r w:rsidRPr="00010AEF">
        <w:rPr>
          <w:rFonts w:ascii="Times New Roman" w:eastAsia="Times New Roman" w:hAnsi="Times New Roman"/>
          <w:color w:val="000000"/>
          <w:sz w:val="24"/>
          <w:szCs w:val="24"/>
          <w:lang w:val="en-US" w:eastAsia="fr-FR"/>
        </w:rPr>
        <w:t xml:space="preserve">mondiale, Washington D.C.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010AEF">
        <w:rPr>
          <w:rFonts w:ascii="Times New Roman" w:eastAsia="Times New Roman" w:hAnsi="Times New Roman"/>
          <w:color w:val="000000"/>
          <w:sz w:val="24"/>
          <w:szCs w:val="24"/>
          <w:lang w:val="en-US" w:eastAsia="fr-FR"/>
        </w:rPr>
        <w:t>Ngandu, Garcia et Arndt (2010), «The influence of Infrastructural expenditure in South Africa</w:t>
      </w:r>
      <w:r w:rsidRPr="004E5410">
        <w:rPr>
          <w:rFonts w:ascii="Times New Roman" w:eastAsia="Times New Roman" w:hAnsi="Times New Roman"/>
          <w:color w:val="000000"/>
          <w:sz w:val="24"/>
          <w:szCs w:val="24"/>
          <w:lang w:val="en-US" w:eastAsia="fr-FR"/>
        </w:rPr>
        <w:t>: A multiplier and Structural Path Analysis », Development Policy Research Unit, Employment Promotion Programme and Trade &amp; Industrial Policy Strategies Conference.27 - 29 October, 2010. Johannesburg.</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010AEF">
        <w:rPr>
          <w:rFonts w:ascii="Times New Roman" w:eastAsia="Times New Roman" w:hAnsi="Times New Roman"/>
          <w:color w:val="000000"/>
          <w:sz w:val="24"/>
          <w:szCs w:val="24"/>
          <w:lang w:val="en-US" w:eastAsia="fr-FR"/>
        </w:rPr>
        <w:t>Nolan et Marx (1999), « Low Pay and Household Poverty », Luxembourg Income Study (LIS), Document de travail no 216.</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OCDE (1997), « Perspectives de l’emploi », Paris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OCDE (2000), « Pour un monde solidaire », Le nouvel agenda social, Paris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OCDE (2006), «Promouvoir l’investissment privé au service du développement : le rôle de l’APD », OCDE, Paris.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OCDE (2007), «Vers une croissance pro-pauvres : Orientations à l’intention des donneurs », OCDE, Paris.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OCDE (2008), «Informal EmploymentRe-loaded », document de travail No. 266, OECD Development Centre, Paris, www.oecd.org/dev/wp.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eastAsia="fr-FR"/>
        </w:rPr>
        <w:t>OCDE (2011), Renforcer la productivité et la compétitivité dans le secteur agricole, Éditions OCDE.http://dx.doi.org/10.1787/9789264167131-fr</w:t>
      </w:r>
    </w:p>
    <w:p w:rsidR="008C2241" w:rsidRDefault="004F064D">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hyperlink r:id="rId85" w:history="1">
        <w:r w:rsidR="003C4491" w:rsidRPr="004E5410">
          <w:rPr>
            <w:rFonts w:ascii="Times New Roman" w:eastAsia="Times New Roman" w:hAnsi="Times New Roman"/>
            <w:color w:val="000000"/>
            <w:sz w:val="24"/>
            <w:szCs w:val="24"/>
            <w:lang w:eastAsia="fr-FR"/>
          </w:rPr>
          <w:t>Odouro D.A.  (2002), « La dynamique de la pauvreté », Center for policy analysis, Accra Ghana, http://www.pep-net.org/NEW-PEP/Group/PMMA/pmma-train/files/l-dynamique-de-la pauvrete-oduro.pdf.</w:t>
        </w:r>
      </w:hyperlink>
    </w:p>
    <w:p w:rsidR="008C2241" w:rsidRDefault="00B61409">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Pr>
          <w:rFonts w:ascii="Times New Roman" w:eastAsia="Times New Roman" w:hAnsi="Times New Roman"/>
          <w:color w:val="000000"/>
          <w:sz w:val="24"/>
          <w:szCs w:val="24"/>
          <w:lang w:val="en-US" w:eastAsia="fr-FR"/>
        </w:rPr>
        <w:t xml:space="preserve">OECD (2009), </w:t>
      </w:r>
      <w:r w:rsidR="003C4491" w:rsidRPr="00010AEF">
        <w:rPr>
          <w:rFonts w:ascii="Times New Roman" w:eastAsia="Times New Roman" w:hAnsi="Times New Roman"/>
          <w:color w:val="000000"/>
          <w:sz w:val="24"/>
          <w:szCs w:val="24"/>
          <w:lang w:val="en-US" w:eastAsia="fr-FR"/>
        </w:rPr>
        <w:t>«Promoting Pro-Poor Growth : Employment », OECD, Paris.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OIT (2002), « Les femmes et les hommes dans l’économie informelle : une image statistique », OIT, Genève.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ONU (2005), «Rapport sur la situation sociale dans le monde 2005 », ONU, New York.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A95C30">
        <w:rPr>
          <w:rFonts w:ascii="Times New Roman" w:eastAsia="Times New Roman" w:hAnsi="Times New Roman"/>
          <w:color w:val="000000"/>
          <w:sz w:val="24"/>
          <w:szCs w:val="24"/>
          <w:lang w:val="en-US" w:eastAsia="fr-FR"/>
        </w:rPr>
        <w:t>Osmani, S. (2005).“Defining Pro-Poor Growth”, Washington, One Pager 9, January, International Poverty Center, United Nations Development Program.</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(2010), «Politique Nationale de l’Emploi et Plan d’actions 2010 – 2014, 88 p,  Ministère Chargé de la Microfinance et de l’Emploi des Jeunes et des Femmes (MCMEJF)</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RavallionM et J. Jalan (1998a) "Determinants of Transient and Chronic Poverty: Evidence from Rural China", Policy Working Paper 1936.Washington DC: World Bank.</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C4229B">
        <w:rPr>
          <w:rFonts w:ascii="Times New Roman" w:eastAsia="Times New Roman" w:hAnsi="Times New Roman"/>
          <w:color w:val="000000"/>
          <w:sz w:val="24"/>
          <w:szCs w:val="24"/>
          <w:lang w:val="en-US" w:eastAsia="fr-FR"/>
        </w:rPr>
        <w:t xml:space="preserve">Ravallion M. et Jalan J.(1998a), «Determinants of Transient and chronic Poverty : Evidence from rural China», Policy Working Paper 1936. </w:t>
      </w:r>
      <w:r w:rsidRPr="00A95C30">
        <w:rPr>
          <w:rFonts w:ascii="Times New Roman" w:eastAsia="Times New Roman" w:hAnsi="Times New Roman"/>
          <w:color w:val="000000"/>
          <w:sz w:val="24"/>
          <w:szCs w:val="24"/>
          <w:lang w:val="en-US" w:eastAsia="fr-FR"/>
        </w:rPr>
        <w:t>Washington DC: World Bank</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A95C30">
        <w:rPr>
          <w:rFonts w:ascii="Times New Roman" w:eastAsia="Times New Roman" w:hAnsi="Times New Roman"/>
          <w:color w:val="000000"/>
          <w:sz w:val="24"/>
          <w:szCs w:val="24"/>
          <w:lang w:val="en-US" w:eastAsia="fr-FR"/>
        </w:rPr>
        <w:t>Ravallion, M et J. Jalan (2000) "Is transient poverty different? Evidence from Rural China", Journal of Development Studies, Vol.36, N°6, 82-99.</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eastAsia="fr-FR"/>
        </w:rPr>
        <w:t xml:space="preserve">Ravallion, M, et S. Chen (2003). </w:t>
      </w:r>
      <w:r w:rsidRPr="00A95C30">
        <w:rPr>
          <w:rFonts w:ascii="Times New Roman" w:eastAsia="Times New Roman" w:hAnsi="Times New Roman"/>
          <w:color w:val="000000"/>
          <w:sz w:val="24"/>
          <w:szCs w:val="24"/>
          <w:lang w:val="en-US" w:eastAsia="fr-FR"/>
        </w:rPr>
        <w:t>“Measuring Pro-Poor Growth”, World Bank, Policy Research</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Ravallion, M. (2004), « Pro-Poor Growth: A Primer », document de travail de recherche sur les politiques No. 3242, Banque mondiale, Washington D.C.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Rép.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(2007), «Stratégie de croissance pour la réduction de la pauvreté de deuxième génération (SCRP2)»</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Rép.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(2009), « Analyse Globale de la Vulnérabilité, de la Sécurité Alimentaire et de la Nutrition (AGVSAN) » - 2009 - Bénin</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Rép.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(2010), «Rapport d’avancement 2009 de la Stratégie de croissance pour la réduction de la pauvreté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Rép.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(2011), «Etude sur l’emploi des femmes au Bénin», Ministère Chargé de la Microfinance et de l’Emploi des Jeunes et des Femmes (MCMEJF), 2011</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Rép.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(2011), «Stratégie de croissance pour la réduction de la pauvreté de troisième génération (SCRP3)»</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 xml:space="preserve">Rép. </w:t>
      </w:r>
      <w:r w:rsidR="00486650" w:rsidRPr="004E5410">
        <w:rPr>
          <w:rFonts w:ascii="Times New Roman" w:eastAsia="Times New Roman" w:hAnsi="Times New Roman"/>
          <w:color w:val="000000"/>
          <w:sz w:val="24"/>
          <w:szCs w:val="24"/>
          <w:lang w:eastAsia="fr-FR"/>
        </w:rPr>
        <w:t>B</w:t>
      </w:r>
      <w:r w:rsidR="00486650">
        <w:rPr>
          <w:rFonts w:ascii="Times New Roman" w:eastAsia="Times New Roman" w:hAnsi="Times New Roman"/>
          <w:color w:val="000000"/>
          <w:sz w:val="24"/>
          <w:szCs w:val="24"/>
          <w:lang w:eastAsia="fr-FR"/>
        </w:rPr>
        <w:t>é</w:t>
      </w:r>
      <w:r w:rsidR="00486650" w:rsidRPr="004E5410">
        <w:rPr>
          <w:rFonts w:ascii="Times New Roman" w:eastAsia="Times New Roman" w:hAnsi="Times New Roman"/>
          <w:color w:val="000000"/>
          <w:sz w:val="24"/>
          <w:szCs w:val="24"/>
          <w:lang w:eastAsia="fr-FR"/>
        </w:rPr>
        <w:t xml:space="preserve">nin </w:t>
      </w:r>
      <w:r w:rsidRPr="004E5410">
        <w:rPr>
          <w:rFonts w:ascii="Times New Roman" w:eastAsia="Times New Roman" w:hAnsi="Times New Roman"/>
          <w:color w:val="000000"/>
          <w:sz w:val="24"/>
          <w:szCs w:val="24"/>
          <w:lang w:eastAsia="fr-FR"/>
        </w:rPr>
        <w:t>(2012), «Rapport d’avancement 2011 de la Stratégie de croissance pour la réduction de la pauvreté»</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SAGET, C. (2001), «Revue internationale du Travail», vol. 140, n° 3</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 xml:space="preserve">Sala-i-Martin etPinkovskiy (2010),   frican Poverty is Falling...Much Faster than You Think.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A95C30">
        <w:rPr>
          <w:rFonts w:ascii="Times New Roman" w:eastAsia="Times New Roman" w:hAnsi="Times New Roman"/>
          <w:color w:val="000000"/>
          <w:sz w:val="24"/>
          <w:szCs w:val="24"/>
          <w:lang w:val="en-US" w:eastAsia="fr-FR"/>
        </w:rPr>
        <w:t>Son, H. (2004a). “Pro-poor growth: Asian Experience”, Department of Economics, Macquarie</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A95C30">
        <w:rPr>
          <w:rFonts w:ascii="Times New Roman" w:eastAsia="Times New Roman" w:hAnsi="Times New Roman"/>
          <w:color w:val="000000"/>
          <w:sz w:val="24"/>
          <w:szCs w:val="24"/>
          <w:lang w:val="en-US" w:eastAsia="fr-FR"/>
        </w:rPr>
        <w:t xml:space="preserve">Son, H. (2004b). “A Note on Pro-Poor Growth”, Economics Letters, 82, pp. 307-314. </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3C4491">
        <w:rPr>
          <w:rFonts w:ascii="Times New Roman" w:eastAsia="Times New Roman" w:hAnsi="Times New Roman"/>
          <w:color w:val="000000"/>
          <w:sz w:val="24"/>
          <w:szCs w:val="24"/>
          <w:lang w:val="en-US" w:eastAsia="fr-FR"/>
        </w:rPr>
        <w:t>Thirtle, C, Lin, L, &amp;</w:t>
      </w:r>
      <w:r w:rsidR="00486650">
        <w:rPr>
          <w:rFonts w:ascii="Times New Roman" w:eastAsia="Times New Roman" w:hAnsi="Times New Roman"/>
          <w:color w:val="000000"/>
          <w:sz w:val="24"/>
          <w:szCs w:val="24"/>
          <w:lang w:val="en-US" w:eastAsia="fr-FR"/>
        </w:rPr>
        <w:t xml:space="preserve"> </w:t>
      </w:r>
      <w:r w:rsidRPr="003C4491">
        <w:rPr>
          <w:rFonts w:ascii="Times New Roman" w:eastAsia="Times New Roman" w:hAnsi="Times New Roman"/>
          <w:color w:val="000000"/>
          <w:sz w:val="24"/>
          <w:szCs w:val="24"/>
          <w:lang w:val="en-US" w:eastAsia="fr-FR"/>
        </w:rPr>
        <w:t xml:space="preserve">Piesse, J. 2003. </w:t>
      </w:r>
      <w:r w:rsidRPr="00A95C30">
        <w:rPr>
          <w:rFonts w:ascii="Times New Roman" w:eastAsia="Times New Roman" w:hAnsi="Times New Roman"/>
          <w:color w:val="000000"/>
          <w:sz w:val="24"/>
          <w:szCs w:val="24"/>
          <w:lang w:val="en-US" w:eastAsia="fr-FR"/>
        </w:rPr>
        <w:t>The Impact of Research-Led Agricultural Productivity Growth on Poverty Reduction in Africa, Asia and Latin America.</w:t>
      </w:r>
      <w:r w:rsidRPr="003C4491">
        <w:rPr>
          <w:rFonts w:ascii="Times New Roman" w:eastAsia="Times New Roman" w:hAnsi="Times New Roman"/>
          <w:color w:val="000000"/>
          <w:sz w:val="24"/>
          <w:szCs w:val="24"/>
          <w:lang w:val="en-US" w:eastAsia="fr-FR"/>
        </w:rPr>
        <w:t xml:space="preserve">World Development, 31(12), 1959-1975. doi: 10.1016/j.worlddev.2003.07.001. </w:t>
      </w:r>
      <w:r w:rsidR="00832112" w:rsidRPr="00832112">
        <w:rPr>
          <w:rFonts w:ascii="Times New Roman" w:eastAsia="Times New Roman" w:hAnsi="Times New Roman"/>
          <w:color w:val="000000"/>
          <w:sz w:val="24"/>
          <w:szCs w:val="24"/>
          <w:lang w:eastAsia="fr-FR"/>
        </w:rPr>
        <w:t>University, Australia.</w:t>
      </w:r>
    </w:p>
    <w:p w:rsidR="008C2241" w:rsidRDefault="00832112">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832112">
        <w:rPr>
          <w:rFonts w:ascii="Times New Roman" w:eastAsia="Times New Roman" w:hAnsi="Times New Roman"/>
          <w:color w:val="000000"/>
          <w:sz w:val="24"/>
          <w:szCs w:val="24"/>
          <w:lang w:eastAsia="fr-FR"/>
        </w:rPr>
        <w:t>UNESCO (2007), «Education for All (EFA)», Rapport de suivimondial 2007, UNESCO, Paris.</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UNPD (2011),  «Politiques de croissance pro-pauvre : contraintes et défis au Bénin», 232 p.</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Vodounou C. (2004), « Pauvreté, Croissance et Ciblage : propriétés asymptotiques des estimateurs des élasticités avec application au Bénin », Revue d’Economie de développement</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eastAsia="fr-FR"/>
        </w:rPr>
      </w:pPr>
      <w:r w:rsidRPr="004E5410">
        <w:rPr>
          <w:rFonts w:ascii="Times New Roman" w:eastAsia="Times New Roman" w:hAnsi="Times New Roman"/>
          <w:color w:val="000000"/>
          <w:sz w:val="24"/>
          <w:szCs w:val="24"/>
          <w:lang w:eastAsia="fr-FR"/>
        </w:rPr>
        <w:t>Vodounou C.(2009), «Pauvreté multidimensionnelle et politiques sociales au Bénin», PEP, PMMA, Cahier de recherche, 2009-XXXXX Avril/April 2009</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010AEF">
        <w:rPr>
          <w:rFonts w:ascii="Times New Roman" w:eastAsia="Times New Roman" w:hAnsi="Times New Roman"/>
          <w:color w:val="000000"/>
          <w:sz w:val="24"/>
          <w:szCs w:val="24"/>
          <w:lang w:val="en-US" w:eastAsia="fr-FR"/>
        </w:rPr>
        <w:t>Woolard I. and Klasen S. (2004), «Determinants of Income Mobility and Household Poverty Dynamics in South Africa», IZA DP No. 1030, February 2004</w:t>
      </w:r>
    </w:p>
    <w:p w:rsidR="008C2241" w:rsidRDefault="003C449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r w:rsidRPr="003C4491">
        <w:rPr>
          <w:rFonts w:ascii="Times New Roman" w:eastAsia="Times New Roman" w:hAnsi="Times New Roman"/>
          <w:color w:val="000000"/>
          <w:sz w:val="24"/>
          <w:szCs w:val="24"/>
          <w:lang w:val="en-US" w:eastAsia="fr-FR"/>
        </w:rPr>
        <w:t xml:space="preserve">Young, A (2009), The African Growth Miracle, Department of Economics London School of Economics </w:t>
      </w:r>
    </w:p>
    <w:p w:rsidR="008C2241" w:rsidRDefault="008C224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p>
    <w:p w:rsidR="008C2241" w:rsidRDefault="008C224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p>
    <w:p w:rsidR="008C2241" w:rsidRDefault="008C224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p>
    <w:p w:rsidR="008C2241" w:rsidRDefault="008C2241">
      <w:pPr>
        <w:tabs>
          <w:tab w:val="left" w:pos="1701"/>
        </w:tabs>
        <w:spacing w:beforeLines="60" w:before="144" w:line="240" w:lineRule="auto"/>
        <w:ind w:left="1134" w:hanging="1134"/>
        <w:rPr>
          <w:rFonts w:ascii="Times New Roman" w:eastAsia="Times New Roman" w:hAnsi="Times New Roman"/>
          <w:color w:val="000000"/>
          <w:sz w:val="24"/>
          <w:szCs w:val="24"/>
          <w:lang w:val="en-US" w:eastAsia="fr-FR"/>
        </w:rPr>
      </w:pPr>
    </w:p>
    <w:p w:rsidR="00D80AB1" w:rsidRPr="004E5410" w:rsidRDefault="00D80AB1" w:rsidP="00931B66">
      <w:pPr>
        <w:spacing w:line="276" w:lineRule="auto"/>
        <w:rPr>
          <w:rFonts w:ascii="Times New Roman" w:hAnsi="Times New Roman"/>
          <w:b/>
          <w:sz w:val="24"/>
          <w:szCs w:val="24"/>
          <w:lang w:val="en-US"/>
        </w:rPr>
      </w:pPr>
    </w:p>
    <w:p w:rsidR="00D80AB1" w:rsidRPr="004E5410" w:rsidRDefault="00D80AB1" w:rsidP="00931B66">
      <w:pPr>
        <w:spacing w:line="276" w:lineRule="auto"/>
        <w:rPr>
          <w:rFonts w:ascii="Times New Roman" w:hAnsi="Times New Roman"/>
          <w:b/>
          <w:sz w:val="24"/>
          <w:szCs w:val="24"/>
          <w:lang w:val="en-US"/>
        </w:rPr>
      </w:pPr>
    </w:p>
    <w:p w:rsidR="004E5410" w:rsidRDefault="004E5410" w:rsidP="00931B66">
      <w:pPr>
        <w:spacing w:line="276" w:lineRule="auto"/>
        <w:rPr>
          <w:rFonts w:ascii="Times New Roman" w:hAnsi="Times New Roman"/>
          <w:b/>
          <w:sz w:val="24"/>
          <w:szCs w:val="24"/>
          <w:lang w:val="en-US"/>
        </w:rPr>
        <w:sectPr w:rsidR="004E5410" w:rsidSect="00977A02">
          <w:pgSz w:w="11906" w:h="16838"/>
          <w:pgMar w:top="1219" w:right="1418" w:bottom="1418" w:left="1418" w:header="284" w:footer="708" w:gutter="0"/>
          <w:cols w:space="708"/>
          <w:docGrid w:linePitch="360"/>
        </w:sectPr>
      </w:pPr>
    </w:p>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tblLayout w:type="fixed"/>
        <w:tblLook w:val="04A0" w:firstRow="1" w:lastRow="0" w:firstColumn="1" w:lastColumn="0" w:noHBand="0" w:noVBand="1"/>
      </w:tblPr>
      <w:tblGrid>
        <w:gridCol w:w="1418"/>
        <w:gridCol w:w="9498"/>
        <w:gridCol w:w="992"/>
      </w:tblGrid>
      <w:tr w:rsidR="002E7181" w:rsidTr="002E7181">
        <w:trPr>
          <w:trHeight w:val="756"/>
        </w:trPr>
        <w:tc>
          <w:tcPr>
            <w:tcW w:w="1418" w:type="dxa"/>
            <w:tcBorders>
              <w:right w:val="thinThickSmallGap" w:sz="24" w:space="0" w:color="FFFFFF" w:themeColor="background1"/>
            </w:tcBorders>
            <w:shd w:val="clear" w:color="auto" w:fill="92CDDC" w:themeFill="accent5" w:themeFillTint="99"/>
          </w:tcPr>
          <w:p w:rsidR="002E7181" w:rsidRPr="004E5410" w:rsidRDefault="002E7181" w:rsidP="009D164E">
            <w:pPr>
              <w:pStyle w:val="Titre1"/>
              <w:jc w:val="center"/>
              <w:outlineLvl w:val="0"/>
              <w:rPr>
                <w:rFonts w:ascii="Times New Roman" w:hAnsi="Times New Roman" w:cs="Times New Roman"/>
                <w:sz w:val="28"/>
                <w:szCs w:val="28"/>
                <w:lang w:val="en-US"/>
              </w:rPr>
            </w:pPr>
            <w:bookmarkStart w:id="215" w:name="_Toc343220991"/>
          </w:p>
        </w:tc>
        <w:tc>
          <w:tcPr>
            <w:tcW w:w="9498" w:type="dxa"/>
            <w:tcBorders>
              <w:top w:val="thinThickSmallGap" w:sz="24" w:space="0" w:color="FFFFFF" w:themeColor="background1"/>
              <w:left w:val="thinThickSmallGap" w:sz="24" w:space="0" w:color="FFFFFF" w:themeColor="background1"/>
              <w:bottom w:val="single" w:sz="4" w:space="0" w:color="92CDDC" w:themeColor="accent5" w:themeTint="99"/>
              <w:right w:val="single" w:sz="4" w:space="0" w:color="92CDDC" w:themeColor="accent5" w:themeTint="99"/>
            </w:tcBorders>
          </w:tcPr>
          <w:p w:rsidR="00CE79B0" w:rsidRDefault="002E7181" w:rsidP="007371E6">
            <w:pPr>
              <w:pStyle w:val="Titre1"/>
              <w:spacing w:before="0"/>
              <w:jc w:val="left"/>
              <w:outlineLvl w:val="0"/>
              <w:rPr>
                <w:rFonts w:ascii="Times New Roman" w:hAnsi="Times New Roman" w:cs="Times New Roman"/>
                <w:sz w:val="52"/>
                <w:szCs w:val="52"/>
              </w:rPr>
            </w:pPr>
            <w:bookmarkStart w:id="216" w:name="_Toc382322969"/>
            <w:r w:rsidRPr="00F92AF7">
              <w:rPr>
                <w:rFonts w:ascii="Times New Roman" w:hAnsi="Times New Roman" w:cs="Times New Roman"/>
                <w:sz w:val="52"/>
                <w:szCs w:val="52"/>
              </w:rPr>
              <w:t>A</w:t>
            </w:r>
            <w:r w:rsidR="00313BDC" w:rsidRPr="00F92AF7">
              <w:rPr>
                <w:rFonts w:ascii="Times New Roman" w:hAnsi="Times New Roman" w:cs="Times New Roman"/>
                <w:sz w:val="52"/>
                <w:szCs w:val="52"/>
              </w:rPr>
              <w:t>nnexes</w:t>
            </w:r>
            <w:bookmarkEnd w:id="216"/>
          </w:p>
        </w:tc>
        <w:tc>
          <w:tcPr>
            <w:tcW w:w="992" w:type="dxa"/>
            <w:tcBorders>
              <w:top w:val="single" w:sz="4" w:space="0" w:color="92CDDC" w:themeColor="accent5" w:themeTint="99"/>
              <w:left w:val="single" w:sz="4" w:space="0" w:color="92CDDC" w:themeColor="accent5" w:themeTint="99"/>
              <w:bottom w:val="single" w:sz="4" w:space="0" w:color="92CDDC" w:themeColor="accent5" w:themeTint="99"/>
            </w:tcBorders>
            <w:shd w:val="clear" w:color="auto" w:fill="92CDDC" w:themeFill="accent5" w:themeFillTint="99"/>
          </w:tcPr>
          <w:p w:rsidR="002E7181" w:rsidRPr="00E04E53" w:rsidRDefault="002E7181" w:rsidP="009D164E">
            <w:pPr>
              <w:pStyle w:val="Titre1"/>
              <w:spacing w:line="240" w:lineRule="auto"/>
              <w:jc w:val="center"/>
              <w:outlineLvl w:val="0"/>
              <w:rPr>
                <w:rFonts w:ascii="Times New Roman" w:hAnsi="Times New Roman" w:cs="Times New Roman"/>
                <w:sz w:val="52"/>
                <w:szCs w:val="52"/>
              </w:rPr>
            </w:pPr>
          </w:p>
        </w:tc>
      </w:tr>
    </w:tbl>
    <w:p w:rsidR="0031347F" w:rsidRPr="0031347F" w:rsidRDefault="0031347F" w:rsidP="00931B66">
      <w:pPr>
        <w:spacing w:line="276" w:lineRule="auto"/>
        <w:rPr>
          <w:rFonts w:ascii="Times New Roman" w:hAnsi="Times New Roman"/>
          <w:sz w:val="24"/>
          <w:szCs w:val="24"/>
        </w:rPr>
      </w:pPr>
    </w:p>
    <w:p w:rsidR="002E7181" w:rsidRPr="00910784" w:rsidRDefault="0031347F" w:rsidP="00910784">
      <w:pPr>
        <w:pStyle w:val="Titre2"/>
        <w:spacing w:before="0" w:after="0" w:line="240" w:lineRule="auto"/>
        <w:rPr>
          <w:rFonts w:ascii="Times New Roman" w:hAnsi="Times New Roman" w:cs="Times New Roman"/>
          <w:i w:val="0"/>
          <w:highlight w:val="yellow"/>
        </w:rPr>
      </w:pPr>
      <w:bookmarkStart w:id="217" w:name="_Toc382322970"/>
      <w:r w:rsidRPr="00910784">
        <w:rPr>
          <w:rFonts w:ascii="Times New Roman" w:hAnsi="Times New Roman" w:cs="Times New Roman"/>
          <w:i w:val="0"/>
        </w:rPr>
        <w:t>A1 : Présentation et analyse des données sur la pauvreté</w:t>
      </w:r>
      <w:bookmarkEnd w:id="217"/>
    </w:p>
    <w:bookmarkEnd w:id="215"/>
    <w:p w:rsidR="00910784" w:rsidRPr="00910784" w:rsidRDefault="00910784" w:rsidP="00910784">
      <w:pPr>
        <w:pStyle w:val="Titre3"/>
        <w:spacing w:before="0" w:line="240" w:lineRule="auto"/>
        <w:rPr>
          <w:rFonts w:ascii="Times New Roman" w:hAnsi="Times New Roman"/>
          <w:color w:val="auto"/>
          <w:sz w:val="24"/>
          <w:szCs w:val="24"/>
        </w:rPr>
      </w:pPr>
    </w:p>
    <w:p w:rsidR="00DE0355" w:rsidRPr="00910784" w:rsidRDefault="00A87A4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w:t>
      </w:r>
      <w:r w:rsidR="00DE0355" w:rsidRPr="00910784">
        <w:rPr>
          <w:rFonts w:ascii="Times New Roman" w:hAnsi="Times New Roman"/>
          <w:color w:val="auto"/>
          <w:sz w:val="28"/>
          <w:szCs w:val="28"/>
        </w:rPr>
        <w:t>.1</w:t>
      </w:r>
      <w:r w:rsidRPr="00910784">
        <w:rPr>
          <w:rFonts w:ascii="Times New Roman" w:hAnsi="Times New Roman"/>
          <w:color w:val="auto"/>
          <w:sz w:val="28"/>
          <w:szCs w:val="28"/>
        </w:rPr>
        <w:t>.1</w:t>
      </w:r>
      <w:r w:rsidR="00DE0355" w:rsidRPr="00910784">
        <w:rPr>
          <w:rFonts w:ascii="Times New Roman" w:hAnsi="Times New Roman"/>
          <w:color w:val="auto"/>
          <w:sz w:val="28"/>
          <w:szCs w:val="28"/>
        </w:rPr>
        <w:t xml:space="preserve"> Introduction</w:t>
      </w:r>
    </w:p>
    <w:p w:rsidR="00910784" w:rsidRPr="00910784" w:rsidRDefault="00910784" w:rsidP="00910784"/>
    <w:p w:rsidR="00DE0355" w:rsidRDefault="00DE0355" w:rsidP="00DE0355">
      <w:pPr>
        <w:spacing w:line="276" w:lineRule="auto"/>
        <w:rPr>
          <w:rFonts w:ascii="Times New Roman" w:hAnsi="Times New Roman"/>
          <w:sz w:val="24"/>
          <w:szCs w:val="24"/>
        </w:rPr>
      </w:pPr>
      <w:r w:rsidRPr="00B30ADF">
        <w:rPr>
          <w:rFonts w:ascii="Times New Roman" w:hAnsi="Times New Roman"/>
          <w:sz w:val="24"/>
          <w:szCs w:val="24"/>
        </w:rPr>
        <w:t xml:space="preserve">Ce chapitre </w:t>
      </w:r>
      <w:r w:rsidRPr="00B76D0A">
        <w:rPr>
          <w:rFonts w:ascii="Times New Roman" w:hAnsi="Times New Roman"/>
          <w:sz w:val="24"/>
          <w:szCs w:val="24"/>
        </w:rPr>
        <w:t>fait</w:t>
      </w:r>
      <w:r w:rsidRPr="00B30ADF">
        <w:rPr>
          <w:rFonts w:ascii="Times New Roman" w:hAnsi="Times New Roman"/>
          <w:sz w:val="24"/>
          <w:szCs w:val="24"/>
        </w:rPr>
        <w:t xml:space="preserve"> une revue</w:t>
      </w:r>
      <w:r w:rsidRPr="00B76D0A">
        <w:rPr>
          <w:rFonts w:ascii="Times New Roman" w:hAnsi="Times New Roman"/>
          <w:sz w:val="24"/>
          <w:szCs w:val="24"/>
        </w:rPr>
        <w:t xml:space="preserve"> succincte </w:t>
      </w:r>
      <w:r>
        <w:rPr>
          <w:rFonts w:ascii="Times New Roman" w:hAnsi="Times New Roman"/>
          <w:sz w:val="24"/>
          <w:szCs w:val="24"/>
        </w:rPr>
        <w:t xml:space="preserve">et une analyse des données collectées au Bénin pour appréhender le bien-être de la population. Elle part de l’expérience de </w:t>
      </w:r>
      <w:r w:rsidRPr="00E021FA">
        <w:rPr>
          <w:rFonts w:ascii="Times New Roman" w:hAnsi="Times New Roman"/>
          <w:sz w:val="24"/>
          <w:szCs w:val="24"/>
        </w:rPr>
        <w:t>l’Enquête Budget-</w:t>
      </w:r>
      <w:r>
        <w:rPr>
          <w:rFonts w:ascii="Times New Roman" w:hAnsi="Times New Roman"/>
          <w:sz w:val="24"/>
          <w:szCs w:val="24"/>
        </w:rPr>
        <w:t>Consommation (EBC) menée par l’Institut National de la Statistique et de l’Analyse Economique (INSAE) en 1986-1987 à celle de l’</w:t>
      </w:r>
      <w:r w:rsidRPr="007B43D0">
        <w:rPr>
          <w:rFonts w:ascii="Times New Roman" w:hAnsi="Times New Roman"/>
          <w:sz w:val="24"/>
          <w:szCs w:val="24"/>
        </w:rPr>
        <w:t>Enquête Modulaire Intégrée sur le</w:t>
      </w:r>
      <w:r>
        <w:rPr>
          <w:rFonts w:ascii="Times New Roman" w:hAnsi="Times New Roman"/>
          <w:sz w:val="24"/>
          <w:szCs w:val="24"/>
        </w:rPr>
        <w:t xml:space="preserve">s Conditions de Vie des ménages lancée à partir de 2006. </w:t>
      </w:r>
    </w:p>
    <w:p w:rsidR="00DE0355" w:rsidRDefault="00DE0355" w:rsidP="00DE0355">
      <w:pPr>
        <w:spacing w:line="276" w:lineRule="auto"/>
        <w:rPr>
          <w:rFonts w:ascii="Times New Roman" w:hAnsi="Times New Roman"/>
          <w:sz w:val="24"/>
          <w:szCs w:val="24"/>
        </w:rPr>
      </w:pPr>
    </w:p>
    <w:p w:rsidR="00DE0355" w:rsidRPr="009057F6" w:rsidRDefault="00DE0355" w:rsidP="00DE0355">
      <w:pPr>
        <w:spacing w:line="276" w:lineRule="auto"/>
        <w:rPr>
          <w:rFonts w:ascii="Times New Roman" w:hAnsi="Times New Roman"/>
          <w:sz w:val="24"/>
          <w:szCs w:val="24"/>
        </w:rPr>
      </w:pPr>
      <w:r w:rsidRPr="0046393B">
        <w:rPr>
          <w:rFonts w:ascii="Times New Roman" w:hAnsi="Times New Roman"/>
          <w:sz w:val="24"/>
          <w:szCs w:val="24"/>
        </w:rPr>
        <w:t xml:space="preserve">Il </w:t>
      </w:r>
      <w:r>
        <w:rPr>
          <w:rFonts w:ascii="Times New Roman" w:hAnsi="Times New Roman"/>
          <w:sz w:val="24"/>
          <w:szCs w:val="24"/>
        </w:rPr>
        <w:t xml:space="preserve">est structuré comme ci-après. Le premier point présente les sources de données. Le second point aborde la </w:t>
      </w:r>
      <w:r w:rsidRPr="00131982">
        <w:rPr>
          <w:rFonts w:ascii="Times New Roman" w:hAnsi="Times New Roman"/>
          <w:sz w:val="24"/>
          <w:szCs w:val="24"/>
        </w:rPr>
        <w:t>m</w:t>
      </w:r>
      <w:r w:rsidRPr="00B76D0A">
        <w:rPr>
          <w:rFonts w:ascii="Times New Roman" w:hAnsi="Times New Roman"/>
          <w:sz w:val="24"/>
          <w:szCs w:val="24"/>
        </w:rPr>
        <w:t>éthodologie de collecte des données utilisée</w:t>
      </w:r>
      <w:r>
        <w:rPr>
          <w:rFonts w:ascii="Times New Roman" w:hAnsi="Times New Roman"/>
          <w:sz w:val="24"/>
          <w:szCs w:val="24"/>
        </w:rPr>
        <w:t>s</w:t>
      </w:r>
      <w:r w:rsidRPr="00B76D0A">
        <w:rPr>
          <w:rFonts w:ascii="Times New Roman" w:hAnsi="Times New Roman"/>
          <w:sz w:val="24"/>
          <w:szCs w:val="24"/>
        </w:rPr>
        <w:t xml:space="preserve"> pour chaque source. Le troisième point </w:t>
      </w:r>
      <w:r>
        <w:rPr>
          <w:rFonts w:ascii="Times New Roman" w:hAnsi="Times New Roman"/>
          <w:sz w:val="24"/>
          <w:szCs w:val="24"/>
        </w:rPr>
        <w:t xml:space="preserve">traite de </w:t>
      </w:r>
      <w:r w:rsidRPr="00B76D0A">
        <w:rPr>
          <w:rFonts w:ascii="Times New Roman" w:hAnsi="Times New Roman"/>
          <w:sz w:val="24"/>
          <w:szCs w:val="24"/>
        </w:rPr>
        <w:t>la</w:t>
      </w:r>
      <w:r>
        <w:rPr>
          <w:rFonts w:ascii="Times New Roman" w:hAnsi="Times New Roman"/>
          <w:b/>
          <w:sz w:val="24"/>
          <w:szCs w:val="24"/>
        </w:rPr>
        <w:t xml:space="preserve"> c</w:t>
      </w:r>
      <w:r w:rsidRPr="009057F6">
        <w:rPr>
          <w:rFonts w:ascii="Times New Roman" w:hAnsi="Times New Roman"/>
          <w:sz w:val="24"/>
          <w:szCs w:val="24"/>
        </w:rPr>
        <w:t>omparabilité des données des différentes éditions de l’enquête EMICoV</w:t>
      </w:r>
      <w:r>
        <w:rPr>
          <w:rFonts w:ascii="Times New Roman" w:hAnsi="Times New Roman"/>
          <w:sz w:val="24"/>
          <w:szCs w:val="24"/>
        </w:rPr>
        <w:t>. Enfin, le quatrième et le cinquième point discutent de la d</w:t>
      </w:r>
      <w:r w:rsidRPr="009057F6">
        <w:rPr>
          <w:rFonts w:ascii="Times New Roman" w:hAnsi="Times New Roman"/>
          <w:sz w:val="24"/>
          <w:szCs w:val="24"/>
        </w:rPr>
        <w:t>étermination des seuils de pauvreté</w:t>
      </w:r>
      <w:r>
        <w:rPr>
          <w:rFonts w:ascii="Times New Roman" w:hAnsi="Times New Roman"/>
          <w:sz w:val="24"/>
          <w:szCs w:val="24"/>
        </w:rPr>
        <w:t xml:space="preserve"> et de l’a</w:t>
      </w:r>
      <w:r w:rsidRPr="009057F6">
        <w:rPr>
          <w:rFonts w:ascii="Times New Roman" w:hAnsi="Times New Roman"/>
          <w:sz w:val="24"/>
          <w:szCs w:val="24"/>
        </w:rPr>
        <w:t xml:space="preserve">justement des données et </w:t>
      </w:r>
      <w:r>
        <w:rPr>
          <w:rFonts w:ascii="Times New Roman" w:hAnsi="Times New Roman"/>
          <w:sz w:val="24"/>
          <w:szCs w:val="24"/>
        </w:rPr>
        <w:t xml:space="preserve">du </w:t>
      </w:r>
      <w:r w:rsidRPr="009057F6">
        <w:rPr>
          <w:rFonts w:ascii="Times New Roman" w:hAnsi="Times New Roman"/>
          <w:sz w:val="24"/>
          <w:szCs w:val="24"/>
        </w:rPr>
        <w:t>calcul des indicateurs de niveau de vie</w:t>
      </w:r>
      <w:r>
        <w:rPr>
          <w:rFonts w:ascii="Times New Roman" w:hAnsi="Times New Roman"/>
          <w:sz w:val="24"/>
          <w:szCs w:val="24"/>
        </w:rPr>
        <w:t>.</w:t>
      </w:r>
    </w:p>
    <w:p w:rsidR="00DE0355" w:rsidRDefault="00DE0355" w:rsidP="00DE0355">
      <w:pPr>
        <w:spacing w:line="276" w:lineRule="auto"/>
        <w:rPr>
          <w:rFonts w:ascii="Times New Roman" w:hAnsi="Times New Roman"/>
          <w:sz w:val="24"/>
          <w:szCs w:val="24"/>
        </w:rPr>
      </w:pPr>
    </w:p>
    <w:p w:rsidR="00DE0355" w:rsidRPr="00910784" w:rsidRDefault="00A87A4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w:t>
      </w:r>
      <w:r w:rsidR="00DE0355" w:rsidRPr="00910784">
        <w:rPr>
          <w:rFonts w:ascii="Times New Roman" w:hAnsi="Times New Roman"/>
          <w:color w:val="auto"/>
          <w:sz w:val="28"/>
          <w:szCs w:val="28"/>
        </w:rPr>
        <w:t>.</w:t>
      </w:r>
      <w:r w:rsidRPr="00910784">
        <w:rPr>
          <w:rFonts w:ascii="Times New Roman" w:hAnsi="Times New Roman"/>
          <w:color w:val="auto"/>
          <w:sz w:val="28"/>
          <w:szCs w:val="28"/>
        </w:rPr>
        <w:t>1.</w:t>
      </w:r>
      <w:r w:rsidR="00DE0355" w:rsidRPr="00910784">
        <w:rPr>
          <w:rFonts w:ascii="Times New Roman" w:hAnsi="Times New Roman"/>
          <w:color w:val="auto"/>
          <w:sz w:val="28"/>
          <w:szCs w:val="28"/>
        </w:rPr>
        <w:t>2 Présentation des sources des données</w:t>
      </w:r>
    </w:p>
    <w:p w:rsidR="00910784" w:rsidRDefault="00910784" w:rsidP="00DE0355">
      <w:pPr>
        <w:spacing w:line="276" w:lineRule="auto"/>
        <w:rPr>
          <w:rFonts w:ascii="Times New Roman" w:hAnsi="Times New Roman"/>
          <w:sz w:val="24"/>
          <w:szCs w:val="24"/>
        </w:rPr>
      </w:pPr>
    </w:p>
    <w:p w:rsidR="00DE0355" w:rsidRPr="007B43D0" w:rsidRDefault="00DE0355" w:rsidP="00DE0355">
      <w:pPr>
        <w:spacing w:line="276" w:lineRule="auto"/>
        <w:rPr>
          <w:rFonts w:ascii="Times New Roman" w:hAnsi="Times New Roman"/>
          <w:sz w:val="24"/>
          <w:szCs w:val="24"/>
        </w:rPr>
      </w:pPr>
      <w:r w:rsidRPr="007B43D0">
        <w:rPr>
          <w:rFonts w:ascii="Times New Roman" w:hAnsi="Times New Roman"/>
          <w:sz w:val="24"/>
          <w:szCs w:val="24"/>
        </w:rPr>
        <w:t xml:space="preserve">Le Bénin dispose d’un ensemble de base de données sur la mesure du bien-être, depuis </w:t>
      </w:r>
      <w:r w:rsidRPr="00E021FA">
        <w:rPr>
          <w:rFonts w:ascii="Times New Roman" w:hAnsi="Times New Roman"/>
          <w:sz w:val="24"/>
          <w:szCs w:val="24"/>
        </w:rPr>
        <w:t>l’Enquête Budget-</w:t>
      </w:r>
      <w:r>
        <w:rPr>
          <w:rFonts w:ascii="Times New Roman" w:hAnsi="Times New Roman"/>
          <w:sz w:val="24"/>
          <w:szCs w:val="24"/>
        </w:rPr>
        <w:t xml:space="preserve">Consommation (EBC) menée en 1986-1987. Cette première expérience est suivie </w:t>
      </w:r>
      <w:r w:rsidRPr="00DE4FAA">
        <w:rPr>
          <w:rFonts w:ascii="Times New Roman" w:hAnsi="Times New Roman"/>
          <w:sz w:val="24"/>
          <w:szCs w:val="24"/>
        </w:rPr>
        <w:t>des enquêtes légères auprès des ménages urbains (ELAM)</w:t>
      </w:r>
      <w:r w:rsidR="00F970F2">
        <w:rPr>
          <w:rFonts w:ascii="Times New Roman" w:hAnsi="Times New Roman"/>
          <w:sz w:val="24"/>
          <w:szCs w:val="24"/>
        </w:rPr>
        <w:t xml:space="preserve">. Ensuite viennent : </w:t>
      </w:r>
      <w:r w:rsidRPr="00DE4FAA">
        <w:rPr>
          <w:rFonts w:ascii="Times New Roman" w:hAnsi="Times New Roman"/>
          <w:sz w:val="24"/>
          <w:szCs w:val="24"/>
        </w:rPr>
        <w:t>des enquêtes sur les conditions de vie en milieu rural (ECVR), l’enquête QUIBB développée par la Banque Mondiale (BM) et enfin de l’enquête modulaire intégrée sur les conditions de vie des ménages (EMICoV).</w:t>
      </w:r>
    </w:p>
    <w:p w:rsidR="00DE0355" w:rsidRPr="00847682" w:rsidRDefault="00DE0355" w:rsidP="00DE0355">
      <w:pPr>
        <w:spacing w:line="276" w:lineRule="auto"/>
        <w:rPr>
          <w:rFonts w:ascii="Times New Roman" w:hAnsi="Times New Roman"/>
          <w:b/>
          <w:sz w:val="24"/>
          <w:szCs w:val="24"/>
        </w:rPr>
      </w:pPr>
    </w:p>
    <w:p w:rsidR="00DE0355" w:rsidRPr="00847682" w:rsidRDefault="00DE0355" w:rsidP="00DE0355">
      <w:pPr>
        <w:spacing w:line="276" w:lineRule="auto"/>
        <w:rPr>
          <w:rFonts w:ascii="Times New Roman" w:hAnsi="Times New Roman"/>
          <w:sz w:val="24"/>
          <w:szCs w:val="24"/>
        </w:rPr>
      </w:pPr>
      <w:r w:rsidRPr="00B76D0A">
        <w:rPr>
          <w:rFonts w:ascii="Times New Roman" w:hAnsi="Times New Roman"/>
          <w:b/>
          <w:sz w:val="24"/>
          <w:szCs w:val="24"/>
        </w:rPr>
        <w:t>L’Enquête Budget-Consommation (EBC)</w:t>
      </w:r>
      <w:r w:rsidR="00313BDC">
        <w:rPr>
          <w:rFonts w:ascii="Times New Roman" w:hAnsi="Times New Roman"/>
          <w:b/>
          <w:sz w:val="24"/>
          <w:szCs w:val="24"/>
        </w:rPr>
        <w:t xml:space="preserve"> </w:t>
      </w:r>
      <w:r w:rsidRPr="00B76D0A">
        <w:rPr>
          <w:rFonts w:ascii="Times New Roman" w:hAnsi="Times New Roman"/>
          <w:sz w:val="24"/>
          <w:szCs w:val="24"/>
        </w:rPr>
        <w:t>est la première enquête auprès des ménages</w:t>
      </w:r>
      <w:r w:rsidR="003278C9">
        <w:rPr>
          <w:rFonts w:ascii="Times New Roman" w:hAnsi="Times New Roman"/>
          <w:sz w:val="24"/>
          <w:szCs w:val="24"/>
        </w:rPr>
        <w:t xml:space="preserve"> qui</w:t>
      </w:r>
      <w:r w:rsidRPr="00B76D0A">
        <w:rPr>
          <w:rFonts w:ascii="Times New Roman" w:hAnsi="Times New Roman"/>
          <w:sz w:val="24"/>
          <w:szCs w:val="24"/>
        </w:rPr>
        <w:t xml:space="preserve"> a été menée en 1986 et 1987 </w:t>
      </w:r>
      <w:r w:rsidR="003278C9">
        <w:rPr>
          <w:rFonts w:ascii="Times New Roman" w:hAnsi="Times New Roman"/>
          <w:sz w:val="24"/>
          <w:szCs w:val="24"/>
        </w:rPr>
        <w:t xml:space="preserve">et </w:t>
      </w:r>
      <w:r w:rsidRPr="00B76D0A">
        <w:rPr>
          <w:rFonts w:ascii="Times New Roman" w:hAnsi="Times New Roman"/>
          <w:sz w:val="24"/>
          <w:szCs w:val="24"/>
        </w:rPr>
        <w:t xml:space="preserve">a couvert le niveau national. Son </w:t>
      </w:r>
      <w:r>
        <w:rPr>
          <w:rFonts w:ascii="Times New Roman" w:hAnsi="Times New Roman"/>
          <w:sz w:val="24"/>
          <w:szCs w:val="24"/>
        </w:rPr>
        <w:t xml:space="preserve">objectif était de </w:t>
      </w:r>
      <w:r w:rsidRPr="00B76D0A">
        <w:rPr>
          <w:rFonts w:ascii="Times New Roman" w:hAnsi="Times New Roman"/>
          <w:sz w:val="24"/>
          <w:szCs w:val="24"/>
        </w:rPr>
        <w:t>permettre une connaissance précise, d’une part des ressources dont disposent les ménages, et d’autre part de l’usage qu’ils en font.</w:t>
      </w:r>
      <w:r>
        <w:rPr>
          <w:rFonts w:ascii="Times New Roman" w:hAnsi="Times New Roman"/>
          <w:sz w:val="24"/>
          <w:szCs w:val="24"/>
        </w:rPr>
        <w:t xml:space="preserve"> Ensuite viennent</w:t>
      </w:r>
      <w:r w:rsidR="003278C9">
        <w:rPr>
          <w:rFonts w:ascii="Times New Roman" w:hAnsi="Times New Roman"/>
          <w:sz w:val="24"/>
          <w:szCs w:val="24"/>
        </w:rPr>
        <w:t xml:space="preserve"> : </w:t>
      </w:r>
    </w:p>
    <w:p w:rsidR="00DE0355" w:rsidRDefault="00DE0355" w:rsidP="00DE0355">
      <w:pPr>
        <w:spacing w:line="276" w:lineRule="auto"/>
        <w:rPr>
          <w:rFonts w:ascii="Times New Roman" w:hAnsi="Times New Roman"/>
          <w:sz w:val="24"/>
          <w:szCs w:val="24"/>
          <w:highlight w:val="yellow"/>
        </w:rPr>
      </w:pPr>
    </w:p>
    <w:p w:rsidR="00DE0355" w:rsidRPr="00D977F4" w:rsidRDefault="00DE0355" w:rsidP="00DE0355">
      <w:pPr>
        <w:spacing w:line="276" w:lineRule="auto"/>
        <w:rPr>
          <w:rFonts w:ascii="Times New Roman" w:hAnsi="Times New Roman"/>
          <w:sz w:val="24"/>
          <w:szCs w:val="24"/>
          <w:highlight w:val="yellow"/>
        </w:rPr>
      </w:pPr>
      <w:r w:rsidRPr="00B76D0A">
        <w:rPr>
          <w:rFonts w:ascii="Times New Roman" w:hAnsi="Times New Roman"/>
          <w:b/>
          <w:sz w:val="24"/>
          <w:szCs w:val="24"/>
        </w:rPr>
        <w:t>Les Enquêtes Légères Auprès des Ménages Urbains (ELAM)</w:t>
      </w:r>
      <w:r>
        <w:rPr>
          <w:rFonts w:ascii="Times New Roman" w:hAnsi="Times New Roman"/>
          <w:sz w:val="24"/>
          <w:szCs w:val="24"/>
        </w:rPr>
        <w:t xml:space="preserve"> ont été</w:t>
      </w:r>
      <w:r w:rsidRPr="007B43D0">
        <w:rPr>
          <w:rFonts w:ascii="Times New Roman" w:hAnsi="Times New Roman"/>
          <w:sz w:val="24"/>
          <w:szCs w:val="24"/>
        </w:rPr>
        <w:t xml:space="preserve"> initiées</w:t>
      </w:r>
      <w:r>
        <w:rPr>
          <w:rFonts w:ascii="Times New Roman" w:hAnsi="Times New Roman"/>
          <w:sz w:val="24"/>
          <w:szCs w:val="24"/>
        </w:rPr>
        <w:t xml:space="preserve"> en 1990 par l’INSAE et le Programme des Nations pour le Développement (PNUD). E</w:t>
      </w:r>
      <w:r w:rsidRPr="007B43D0">
        <w:rPr>
          <w:rFonts w:ascii="Times New Roman" w:hAnsi="Times New Roman"/>
          <w:sz w:val="24"/>
          <w:szCs w:val="24"/>
        </w:rPr>
        <w:t>lles répondent à une situation de crise économique commencée en 1982 avec les mesures</w:t>
      </w:r>
      <w:r>
        <w:rPr>
          <w:rFonts w:ascii="Times New Roman" w:hAnsi="Times New Roman"/>
          <w:sz w:val="24"/>
          <w:szCs w:val="24"/>
        </w:rPr>
        <w:t xml:space="preserve"> de compression</w:t>
      </w:r>
      <w:r w:rsidRPr="007B43D0">
        <w:rPr>
          <w:rFonts w:ascii="Times New Roman" w:hAnsi="Times New Roman"/>
          <w:sz w:val="24"/>
          <w:szCs w:val="24"/>
        </w:rPr>
        <w:t xml:space="preserve"> des effectifs des entreprises publiques et parapubliques. Les obj</w:t>
      </w:r>
      <w:r>
        <w:rPr>
          <w:rFonts w:ascii="Times New Roman" w:hAnsi="Times New Roman"/>
          <w:sz w:val="24"/>
          <w:szCs w:val="24"/>
        </w:rPr>
        <w:t>ectifs principaux de l’ELAM étaient</w:t>
      </w:r>
      <w:r w:rsidRPr="007B43D0">
        <w:rPr>
          <w:rFonts w:ascii="Times New Roman" w:hAnsi="Times New Roman"/>
          <w:sz w:val="24"/>
          <w:szCs w:val="24"/>
        </w:rPr>
        <w:t xml:space="preserve"> le suivi des caractéristiques et des comportements des ménages urbains en situation d’ajustement structurel. L’analyse de la pauvreté à partir des dépenses globa</w:t>
      </w:r>
      <w:r>
        <w:rPr>
          <w:rFonts w:ascii="Times New Roman" w:hAnsi="Times New Roman"/>
          <w:sz w:val="24"/>
          <w:szCs w:val="24"/>
        </w:rPr>
        <w:t xml:space="preserve">les sans loyers fictifs qui était </w:t>
      </w:r>
      <w:r w:rsidRPr="007B43D0">
        <w:rPr>
          <w:rFonts w:ascii="Times New Roman" w:hAnsi="Times New Roman"/>
          <w:sz w:val="24"/>
          <w:szCs w:val="24"/>
        </w:rPr>
        <w:t xml:space="preserve">un des objectifs </w:t>
      </w:r>
      <w:r>
        <w:rPr>
          <w:rFonts w:ascii="Times New Roman" w:hAnsi="Times New Roman"/>
          <w:sz w:val="24"/>
          <w:szCs w:val="24"/>
        </w:rPr>
        <w:t xml:space="preserve">spécifiques de l’ELAM, a été intégrée à l’enquête à partir de la </w:t>
      </w:r>
      <w:r w:rsidRPr="00B76D0A">
        <w:rPr>
          <w:rFonts w:ascii="Times New Roman" w:hAnsi="Times New Roman"/>
          <w:sz w:val="24"/>
          <w:szCs w:val="24"/>
        </w:rPr>
        <w:t>deuxième édition de l’année 1996</w:t>
      </w:r>
      <w:r>
        <w:rPr>
          <w:rFonts w:ascii="Times New Roman" w:hAnsi="Times New Roman"/>
          <w:sz w:val="24"/>
          <w:szCs w:val="24"/>
        </w:rPr>
        <w:t>, soit ELAM 6.</w:t>
      </w:r>
      <w:r w:rsidR="00F970F2">
        <w:rPr>
          <w:rFonts w:ascii="Times New Roman" w:hAnsi="Times New Roman"/>
          <w:sz w:val="24"/>
          <w:szCs w:val="24"/>
        </w:rPr>
        <w:t xml:space="preserve"> </w:t>
      </w:r>
      <w:r>
        <w:rPr>
          <w:rFonts w:ascii="Times New Roman" w:hAnsi="Times New Roman"/>
          <w:sz w:val="24"/>
          <w:szCs w:val="24"/>
        </w:rPr>
        <w:t>L’échantillon des villes couvertes est passé de deux</w:t>
      </w:r>
      <w:r w:rsidR="00F970F2">
        <w:rPr>
          <w:rFonts w:ascii="Times New Roman" w:hAnsi="Times New Roman"/>
          <w:sz w:val="24"/>
          <w:szCs w:val="24"/>
        </w:rPr>
        <w:t xml:space="preserve"> </w:t>
      </w:r>
      <w:r w:rsidRPr="007B43D0">
        <w:rPr>
          <w:rFonts w:ascii="Times New Roman" w:hAnsi="Times New Roman"/>
          <w:sz w:val="24"/>
          <w:szCs w:val="24"/>
        </w:rPr>
        <w:t xml:space="preserve">(Cotonou et Parakou) </w:t>
      </w:r>
      <w:r>
        <w:rPr>
          <w:rFonts w:ascii="Times New Roman" w:hAnsi="Times New Roman"/>
          <w:sz w:val="24"/>
          <w:szCs w:val="24"/>
        </w:rPr>
        <w:t xml:space="preserve">de </w:t>
      </w:r>
      <w:r w:rsidRPr="007B43D0">
        <w:rPr>
          <w:rFonts w:ascii="Times New Roman" w:hAnsi="Times New Roman"/>
          <w:sz w:val="24"/>
          <w:szCs w:val="24"/>
        </w:rPr>
        <w:t>1992-1993, à cinq villes (Cotonou, Parakou, Porto-Novo, Bohicon et Abom</w:t>
      </w:r>
      <w:r>
        <w:rPr>
          <w:rFonts w:ascii="Times New Roman" w:hAnsi="Times New Roman"/>
          <w:sz w:val="24"/>
          <w:szCs w:val="24"/>
        </w:rPr>
        <w:t>e</w:t>
      </w:r>
      <w:r w:rsidRPr="007B43D0">
        <w:rPr>
          <w:rFonts w:ascii="Times New Roman" w:hAnsi="Times New Roman"/>
          <w:sz w:val="24"/>
          <w:szCs w:val="24"/>
        </w:rPr>
        <w:t>y)</w:t>
      </w:r>
      <w:r>
        <w:rPr>
          <w:rFonts w:ascii="Times New Roman" w:hAnsi="Times New Roman"/>
          <w:sz w:val="24"/>
          <w:szCs w:val="24"/>
        </w:rPr>
        <w:t xml:space="preserve"> pour l’édition de 1996. En 1999, cet échantillon a été élargi à six autres villes (</w:t>
      </w:r>
      <w:r w:rsidRPr="00B76D0A">
        <w:rPr>
          <w:rFonts w:ascii="Times New Roman" w:hAnsi="Times New Roman"/>
          <w:sz w:val="24"/>
          <w:szCs w:val="24"/>
        </w:rPr>
        <w:t>Kandi, Natitingou, Djougou, Ouidah, Lokossa et Aplahoué)</w:t>
      </w:r>
      <w:r>
        <w:rPr>
          <w:rFonts w:ascii="Times New Roman" w:hAnsi="Times New Roman"/>
          <w:sz w:val="24"/>
          <w:szCs w:val="24"/>
        </w:rPr>
        <w:t>.</w:t>
      </w:r>
      <w:r w:rsidR="003278C9">
        <w:rPr>
          <w:rFonts w:ascii="Times New Roman" w:hAnsi="Times New Roman"/>
          <w:sz w:val="24"/>
          <w:szCs w:val="24"/>
        </w:rPr>
        <w:t xml:space="preserve"> </w:t>
      </w:r>
      <w:r w:rsidRPr="00B76D0A">
        <w:rPr>
          <w:rFonts w:ascii="Times New Roman" w:hAnsi="Times New Roman"/>
          <w:sz w:val="24"/>
          <w:szCs w:val="24"/>
        </w:rPr>
        <w:t>Les enquêtes de 1996 et 1999 ont utilisé des modules de questionnaires différents de ceux des enquêtes précédentes, pour obtenir des informations spécifiques sur la consommation et les activités économiques des ménages, ainsi que sur les informations socio</w:t>
      </w:r>
      <w:r w:rsidR="003278C9">
        <w:rPr>
          <w:rFonts w:ascii="Times New Roman" w:hAnsi="Times New Roman"/>
          <w:sz w:val="24"/>
          <w:szCs w:val="24"/>
        </w:rPr>
        <w:t>-</w:t>
      </w:r>
      <w:r w:rsidRPr="00B76D0A">
        <w:rPr>
          <w:rFonts w:ascii="Times New Roman" w:hAnsi="Times New Roman"/>
          <w:sz w:val="24"/>
          <w:szCs w:val="24"/>
        </w:rPr>
        <w:t>économiques contextuelles.</w:t>
      </w:r>
    </w:p>
    <w:p w:rsidR="00DE0355" w:rsidRDefault="00DE0355" w:rsidP="00DE0355">
      <w:pPr>
        <w:spacing w:line="276" w:lineRule="auto"/>
        <w:rPr>
          <w:rFonts w:ascii="Times New Roman" w:hAnsi="Times New Roman"/>
          <w:sz w:val="24"/>
          <w:szCs w:val="24"/>
        </w:rPr>
      </w:pPr>
    </w:p>
    <w:p w:rsidR="00DE0355" w:rsidRPr="007B43D0" w:rsidRDefault="00DE0355" w:rsidP="00DE0355">
      <w:pPr>
        <w:spacing w:line="276" w:lineRule="auto"/>
        <w:rPr>
          <w:rFonts w:ascii="Times New Roman" w:hAnsi="Times New Roman"/>
          <w:sz w:val="24"/>
          <w:szCs w:val="24"/>
        </w:rPr>
      </w:pPr>
      <w:r>
        <w:rPr>
          <w:rFonts w:ascii="Times New Roman" w:hAnsi="Times New Roman"/>
          <w:sz w:val="24"/>
          <w:szCs w:val="24"/>
        </w:rPr>
        <w:t xml:space="preserve">Ainsi, sur  le plan conceptuel, deux générations d’enquête ELAM peuvent être distinguées : </w:t>
      </w:r>
    </w:p>
    <w:p w:rsidR="00DE0355" w:rsidRPr="007B43D0" w:rsidRDefault="00DE0355" w:rsidP="00DE0355">
      <w:pPr>
        <w:spacing w:line="276" w:lineRule="auto"/>
        <w:rPr>
          <w:rFonts w:ascii="Times New Roman" w:hAnsi="Times New Roman"/>
          <w:sz w:val="24"/>
          <w:szCs w:val="24"/>
        </w:rPr>
      </w:pPr>
    </w:p>
    <w:p w:rsidR="00DE0355" w:rsidRPr="003E3192" w:rsidRDefault="00DE0355" w:rsidP="00930D19">
      <w:pPr>
        <w:pStyle w:val="Paragraphedeliste"/>
        <w:numPr>
          <w:ilvl w:val="0"/>
          <w:numId w:val="2"/>
        </w:numPr>
        <w:spacing w:line="276" w:lineRule="auto"/>
        <w:rPr>
          <w:rFonts w:ascii="Times New Roman" w:hAnsi="Times New Roman"/>
          <w:sz w:val="24"/>
          <w:szCs w:val="24"/>
        </w:rPr>
      </w:pPr>
      <w:r w:rsidRPr="00B76D0A">
        <w:rPr>
          <w:rFonts w:ascii="Times New Roman" w:hAnsi="Times New Roman"/>
          <w:b/>
          <w:sz w:val="24"/>
          <w:szCs w:val="24"/>
        </w:rPr>
        <w:t>Première génération (1990 à 1994)</w:t>
      </w:r>
      <w:r>
        <w:rPr>
          <w:rFonts w:ascii="Times New Roman" w:hAnsi="Times New Roman"/>
          <w:sz w:val="24"/>
          <w:szCs w:val="24"/>
        </w:rPr>
        <w:t xml:space="preserve"> : </w:t>
      </w:r>
      <w:r w:rsidRPr="00B76D0A">
        <w:rPr>
          <w:rFonts w:ascii="Times New Roman" w:hAnsi="Times New Roman"/>
          <w:sz w:val="24"/>
          <w:szCs w:val="24"/>
        </w:rPr>
        <w:t xml:space="preserve">Elle </w:t>
      </w:r>
      <w:r>
        <w:rPr>
          <w:rFonts w:ascii="Times New Roman" w:hAnsi="Times New Roman"/>
          <w:sz w:val="24"/>
          <w:szCs w:val="24"/>
        </w:rPr>
        <w:t xml:space="preserve">a porté </w:t>
      </w:r>
      <w:r w:rsidRPr="00B76D0A">
        <w:rPr>
          <w:rFonts w:ascii="Times New Roman" w:hAnsi="Times New Roman"/>
          <w:sz w:val="24"/>
          <w:szCs w:val="24"/>
        </w:rPr>
        <w:t>sur</w:t>
      </w:r>
      <w:r>
        <w:rPr>
          <w:rFonts w:ascii="Times New Roman" w:hAnsi="Times New Roman"/>
          <w:sz w:val="24"/>
          <w:szCs w:val="24"/>
        </w:rPr>
        <w:t xml:space="preserve"> l’identification de groupes considérés a priori comme particulièrement vulnérables à partir de la connaissance de terrain. Deux types d’échantillons sont mis en place : l’un porte sur les ménages tirés aléatoirement parmi les quartiers défavorisés des villes retenues et l’autre porte sur les individus appartenant aux groupes vulnérables pré-identifiés à partir de listes administratives (des jeunes diplômés sans emploi, des licenciés d’entreprises publiques et parapubliques, etc.).</w:t>
      </w:r>
    </w:p>
    <w:p w:rsidR="00DE0355" w:rsidRPr="001622BD" w:rsidRDefault="00DE0355" w:rsidP="00DE0355">
      <w:pPr>
        <w:pStyle w:val="Paragraphedeliste"/>
        <w:spacing w:line="276" w:lineRule="auto"/>
        <w:rPr>
          <w:rFonts w:ascii="Times New Roman" w:hAnsi="Times New Roman"/>
          <w:sz w:val="24"/>
          <w:szCs w:val="24"/>
        </w:rPr>
      </w:pPr>
    </w:p>
    <w:p w:rsidR="00DE0355" w:rsidRPr="001622BD" w:rsidRDefault="00DE0355" w:rsidP="00930D19">
      <w:pPr>
        <w:pStyle w:val="Paragraphedeliste"/>
        <w:numPr>
          <w:ilvl w:val="0"/>
          <w:numId w:val="2"/>
        </w:numPr>
        <w:spacing w:line="276" w:lineRule="auto"/>
        <w:rPr>
          <w:rFonts w:ascii="Times New Roman" w:hAnsi="Times New Roman"/>
          <w:sz w:val="24"/>
          <w:szCs w:val="24"/>
        </w:rPr>
      </w:pPr>
      <w:r w:rsidRPr="00B76D0A">
        <w:rPr>
          <w:rFonts w:ascii="Times New Roman" w:hAnsi="Times New Roman"/>
          <w:b/>
          <w:sz w:val="24"/>
          <w:szCs w:val="24"/>
        </w:rPr>
        <w:t>Deuxième génération (à partir de 1995)</w:t>
      </w:r>
      <w:r w:rsidRPr="001622BD">
        <w:rPr>
          <w:rFonts w:ascii="Times New Roman" w:hAnsi="Times New Roman"/>
          <w:sz w:val="24"/>
          <w:szCs w:val="24"/>
        </w:rPr>
        <w:t xml:space="preserve"> : </w:t>
      </w:r>
      <w:r>
        <w:rPr>
          <w:rFonts w:ascii="Times New Roman" w:hAnsi="Times New Roman"/>
          <w:sz w:val="24"/>
          <w:szCs w:val="24"/>
        </w:rPr>
        <w:t xml:space="preserve">Elle a été orientée sur le sous-échantillon des ménages en raison des </w:t>
      </w:r>
      <w:r w:rsidRPr="001622BD">
        <w:rPr>
          <w:rFonts w:ascii="Times New Roman" w:hAnsi="Times New Roman"/>
          <w:sz w:val="24"/>
          <w:szCs w:val="24"/>
        </w:rPr>
        <w:t xml:space="preserve"> difficultés de rencontrer des groupes vulnérables à partir des listes</w:t>
      </w:r>
      <w:r>
        <w:rPr>
          <w:rFonts w:ascii="Times New Roman" w:hAnsi="Times New Roman"/>
          <w:sz w:val="24"/>
          <w:szCs w:val="24"/>
        </w:rPr>
        <w:t xml:space="preserve"> administratives. </w:t>
      </w:r>
      <w:r w:rsidRPr="001622BD">
        <w:rPr>
          <w:rFonts w:ascii="Times New Roman" w:hAnsi="Times New Roman"/>
          <w:sz w:val="24"/>
          <w:szCs w:val="24"/>
        </w:rPr>
        <w:t>A partir de 1995 les ELAM connaissent deux passages par an.</w:t>
      </w:r>
    </w:p>
    <w:p w:rsidR="00DE0355" w:rsidRPr="007B43D0"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B76D0A">
        <w:rPr>
          <w:rFonts w:ascii="Times New Roman" w:hAnsi="Times New Roman"/>
          <w:b/>
          <w:sz w:val="24"/>
          <w:szCs w:val="24"/>
        </w:rPr>
        <w:t>L’Enquête sur les Conditions de Vie en Milieu Rural (ECVR)</w:t>
      </w:r>
      <w:r w:rsidR="00313BDC">
        <w:rPr>
          <w:rFonts w:ascii="Times New Roman" w:hAnsi="Times New Roman"/>
          <w:b/>
          <w:sz w:val="24"/>
          <w:szCs w:val="24"/>
        </w:rPr>
        <w:t xml:space="preserve"> </w:t>
      </w:r>
      <w:r>
        <w:rPr>
          <w:rFonts w:ascii="Times New Roman" w:hAnsi="Times New Roman"/>
          <w:sz w:val="24"/>
          <w:szCs w:val="24"/>
        </w:rPr>
        <w:t>est</w:t>
      </w:r>
      <w:r w:rsidR="00313BDC">
        <w:rPr>
          <w:rFonts w:ascii="Times New Roman" w:hAnsi="Times New Roman"/>
          <w:sz w:val="24"/>
          <w:szCs w:val="24"/>
        </w:rPr>
        <w:t xml:space="preserve"> </w:t>
      </w:r>
      <w:r w:rsidRPr="00B76D0A">
        <w:rPr>
          <w:rFonts w:ascii="Times New Roman" w:hAnsi="Times New Roman"/>
          <w:sz w:val="24"/>
          <w:szCs w:val="24"/>
        </w:rPr>
        <w:t xml:space="preserve">l’équivalent des enquêtes ELAM en milieu rural. </w:t>
      </w:r>
      <w:r>
        <w:rPr>
          <w:rFonts w:ascii="Times New Roman" w:hAnsi="Times New Roman"/>
          <w:sz w:val="24"/>
          <w:szCs w:val="24"/>
        </w:rPr>
        <w:t xml:space="preserve">Elle </w:t>
      </w:r>
      <w:r w:rsidRPr="00B76D0A">
        <w:rPr>
          <w:rFonts w:ascii="Times New Roman" w:hAnsi="Times New Roman"/>
          <w:sz w:val="24"/>
          <w:szCs w:val="24"/>
        </w:rPr>
        <w:t>a été faite en 1994/1995 puis en 1999/2000</w:t>
      </w:r>
      <w:r>
        <w:rPr>
          <w:rFonts w:ascii="Times New Roman" w:hAnsi="Times New Roman"/>
          <w:sz w:val="24"/>
          <w:szCs w:val="24"/>
        </w:rPr>
        <w:t xml:space="preserve"> sous la </w:t>
      </w:r>
      <w:r w:rsidRPr="00B76D0A">
        <w:rPr>
          <w:rFonts w:ascii="Times New Roman" w:hAnsi="Times New Roman"/>
          <w:sz w:val="24"/>
          <w:szCs w:val="24"/>
        </w:rPr>
        <w:t>coordination  du Ministère en charge de l’Agriculture. Les données ont été collectées à plusieurs niveaux : a) au niveau des villages (liste des ménages ainsi que des informations sur les infrastructures et l’accès aux services sanitaires et sociaux); b) au niveau des ménages et au niveau individuel (informations portant sur les caractéristiques sociodémographiques des ménages, informations sur les biens des ménages, le bétail, le revenu des ménages, le temps utilisé, les dépenses sur les articles achetés et la consommation des biens et services offerts localement, la nutrition, la santé et la mortalité ainsi que les difficultés rencontrées par les ménages et les stratégies mises en œuvre pour les vaincre); et c) points de vente auxquels les prix des denrées alimentaires largement consommées ainsi que des produits non alimentaires ont été enregistrés.</w:t>
      </w:r>
      <w:r w:rsidR="00313BDC">
        <w:rPr>
          <w:rFonts w:ascii="Times New Roman" w:hAnsi="Times New Roman"/>
          <w:sz w:val="24"/>
          <w:szCs w:val="24"/>
        </w:rPr>
        <w:t xml:space="preserve"> </w:t>
      </w:r>
      <w:r w:rsidRPr="007B43D0">
        <w:rPr>
          <w:rFonts w:ascii="Times New Roman" w:hAnsi="Times New Roman"/>
          <w:sz w:val="24"/>
          <w:szCs w:val="24"/>
        </w:rPr>
        <w:t>Les</w:t>
      </w:r>
      <w:r>
        <w:rPr>
          <w:rFonts w:ascii="Times New Roman" w:hAnsi="Times New Roman"/>
          <w:sz w:val="24"/>
          <w:szCs w:val="24"/>
        </w:rPr>
        <w:t xml:space="preserve"> deux éditions de cette </w:t>
      </w:r>
      <w:r w:rsidRPr="007B43D0">
        <w:rPr>
          <w:rFonts w:ascii="Times New Roman" w:hAnsi="Times New Roman"/>
          <w:sz w:val="24"/>
          <w:szCs w:val="24"/>
        </w:rPr>
        <w:t>enquête se sont déroulées en quatre (04) passages d’un mois chacun. Les différents passages ont eu lieu au cours des mêmes mois, ce qui permet une bonne comparabilité des deux éditions de l’ECVR.</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030141">
        <w:rPr>
          <w:rFonts w:ascii="Times New Roman" w:hAnsi="Times New Roman"/>
          <w:sz w:val="24"/>
          <w:szCs w:val="24"/>
        </w:rPr>
        <w:t>Les enquêtes ELAM et ECVR ont permis à travers la</w:t>
      </w:r>
      <w:r w:rsidRPr="00B76D0A">
        <w:rPr>
          <w:rFonts w:ascii="Times New Roman" w:hAnsi="Times New Roman"/>
          <w:sz w:val="24"/>
          <w:szCs w:val="24"/>
        </w:rPr>
        <w:t xml:space="preserve"> collecte des données sur les dépenses de consommation de produire le profil de pauvreté monétaire et non monétaire en urbain et rural au Bénin.</w:t>
      </w:r>
    </w:p>
    <w:p w:rsidR="00DE0355" w:rsidRDefault="00DE0355" w:rsidP="00DE0355">
      <w:pPr>
        <w:spacing w:line="276" w:lineRule="auto"/>
        <w:rPr>
          <w:rFonts w:ascii="Times New Roman" w:hAnsi="Times New Roman"/>
          <w:sz w:val="24"/>
          <w:szCs w:val="24"/>
          <w:highlight w:val="yellow"/>
        </w:rPr>
      </w:pPr>
    </w:p>
    <w:p w:rsidR="00DE0355" w:rsidRDefault="00DE0355" w:rsidP="00DE0355">
      <w:pPr>
        <w:spacing w:line="276" w:lineRule="auto"/>
        <w:rPr>
          <w:rFonts w:ascii="Times New Roman" w:hAnsi="Times New Roman"/>
          <w:sz w:val="24"/>
          <w:szCs w:val="24"/>
        </w:rPr>
      </w:pPr>
      <w:r w:rsidRPr="00B76D0A">
        <w:rPr>
          <w:rFonts w:ascii="Times New Roman" w:hAnsi="Times New Roman"/>
          <w:b/>
          <w:sz w:val="24"/>
          <w:szCs w:val="24"/>
        </w:rPr>
        <w:t>L’enquête QUIBB basée sur un Questionnaire Unifié des Indicateurs de Base du Bien-être</w:t>
      </w:r>
      <w:r w:rsidR="00313BDC">
        <w:rPr>
          <w:rFonts w:ascii="Times New Roman" w:hAnsi="Times New Roman"/>
          <w:b/>
          <w:sz w:val="24"/>
          <w:szCs w:val="24"/>
        </w:rPr>
        <w:t xml:space="preserve"> </w:t>
      </w:r>
      <w:r w:rsidRPr="00D778A6">
        <w:rPr>
          <w:rFonts w:ascii="Times New Roman" w:hAnsi="Times New Roman"/>
          <w:sz w:val="24"/>
          <w:szCs w:val="24"/>
        </w:rPr>
        <w:t>a</w:t>
      </w:r>
      <w:r w:rsidRPr="007B43D0">
        <w:rPr>
          <w:rFonts w:ascii="Times New Roman" w:hAnsi="Times New Roman"/>
          <w:sz w:val="24"/>
          <w:szCs w:val="24"/>
        </w:rPr>
        <w:t xml:space="preserve"> été développée par la Banque Mondiale (BM) et ses partenaires, pour fournir aux décideurs des informations sur les ménages leur permettant de formuler et d’évaluer des politiques. </w:t>
      </w:r>
      <w:r>
        <w:rPr>
          <w:rFonts w:ascii="Times New Roman" w:hAnsi="Times New Roman"/>
          <w:sz w:val="24"/>
          <w:szCs w:val="24"/>
        </w:rPr>
        <w:t xml:space="preserve">Elle vient surtout pallier l’absence d’une enquête d’envergure nationale au Bénin. Ainsi, </w:t>
      </w:r>
      <w:r w:rsidRPr="007B43D0">
        <w:rPr>
          <w:rFonts w:ascii="Times New Roman" w:hAnsi="Times New Roman"/>
          <w:sz w:val="24"/>
          <w:szCs w:val="24"/>
        </w:rPr>
        <w:t xml:space="preserve">à la différence des enquêtes précédemment utilisées pour apprécier le niveau de vie des ménages au Bénin, </w:t>
      </w:r>
      <w:r>
        <w:rPr>
          <w:rFonts w:ascii="Times New Roman" w:hAnsi="Times New Roman"/>
          <w:sz w:val="24"/>
          <w:szCs w:val="24"/>
        </w:rPr>
        <w:t xml:space="preserve">elle </w:t>
      </w:r>
      <w:r w:rsidRPr="007B43D0">
        <w:rPr>
          <w:rFonts w:ascii="Times New Roman" w:hAnsi="Times New Roman"/>
          <w:sz w:val="24"/>
          <w:szCs w:val="24"/>
        </w:rPr>
        <w:t xml:space="preserve">présente l’avantage d’être une enquête nationale annuelle. </w:t>
      </w:r>
      <w:r>
        <w:rPr>
          <w:rFonts w:ascii="Times New Roman" w:hAnsi="Times New Roman"/>
          <w:sz w:val="24"/>
          <w:szCs w:val="24"/>
        </w:rPr>
        <w:t xml:space="preserve">Elle </w:t>
      </w:r>
      <w:r w:rsidRPr="007B43D0">
        <w:rPr>
          <w:rFonts w:ascii="Times New Roman" w:hAnsi="Times New Roman"/>
          <w:sz w:val="24"/>
          <w:szCs w:val="24"/>
        </w:rPr>
        <w:t>a été réalisée en 2003 et porte sur un échantillon de 5350 ménages.</w:t>
      </w:r>
      <w:r w:rsidR="00313BDC">
        <w:rPr>
          <w:rFonts w:ascii="Times New Roman" w:hAnsi="Times New Roman"/>
          <w:sz w:val="24"/>
          <w:szCs w:val="24"/>
        </w:rPr>
        <w:t xml:space="preserve"> </w:t>
      </w:r>
      <w:r w:rsidRPr="007B43D0">
        <w:rPr>
          <w:rFonts w:ascii="Times New Roman" w:hAnsi="Times New Roman"/>
          <w:sz w:val="24"/>
          <w:szCs w:val="24"/>
        </w:rPr>
        <w:t>Elle est conçue pour permettre de collecter la quantité d’informations minimum nécessaire à l’identification et à la classification de groupes cibles, et pour fournir les indicateurs de base de bien-être et des indicateurs d’accès, d’utilisation et de satisfaction par rapport aux services publics permettant de faire le suivi des programmes de lutte contre la pauvreté.</w:t>
      </w:r>
      <w:r>
        <w:rPr>
          <w:rFonts w:ascii="Times New Roman" w:hAnsi="Times New Roman"/>
          <w:sz w:val="24"/>
          <w:szCs w:val="24"/>
        </w:rPr>
        <w:t xml:space="preserve"> Elle a permis d’élaborer la note sur l’évaluation de la pauvreté au Bénin en 2003. Son principal objectif était d’apporter un complément au document de stratégie de réduction de la pauvreté en offrant au Gouvernement une base solide pour sa stratégie de réduction de la pauvreté, étayée par de nouvelles données quantitatives et qualitatives. </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B76D0A">
        <w:rPr>
          <w:rFonts w:ascii="Times New Roman" w:hAnsi="Times New Roman"/>
          <w:b/>
          <w:sz w:val="24"/>
          <w:szCs w:val="24"/>
        </w:rPr>
        <w:t>Enquête Modulaire Intégrée sur les Conditions de Vie des ménages</w:t>
      </w:r>
      <w:r>
        <w:rPr>
          <w:rFonts w:ascii="Times New Roman" w:hAnsi="Times New Roman"/>
          <w:sz w:val="24"/>
          <w:szCs w:val="24"/>
        </w:rPr>
        <w:t> </w:t>
      </w:r>
      <w:r w:rsidRPr="00B76D0A">
        <w:rPr>
          <w:rFonts w:ascii="Times New Roman" w:hAnsi="Times New Roman"/>
          <w:b/>
          <w:sz w:val="24"/>
          <w:szCs w:val="24"/>
        </w:rPr>
        <w:t>(EMICoV):</w:t>
      </w:r>
      <w:r w:rsidR="00313BDC">
        <w:rPr>
          <w:rFonts w:ascii="Times New Roman" w:hAnsi="Times New Roman"/>
          <w:b/>
          <w:sz w:val="24"/>
          <w:szCs w:val="24"/>
        </w:rPr>
        <w:t xml:space="preserve"> </w:t>
      </w:r>
      <w:r w:rsidRPr="007B43D0">
        <w:rPr>
          <w:rFonts w:ascii="Times New Roman" w:hAnsi="Times New Roman"/>
          <w:sz w:val="24"/>
          <w:szCs w:val="24"/>
        </w:rPr>
        <w:t>A partir de 2006, l’INSAE a mis en place un dispositif permanent d’enquête auprès des ménages qui prévoit la réalisation d’une enquête de base EMICoV chaque 5 ans et, entre deux enquêtes de base</w:t>
      </w:r>
      <w:r w:rsidR="003278C9">
        <w:rPr>
          <w:rFonts w:ascii="Times New Roman" w:hAnsi="Times New Roman"/>
          <w:sz w:val="24"/>
          <w:szCs w:val="24"/>
        </w:rPr>
        <w:t>,</w:t>
      </w:r>
      <w:r w:rsidRPr="007B43D0">
        <w:rPr>
          <w:rFonts w:ascii="Times New Roman" w:hAnsi="Times New Roman"/>
          <w:sz w:val="24"/>
          <w:szCs w:val="24"/>
        </w:rPr>
        <w:t xml:space="preserve"> deux enquêtes de suivi. L’enquête de base est une enquête à quatre passages de trois mois chacun et les enquête</w:t>
      </w:r>
      <w:r>
        <w:rPr>
          <w:rFonts w:ascii="Times New Roman" w:hAnsi="Times New Roman"/>
          <w:sz w:val="24"/>
          <w:szCs w:val="24"/>
        </w:rPr>
        <w:t>s</w:t>
      </w:r>
      <w:r w:rsidRPr="007B43D0">
        <w:rPr>
          <w:rFonts w:ascii="Times New Roman" w:hAnsi="Times New Roman"/>
          <w:sz w:val="24"/>
          <w:szCs w:val="24"/>
        </w:rPr>
        <w:t xml:space="preserve"> de suivi en un seul passage</w:t>
      </w:r>
      <w:r w:rsidRPr="00B76D0A">
        <w:rPr>
          <w:rFonts w:ascii="Times New Roman" w:hAnsi="Times New Roman"/>
          <w:sz w:val="24"/>
          <w:szCs w:val="24"/>
        </w:rPr>
        <w:t>. La première enquête de base a été réalisée en 2006-2007</w:t>
      </w:r>
      <w:r>
        <w:rPr>
          <w:rFonts w:ascii="Times New Roman" w:hAnsi="Times New Roman"/>
          <w:sz w:val="24"/>
          <w:szCs w:val="24"/>
        </w:rPr>
        <w:t>.</w:t>
      </w:r>
      <w:r w:rsidR="00313BDC">
        <w:rPr>
          <w:rFonts w:ascii="Times New Roman" w:hAnsi="Times New Roman"/>
          <w:sz w:val="24"/>
          <w:szCs w:val="24"/>
        </w:rPr>
        <w:t xml:space="preserve"> </w:t>
      </w:r>
      <w:r w:rsidRPr="00B76D0A">
        <w:rPr>
          <w:rFonts w:ascii="Times New Roman" w:hAnsi="Times New Roman"/>
          <w:sz w:val="24"/>
          <w:szCs w:val="24"/>
        </w:rPr>
        <w:t>Elle a été réalisée en quatre passages. Le premier passage a permis de collecter des informations sur l’ensemble des modules de l’enquête. De façon spécifique pour le module consommation, la collecte a concerné les dépenses quotidiennes</w:t>
      </w:r>
      <w:r>
        <w:rPr>
          <w:rFonts w:ascii="Times New Roman" w:hAnsi="Times New Roman"/>
          <w:sz w:val="24"/>
          <w:szCs w:val="24"/>
        </w:rPr>
        <w:t xml:space="preserve"> et les dépenses rétrospectives</w:t>
      </w:r>
      <w:r w:rsidRPr="00A07BB0">
        <w:rPr>
          <w:rFonts w:ascii="Times New Roman" w:hAnsi="Times New Roman"/>
          <w:sz w:val="24"/>
          <w:szCs w:val="24"/>
        </w:rPr>
        <w:t>.</w:t>
      </w:r>
      <w:r w:rsidRPr="00B76D0A">
        <w:rPr>
          <w:rFonts w:ascii="Times New Roman" w:hAnsi="Times New Roman"/>
          <w:sz w:val="24"/>
          <w:szCs w:val="24"/>
        </w:rPr>
        <w:t xml:space="preserve"> Le</w:t>
      </w:r>
      <w:r w:rsidR="003278C9">
        <w:rPr>
          <w:rFonts w:ascii="Times New Roman" w:hAnsi="Times New Roman"/>
          <w:sz w:val="24"/>
          <w:szCs w:val="24"/>
        </w:rPr>
        <w:t>s</w:t>
      </w:r>
      <w:r w:rsidRPr="00B76D0A">
        <w:rPr>
          <w:rFonts w:ascii="Times New Roman" w:hAnsi="Times New Roman"/>
          <w:sz w:val="24"/>
          <w:szCs w:val="24"/>
        </w:rPr>
        <w:t xml:space="preserve"> deuxième et troisième passage</w:t>
      </w:r>
      <w:r w:rsidR="00A90A6E">
        <w:rPr>
          <w:rFonts w:ascii="Times New Roman" w:hAnsi="Times New Roman"/>
          <w:sz w:val="24"/>
          <w:szCs w:val="24"/>
        </w:rPr>
        <w:t>s</w:t>
      </w:r>
      <w:r w:rsidRPr="00B76D0A">
        <w:rPr>
          <w:rFonts w:ascii="Times New Roman" w:hAnsi="Times New Roman"/>
          <w:sz w:val="24"/>
          <w:szCs w:val="24"/>
        </w:rPr>
        <w:t xml:space="preserve"> </w:t>
      </w:r>
      <w:r w:rsidR="00A90A6E">
        <w:rPr>
          <w:rFonts w:ascii="Times New Roman" w:hAnsi="Times New Roman"/>
          <w:sz w:val="24"/>
          <w:szCs w:val="24"/>
        </w:rPr>
        <w:t>ont</w:t>
      </w:r>
      <w:r w:rsidRPr="00B76D0A">
        <w:rPr>
          <w:rFonts w:ascii="Times New Roman" w:hAnsi="Times New Roman"/>
          <w:sz w:val="24"/>
          <w:szCs w:val="24"/>
        </w:rPr>
        <w:t xml:space="preserve"> permis de collecter des informations sur les caractéristiques du ménage et le module consommation. Les dépenses éligibles étaient celles effectuées entre le passage précédent dans le ménage et celui en cours. Ainsi lors deuxième passage, les dépenses de consommation éligibles dans le ménage sont celles effectuées depuis le dernier passage (date où l’entretien avec ce ménage est terminé) de l’enquêteur dans le ménage (lors du premier passage). Au quatrième passage, l’ensemble des modules a été introduite dans l’enquête et les dépenses éligibles sont celles effectuées entre le dernier passage de l’enquêteur dans le ménage au cours du troisième passage de l’enquête et la date d’interview en cours. Les indicateurs de dépenses calculés en 2007 ont </w:t>
      </w:r>
      <w:r w:rsidR="003278C9">
        <w:rPr>
          <w:rFonts w:ascii="Times New Roman" w:hAnsi="Times New Roman"/>
          <w:sz w:val="24"/>
          <w:szCs w:val="24"/>
        </w:rPr>
        <w:t xml:space="preserve">été </w:t>
      </w:r>
      <w:r w:rsidRPr="00B76D0A">
        <w:rPr>
          <w:rFonts w:ascii="Times New Roman" w:hAnsi="Times New Roman"/>
          <w:sz w:val="24"/>
          <w:szCs w:val="24"/>
        </w:rPr>
        <w:t xml:space="preserve">utilisés comme base </w:t>
      </w:r>
      <w:r w:rsidR="003278C9">
        <w:rPr>
          <w:rFonts w:ascii="Times New Roman" w:hAnsi="Times New Roman"/>
          <w:sz w:val="24"/>
          <w:szCs w:val="24"/>
        </w:rPr>
        <w:t>d</w:t>
      </w:r>
      <w:r w:rsidR="003278C9" w:rsidRPr="00B76D0A">
        <w:rPr>
          <w:rFonts w:ascii="Times New Roman" w:hAnsi="Times New Roman"/>
          <w:sz w:val="24"/>
          <w:szCs w:val="24"/>
        </w:rPr>
        <w:t xml:space="preserve">es </w:t>
      </w:r>
      <w:r w:rsidRPr="00B76D0A">
        <w:rPr>
          <w:rFonts w:ascii="Times New Roman" w:hAnsi="Times New Roman"/>
          <w:sz w:val="24"/>
          <w:szCs w:val="24"/>
        </w:rPr>
        <w:t>dépenses de consommation sur les quatre passages à l’exception du module rétrospectif du premier passage.</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7B43D0">
        <w:rPr>
          <w:rFonts w:ascii="Times New Roman" w:hAnsi="Times New Roman"/>
          <w:sz w:val="24"/>
          <w:szCs w:val="24"/>
        </w:rPr>
        <w:t xml:space="preserve">Elle a permis de produire des indicateurs de pauvreté pour les années 2006 et 2007. </w:t>
      </w:r>
      <w:r>
        <w:rPr>
          <w:rFonts w:ascii="Times New Roman" w:hAnsi="Times New Roman"/>
          <w:sz w:val="24"/>
          <w:szCs w:val="24"/>
        </w:rPr>
        <w:t>En 2010,</w:t>
      </w:r>
      <w:r w:rsidRPr="007B43D0">
        <w:rPr>
          <w:rFonts w:ascii="Times New Roman" w:hAnsi="Times New Roman"/>
          <w:sz w:val="24"/>
          <w:szCs w:val="24"/>
        </w:rPr>
        <w:t xml:space="preserve"> a eu lieu la première enquête de suivi </w:t>
      </w:r>
      <w:r w:rsidRPr="00B76D0A">
        <w:rPr>
          <w:rFonts w:ascii="Times New Roman" w:hAnsi="Times New Roman"/>
          <w:sz w:val="24"/>
          <w:szCs w:val="24"/>
        </w:rPr>
        <w:t>qui a porté sur l’ensemble des modules de l’enquête de base avec deux modules additionnels (sécurité alimentaire et sécurité humaine)</w:t>
      </w:r>
      <w:r w:rsidR="003278C9">
        <w:rPr>
          <w:rFonts w:ascii="Times New Roman" w:hAnsi="Times New Roman"/>
          <w:sz w:val="24"/>
          <w:szCs w:val="24"/>
        </w:rPr>
        <w:t xml:space="preserve"> </w:t>
      </w:r>
      <w:r w:rsidRPr="007B43D0">
        <w:rPr>
          <w:rFonts w:ascii="Times New Roman" w:hAnsi="Times New Roman"/>
          <w:sz w:val="24"/>
          <w:szCs w:val="24"/>
        </w:rPr>
        <w:t>puis en 2011</w:t>
      </w:r>
      <w:r>
        <w:rPr>
          <w:rFonts w:ascii="Times New Roman" w:hAnsi="Times New Roman"/>
          <w:sz w:val="24"/>
          <w:szCs w:val="24"/>
        </w:rPr>
        <w:t>,</w:t>
      </w:r>
      <w:r w:rsidRPr="007B43D0">
        <w:rPr>
          <w:rFonts w:ascii="Times New Roman" w:hAnsi="Times New Roman"/>
          <w:sz w:val="24"/>
          <w:szCs w:val="24"/>
        </w:rPr>
        <w:t xml:space="preserve"> le premier passage de l’enquête de base</w:t>
      </w:r>
      <w:r>
        <w:rPr>
          <w:rFonts w:ascii="Times New Roman" w:hAnsi="Times New Roman"/>
          <w:sz w:val="24"/>
          <w:szCs w:val="24"/>
        </w:rPr>
        <w:t xml:space="preserve"> de 2011</w:t>
      </w:r>
      <w:r w:rsidRPr="007B43D0">
        <w:rPr>
          <w:rFonts w:ascii="Times New Roman" w:hAnsi="Times New Roman"/>
          <w:sz w:val="24"/>
          <w:szCs w:val="24"/>
        </w:rPr>
        <w:t xml:space="preserve">. Toutes ces </w:t>
      </w:r>
      <w:r>
        <w:rPr>
          <w:rFonts w:ascii="Times New Roman" w:hAnsi="Times New Roman"/>
          <w:sz w:val="24"/>
          <w:szCs w:val="24"/>
        </w:rPr>
        <w:t>séries d’</w:t>
      </w:r>
      <w:r w:rsidRPr="007B43D0">
        <w:rPr>
          <w:rFonts w:ascii="Times New Roman" w:hAnsi="Times New Roman"/>
          <w:sz w:val="24"/>
          <w:szCs w:val="24"/>
        </w:rPr>
        <w:t xml:space="preserve">enquêtes ont utilisé des questionnaires </w:t>
      </w:r>
      <w:r>
        <w:rPr>
          <w:rFonts w:ascii="Times New Roman" w:hAnsi="Times New Roman"/>
          <w:sz w:val="24"/>
          <w:szCs w:val="24"/>
        </w:rPr>
        <w:t xml:space="preserve">unifiés avec cependant quelques ajouts de modules d’une édition à une autre. Mais comparés aux enquêtes précédentes, d’importants ajustements ont été effectués tant au niveau du nombre de modules que des informations recueillies. </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Pr>
          <w:rFonts w:ascii="Times New Roman" w:hAnsi="Times New Roman"/>
          <w:sz w:val="24"/>
          <w:szCs w:val="24"/>
        </w:rPr>
        <w:t>En effet, d</w:t>
      </w:r>
      <w:r w:rsidRPr="007B43D0">
        <w:rPr>
          <w:rFonts w:ascii="Times New Roman" w:hAnsi="Times New Roman"/>
          <w:sz w:val="24"/>
          <w:szCs w:val="24"/>
        </w:rPr>
        <w:t xml:space="preserve">ès 2006, les questionnaires pour les enquêtes sur la consommation ont été harmonisés pour la collecte des données avec de légères améliorations sur l’ensemble du dispositif. L’enquête EMICoV est une enquête budget consommation dont les outils de collecte ont été inspirés de la vague des enquêtes 1 2 3. </w:t>
      </w:r>
      <w:r>
        <w:rPr>
          <w:rFonts w:ascii="Times New Roman" w:hAnsi="Times New Roman"/>
          <w:sz w:val="24"/>
          <w:szCs w:val="24"/>
        </w:rPr>
        <w:t xml:space="preserve"> Ce  type d’enquête fait aussi partie des expériences du Bénin en matière de collecte de données. Elle </w:t>
      </w:r>
      <w:r w:rsidRPr="00B76D0A">
        <w:rPr>
          <w:rFonts w:ascii="Times New Roman" w:hAnsi="Times New Roman"/>
          <w:sz w:val="24"/>
          <w:szCs w:val="24"/>
        </w:rPr>
        <w:t>est un outil statistique développé par DIAL permettant de suivre la pauvreté. Cette enquête a une architecture flexible à plusieurs phases. La première phase est une enquête auprès des ménages permettant de collecter des données sur des caractéristiques socio-démographiques et sur l’emploi. La deuxième phase est une enquête sur le secteur informel réalisée auprès des unités de production identifiées lors de la première phase. La troisième phase est une enquête sur les conditions de vie et la consommation des ménages portant sur un sous échan</w:t>
      </w:r>
      <w:r>
        <w:rPr>
          <w:rFonts w:ascii="Times New Roman" w:hAnsi="Times New Roman"/>
          <w:sz w:val="24"/>
          <w:szCs w:val="24"/>
        </w:rPr>
        <w:t>tillon de ménages de la phase 1</w:t>
      </w:r>
      <w:r w:rsidRPr="00B76D0A">
        <w:rPr>
          <w:rFonts w:ascii="Times New Roman" w:hAnsi="Times New Roman"/>
          <w:sz w:val="24"/>
          <w:szCs w:val="24"/>
        </w:rPr>
        <w:t xml:space="preserve">. Des modules thématiques (éducation, santé, pauvreté subjective, gouvernance, démocratie, etc.) sont applicables lors de la troisième phase. Elle n’a couvert </w:t>
      </w:r>
      <w:r w:rsidRPr="00D27386">
        <w:rPr>
          <w:rFonts w:ascii="Times New Roman" w:hAnsi="Times New Roman"/>
          <w:sz w:val="24"/>
          <w:szCs w:val="24"/>
        </w:rPr>
        <w:t xml:space="preserve">cependant </w:t>
      </w:r>
      <w:r w:rsidRPr="00B76D0A">
        <w:rPr>
          <w:rFonts w:ascii="Times New Roman" w:hAnsi="Times New Roman"/>
          <w:sz w:val="24"/>
          <w:szCs w:val="24"/>
        </w:rPr>
        <w:t>que  les principales villes au Bénin (Cotonou</w:t>
      </w:r>
      <w:r w:rsidR="003278C9">
        <w:rPr>
          <w:rFonts w:ascii="Times New Roman" w:hAnsi="Times New Roman"/>
          <w:sz w:val="24"/>
          <w:szCs w:val="24"/>
        </w:rPr>
        <w:t>,</w:t>
      </w:r>
      <w:r w:rsidRPr="00B76D0A">
        <w:rPr>
          <w:rFonts w:ascii="Times New Roman" w:hAnsi="Times New Roman"/>
          <w:sz w:val="24"/>
          <w:szCs w:val="24"/>
        </w:rPr>
        <w:t xml:space="preserve"> Porto-Novo</w:t>
      </w:r>
      <w:r w:rsidR="003278C9">
        <w:rPr>
          <w:rFonts w:ascii="Times New Roman" w:hAnsi="Times New Roman"/>
          <w:sz w:val="24"/>
          <w:szCs w:val="24"/>
        </w:rPr>
        <w:t>,</w:t>
      </w:r>
      <w:r w:rsidR="003278C9" w:rsidRPr="00B76D0A">
        <w:rPr>
          <w:rFonts w:ascii="Times New Roman" w:hAnsi="Times New Roman"/>
          <w:sz w:val="24"/>
          <w:szCs w:val="24"/>
        </w:rPr>
        <w:t xml:space="preserve"> </w:t>
      </w:r>
      <w:r w:rsidRPr="00B76D0A">
        <w:rPr>
          <w:rFonts w:ascii="Times New Roman" w:hAnsi="Times New Roman"/>
          <w:sz w:val="24"/>
          <w:szCs w:val="24"/>
        </w:rPr>
        <w:t>Parakou).</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Pr>
          <w:rFonts w:ascii="Times New Roman" w:hAnsi="Times New Roman"/>
          <w:sz w:val="24"/>
          <w:szCs w:val="24"/>
        </w:rPr>
        <w:t>Sur le plan conceptuel, e</w:t>
      </w:r>
      <w:r w:rsidRPr="007B43D0">
        <w:rPr>
          <w:rFonts w:ascii="Times New Roman" w:hAnsi="Times New Roman"/>
          <w:sz w:val="24"/>
          <w:szCs w:val="24"/>
        </w:rPr>
        <w:t xml:space="preserve">n plus des questionnaires emploi, consommation et ménage, EMICoV intègre plusieurs autres outils comme le questionnaire foncier, microfinance, gouvernance et démocratie. Ces cinq questionnaires qui constituent le cœur des outils de collecte d’EMICoV sont, au besoin, complétés par des modules visant à mesurer d’autres dimensions de la vie des ménages et des individus. Ainsi en 2006, un questionnaire sur le secteur informel a-t-il été administré ainsi que les sections sur la pauvreté subjective, les mouvements de population. Un questionnaire communautaire a été également utilisé en 2006 et 2010 pour, notamment, rendre compte de la disponibilité de certaines infrastructures de base (éducatives, énergétiques, de santé, économiques, hydrauliques, etc.). A partir de 2010, un module sécurité humaine et sécurité alimentaire </w:t>
      </w:r>
      <w:r w:rsidR="003278C9">
        <w:rPr>
          <w:rFonts w:ascii="Times New Roman" w:hAnsi="Times New Roman"/>
          <w:sz w:val="24"/>
          <w:szCs w:val="24"/>
        </w:rPr>
        <w:t>a</w:t>
      </w:r>
      <w:r w:rsidR="003278C9" w:rsidRPr="007B43D0">
        <w:rPr>
          <w:rFonts w:ascii="Times New Roman" w:hAnsi="Times New Roman"/>
          <w:sz w:val="24"/>
          <w:szCs w:val="24"/>
        </w:rPr>
        <w:t xml:space="preserve"> </w:t>
      </w:r>
      <w:r w:rsidRPr="007B43D0">
        <w:rPr>
          <w:rFonts w:ascii="Times New Roman" w:hAnsi="Times New Roman"/>
          <w:sz w:val="24"/>
          <w:szCs w:val="24"/>
        </w:rPr>
        <w:t xml:space="preserve">été intégré à l’enquête.  </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Pr>
          <w:rFonts w:ascii="Times New Roman" w:hAnsi="Times New Roman"/>
          <w:sz w:val="24"/>
          <w:szCs w:val="24"/>
        </w:rPr>
        <w:t>Au regard de cette architecture, notamment sur le nombre de passage</w:t>
      </w:r>
      <w:r w:rsidR="003278C9">
        <w:rPr>
          <w:rFonts w:ascii="Times New Roman" w:hAnsi="Times New Roman"/>
          <w:sz w:val="24"/>
          <w:szCs w:val="24"/>
        </w:rPr>
        <w:t>s</w:t>
      </w:r>
      <w:r>
        <w:rPr>
          <w:rFonts w:ascii="Times New Roman" w:hAnsi="Times New Roman"/>
          <w:sz w:val="24"/>
          <w:szCs w:val="24"/>
        </w:rPr>
        <w:t xml:space="preserve">, la méthode de collecte de données sur la consommation des ménages, le panel des produits couverts, il </w:t>
      </w:r>
      <w:r w:rsidR="003278C9">
        <w:rPr>
          <w:rFonts w:ascii="Times New Roman" w:hAnsi="Times New Roman"/>
          <w:sz w:val="24"/>
          <w:szCs w:val="24"/>
        </w:rPr>
        <w:t xml:space="preserve">n’apparaît </w:t>
      </w:r>
      <w:r>
        <w:rPr>
          <w:rFonts w:ascii="Times New Roman" w:hAnsi="Times New Roman"/>
          <w:sz w:val="24"/>
          <w:szCs w:val="24"/>
        </w:rPr>
        <w:t xml:space="preserve">pas  commode de procéder à une analyse de la pauvreté en combinant la série des enquêtes EMICoV disponibles et celles des enquêtes précédentes sur la pauvreté (ELAM, ECVR, QUIBB, etc.). Par conséquent, </w:t>
      </w:r>
      <w:r w:rsidRPr="00B76D0A">
        <w:rPr>
          <w:rFonts w:ascii="Times New Roman" w:hAnsi="Times New Roman"/>
          <w:sz w:val="24"/>
          <w:szCs w:val="24"/>
        </w:rPr>
        <w:t>nous avons opté pour le choix des données EMICoV dans cette présente évaluation.</w:t>
      </w:r>
    </w:p>
    <w:p w:rsidR="00DE0355" w:rsidRDefault="00DE0355" w:rsidP="00DE0355">
      <w:pPr>
        <w:spacing w:line="276" w:lineRule="auto"/>
        <w:rPr>
          <w:rFonts w:ascii="Times New Roman" w:hAnsi="Times New Roman"/>
          <w:sz w:val="24"/>
          <w:szCs w:val="24"/>
        </w:rPr>
      </w:pPr>
    </w:p>
    <w:p w:rsidR="00D323C0" w:rsidRDefault="00D323C0" w:rsidP="00DE0355">
      <w:pPr>
        <w:pStyle w:val="Titre2"/>
        <w:spacing w:before="0" w:after="0" w:line="276" w:lineRule="auto"/>
        <w:rPr>
          <w:rFonts w:ascii="Times New Roman" w:hAnsi="Times New Roman" w:cs="Times New Roman"/>
          <w:i w:val="0"/>
        </w:rPr>
      </w:pPr>
    </w:p>
    <w:p w:rsidR="00D323C0" w:rsidRDefault="00D323C0" w:rsidP="00D323C0"/>
    <w:p w:rsidR="0031347F" w:rsidRDefault="0031347F" w:rsidP="00D323C0"/>
    <w:p w:rsidR="0031347F" w:rsidRDefault="0031347F" w:rsidP="00D323C0"/>
    <w:p w:rsidR="0031347F" w:rsidRDefault="0031347F" w:rsidP="00D323C0"/>
    <w:p w:rsidR="0031347F" w:rsidRDefault="0031347F" w:rsidP="00D323C0"/>
    <w:p w:rsidR="00D323C0" w:rsidRDefault="00D323C0" w:rsidP="00D323C0"/>
    <w:p w:rsidR="00D323C0" w:rsidRDefault="00D323C0" w:rsidP="00D323C0"/>
    <w:p w:rsidR="00D323C0" w:rsidRPr="00D323C0" w:rsidRDefault="00D323C0" w:rsidP="00D323C0"/>
    <w:p w:rsidR="00D323C0" w:rsidRDefault="00D323C0" w:rsidP="00D323C0">
      <w:pPr>
        <w:spacing w:line="276" w:lineRule="auto"/>
        <w:rPr>
          <w:rFonts w:ascii="Times New Roman" w:hAnsi="Times New Roman"/>
          <w:b/>
          <w:sz w:val="24"/>
          <w:szCs w:val="24"/>
        </w:rPr>
      </w:pPr>
    </w:p>
    <w:p w:rsidR="007371E6" w:rsidRDefault="007371E6" w:rsidP="00D323C0">
      <w:pPr>
        <w:spacing w:line="276" w:lineRule="auto"/>
        <w:rPr>
          <w:rFonts w:ascii="Times New Roman" w:hAnsi="Times New Roman"/>
          <w:b/>
          <w:sz w:val="24"/>
          <w:szCs w:val="24"/>
        </w:rPr>
      </w:pPr>
    </w:p>
    <w:p w:rsidR="00FF2575" w:rsidRDefault="00FF2575" w:rsidP="00FF2575"/>
    <w:p w:rsidR="00FF2575" w:rsidRDefault="00FF2575" w:rsidP="00FF2575">
      <w:pPr>
        <w:spacing w:line="276" w:lineRule="auto"/>
        <w:rPr>
          <w:rFonts w:ascii="Times New Roman" w:hAnsi="Times New Roman"/>
          <w:b/>
          <w:sz w:val="24"/>
          <w:szCs w:val="24"/>
        </w:rPr>
      </w:pPr>
    </w:p>
    <w:p w:rsidR="000F765E" w:rsidRDefault="000F765E"/>
    <w:tbl>
      <w:tblPr>
        <w:tblW w:w="9075" w:type="dxa"/>
        <w:tblInd w:w="-214" w:type="dxa"/>
        <w:tblLayout w:type="fixed"/>
        <w:tblCellMar>
          <w:left w:w="70" w:type="dxa"/>
          <w:right w:w="70" w:type="dxa"/>
        </w:tblCellMar>
        <w:tblLook w:val="04A0" w:firstRow="1" w:lastRow="0" w:firstColumn="1" w:lastColumn="0" w:noHBand="0" w:noVBand="1"/>
      </w:tblPr>
      <w:tblGrid>
        <w:gridCol w:w="3120"/>
        <w:gridCol w:w="2553"/>
        <w:gridCol w:w="1984"/>
        <w:gridCol w:w="1418"/>
      </w:tblGrid>
      <w:tr w:rsidR="000F765E" w:rsidRPr="000F765E" w:rsidTr="00C27264">
        <w:trPr>
          <w:trHeight w:val="376"/>
        </w:trPr>
        <w:tc>
          <w:tcPr>
            <w:tcW w:w="9075" w:type="dxa"/>
            <w:gridSpan w:val="4"/>
            <w:tcBorders>
              <w:left w:val="nil"/>
              <w:bottom w:val="double" w:sz="4" w:space="0" w:color="auto"/>
              <w:right w:val="nil"/>
            </w:tcBorders>
            <w:shd w:val="clear" w:color="auto" w:fill="92CDDC" w:themeFill="accent5" w:themeFillTint="99"/>
            <w:vAlign w:val="center"/>
            <w:hideMark/>
          </w:tcPr>
          <w:p w:rsidR="000F765E" w:rsidRPr="000F765E" w:rsidRDefault="00832112">
            <w:pPr>
              <w:spacing w:line="240" w:lineRule="auto"/>
              <w:jc w:val="left"/>
              <w:rPr>
                <w:rFonts w:ascii="Times New Roman" w:eastAsia="Times New Roman" w:hAnsi="Times New Roman"/>
                <w:b/>
                <w:bCs/>
                <w:color w:val="000000"/>
                <w:sz w:val="24"/>
                <w:szCs w:val="24"/>
                <w:lang w:eastAsia="fr-FR"/>
              </w:rPr>
            </w:pPr>
            <w:r w:rsidRPr="00832112">
              <w:rPr>
                <w:rFonts w:ascii="Times New Roman" w:hAnsi="Times New Roman"/>
                <w:sz w:val="24"/>
                <w:szCs w:val="24"/>
              </w:rPr>
              <w:t xml:space="preserve">Tableau A1. </w:t>
            </w:r>
            <w:r w:rsidR="00182C97" w:rsidRPr="00832112">
              <w:rPr>
                <w:rFonts w:ascii="Times New Roman" w:hAnsi="Times New Roman"/>
                <w:sz w:val="24"/>
                <w:szCs w:val="24"/>
              </w:rPr>
              <w:fldChar w:fldCharType="begin"/>
            </w:r>
            <w:r w:rsidRPr="00832112">
              <w:rPr>
                <w:rFonts w:ascii="Times New Roman" w:hAnsi="Times New Roman"/>
                <w:sz w:val="24"/>
                <w:szCs w:val="24"/>
              </w:rPr>
              <w:instrText xml:space="preserve"> SEQ Tableau_A1. \* ARABIC </w:instrText>
            </w:r>
            <w:r w:rsidR="00182C97" w:rsidRPr="00832112">
              <w:rPr>
                <w:rFonts w:ascii="Times New Roman" w:hAnsi="Times New Roman"/>
                <w:sz w:val="24"/>
                <w:szCs w:val="24"/>
              </w:rPr>
              <w:fldChar w:fldCharType="separate"/>
            </w:r>
            <w:r w:rsidR="00AB1967">
              <w:rPr>
                <w:rFonts w:ascii="Times New Roman" w:hAnsi="Times New Roman"/>
                <w:noProof/>
                <w:sz w:val="24"/>
                <w:szCs w:val="24"/>
              </w:rPr>
              <w:t>1</w:t>
            </w:r>
            <w:r w:rsidR="00182C97" w:rsidRPr="00832112">
              <w:rPr>
                <w:rFonts w:ascii="Times New Roman" w:hAnsi="Times New Roman"/>
                <w:sz w:val="24"/>
                <w:szCs w:val="24"/>
              </w:rPr>
              <w:fldChar w:fldCharType="end"/>
            </w:r>
            <w:r w:rsidRPr="00832112">
              <w:rPr>
                <w:rFonts w:ascii="Times New Roman" w:hAnsi="Times New Roman"/>
                <w:sz w:val="24"/>
                <w:szCs w:val="24"/>
              </w:rPr>
              <w:t>: Liste des enquêtes réalisées au Bénin</w:t>
            </w:r>
          </w:p>
        </w:tc>
      </w:tr>
      <w:tr w:rsidR="00FF2575" w:rsidTr="000F765E">
        <w:trPr>
          <w:trHeight w:val="376"/>
        </w:trPr>
        <w:tc>
          <w:tcPr>
            <w:tcW w:w="3120" w:type="dxa"/>
            <w:tcBorders>
              <w:top w:val="double" w:sz="4" w:space="0" w:color="auto"/>
              <w:left w:val="nil"/>
              <w:bottom w:val="sing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b/>
                <w:bCs/>
                <w:color w:val="000000"/>
                <w:sz w:val="24"/>
                <w:szCs w:val="24"/>
                <w:lang w:eastAsia="fr-FR"/>
              </w:rPr>
            </w:pPr>
            <w:r>
              <w:rPr>
                <w:rFonts w:ascii="Times New Roman" w:eastAsia="Times New Roman" w:hAnsi="Times New Roman"/>
                <w:b/>
                <w:bCs/>
                <w:color w:val="000000"/>
                <w:sz w:val="24"/>
                <w:szCs w:val="24"/>
                <w:lang w:eastAsia="fr-FR"/>
              </w:rPr>
              <w:t>Enquête</w:t>
            </w:r>
          </w:p>
        </w:tc>
        <w:tc>
          <w:tcPr>
            <w:tcW w:w="2553" w:type="dxa"/>
            <w:tcBorders>
              <w:top w:val="double" w:sz="4" w:space="0" w:color="auto"/>
              <w:left w:val="nil"/>
              <w:bottom w:val="sing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b/>
                <w:bCs/>
                <w:color w:val="000000"/>
                <w:sz w:val="24"/>
                <w:szCs w:val="24"/>
                <w:lang w:eastAsia="fr-FR"/>
              </w:rPr>
            </w:pPr>
            <w:r>
              <w:rPr>
                <w:rFonts w:ascii="Times New Roman" w:eastAsia="Times New Roman" w:hAnsi="Times New Roman"/>
                <w:b/>
                <w:bCs/>
                <w:color w:val="000000"/>
                <w:sz w:val="24"/>
                <w:szCs w:val="24"/>
                <w:lang w:eastAsia="fr-FR"/>
              </w:rPr>
              <w:t>Période de collecte</w:t>
            </w:r>
          </w:p>
        </w:tc>
        <w:tc>
          <w:tcPr>
            <w:tcW w:w="1984" w:type="dxa"/>
            <w:tcBorders>
              <w:top w:val="double" w:sz="4" w:space="0" w:color="auto"/>
              <w:left w:val="nil"/>
              <w:bottom w:val="sing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b/>
                <w:bCs/>
                <w:color w:val="000000"/>
                <w:sz w:val="24"/>
                <w:szCs w:val="24"/>
                <w:lang w:eastAsia="fr-FR"/>
              </w:rPr>
            </w:pPr>
            <w:r>
              <w:rPr>
                <w:rFonts w:ascii="Times New Roman" w:eastAsia="Times New Roman" w:hAnsi="Times New Roman"/>
                <w:b/>
                <w:bCs/>
                <w:color w:val="000000"/>
                <w:sz w:val="24"/>
                <w:szCs w:val="24"/>
                <w:lang w:eastAsia="fr-FR"/>
              </w:rPr>
              <w:t>Champ de l'enquête</w:t>
            </w:r>
          </w:p>
        </w:tc>
        <w:tc>
          <w:tcPr>
            <w:tcW w:w="1418" w:type="dxa"/>
            <w:tcBorders>
              <w:top w:val="double" w:sz="4" w:space="0" w:color="auto"/>
              <w:left w:val="nil"/>
              <w:bottom w:val="sing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b/>
                <w:bCs/>
                <w:color w:val="000000"/>
                <w:sz w:val="24"/>
                <w:szCs w:val="24"/>
                <w:lang w:eastAsia="fr-FR"/>
              </w:rPr>
            </w:pPr>
            <w:r>
              <w:rPr>
                <w:rFonts w:ascii="Times New Roman" w:eastAsia="Times New Roman" w:hAnsi="Times New Roman"/>
                <w:b/>
                <w:bCs/>
                <w:color w:val="000000"/>
                <w:sz w:val="24"/>
                <w:szCs w:val="24"/>
                <w:lang w:eastAsia="fr-FR"/>
              </w:rPr>
              <w:t>Echantillon</w:t>
            </w:r>
          </w:p>
        </w:tc>
      </w:tr>
      <w:tr w:rsidR="00FF2575" w:rsidTr="000F765E">
        <w:trPr>
          <w:trHeight w:val="397"/>
        </w:trPr>
        <w:tc>
          <w:tcPr>
            <w:tcW w:w="3120" w:type="dxa"/>
            <w:tcBorders>
              <w:top w:val="single" w:sz="4" w:space="0" w:color="auto"/>
              <w:left w:val="nil"/>
              <w:bottom w:val="nil"/>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EBC</w:t>
            </w:r>
          </w:p>
        </w:tc>
        <w:tc>
          <w:tcPr>
            <w:tcW w:w="2553" w:type="dxa"/>
            <w:tcBorders>
              <w:top w:val="single" w:sz="4" w:space="0" w:color="auto"/>
              <w:left w:val="nil"/>
              <w:bottom w:val="nil"/>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1986/1987</w:t>
            </w:r>
          </w:p>
        </w:tc>
        <w:tc>
          <w:tcPr>
            <w:tcW w:w="1984" w:type="dxa"/>
            <w:tcBorders>
              <w:top w:val="single" w:sz="4" w:space="0" w:color="auto"/>
              <w:left w:val="nil"/>
              <w:bottom w:val="nil"/>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tcBorders>
              <w:top w:val="single" w:sz="4" w:space="0" w:color="auto"/>
              <w:left w:val="nil"/>
              <w:bottom w:val="nil"/>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ECVR 1</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Mai, août et novembre 1994 et février 1995</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rural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1 350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ECVR 2</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Mai, août et novembre 1999 et février 2000</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rural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2 325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1</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1990</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527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2</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1992</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648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3</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1993</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1 115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4</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1994</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1 526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4-bis</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Février-mars 1995</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1 687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5</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Août-septembre 1995</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1 920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5-bis</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Février-mars 1996</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1 717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6</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Août-septembre 1996</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1 717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ELAM 7</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Février-mars 1997</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2 000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EDM 1996</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Avril-juillet 1996</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Cotonou</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1 008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EDM 1999</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Avril-juin 1999</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Milieu urbain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1 926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Enquête 1-2-3</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Novembre-décembre 2001</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Cotonou et agglomération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574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EDM 2008</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Février 2008-janvier 2009</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Cotonou et agglomération</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1 008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QUIBB</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Février-avril 2003</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5 350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2006 : 1</w:t>
            </w:r>
            <w:r>
              <w:rPr>
                <w:rFonts w:ascii="Times New Roman" w:eastAsia="Times New Roman" w:hAnsi="Times New Roman"/>
                <w:color w:val="000000"/>
                <w:sz w:val="24"/>
                <w:szCs w:val="24"/>
                <w:vertAlign w:val="superscript"/>
                <w:lang w:eastAsia="fr-FR"/>
              </w:rPr>
              <w:t>er</w:t>
            </w:r>
            <w:r>
              <w:rPr>
                <w:rFonts w:ascii="Times New Roman" w:eastAsia="Times New Roman" w:hAnsi="Times New Roman"/>
                <w:color w:val="000000"/>
                <w:sz w:val="24"/>
                <w:szCs w:val="24"/>
                <w:lang w:eastAsia="fr-FR"/>
              </w:rPr>
              <w:t xml:space="preserve"> passage</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Octobre-décembre 2006</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18 000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2007 : 2</w:t>
            </w:r>
            <w:r>
              <w:rPr>
                <w:rFonts w:ascii="Times New Roman" w:eastAsia="Times New Roman" w:hAnsi="Times New Roman"/>
                <w:color w:val="000000"/>
                <w:sz w:val="24"/>
                <w:szCs w:val="24"/>
                <w:vertAlign w:val="superscript"/>
                <w:lang w:eastAsia="fr-FR"/>
              </w:rPr>
              <w:t>ème</w:t>
            </w:r>
            <w:r>
              <w:rPr>
                <w:rFonts w:ascii="Times New Roman" w:eastAsia="Times New Roman" w:hAnsi="Times New Roman"/>
                <w:color w:val="000000"/>
                <w:sz w:val="24"/>
                <w:szCs w:val="24"/>
                <w:lang w:eastAsia="fr-FR"/>
              </w:rPr>
              <w:t xml:space="preserve"> passage</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Février  -avril 2007</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18 000   </w:t>
            </w: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2007 : 3</w:t>
            </w:r>
            <w:r>
              <w:rPr>
                <w:rFonts w:ascii="Times New Roman" w:eastAsia="Times New Roman" w:hAnsi="Times New Roman"/>
                <w:color w:val="000000"/>
                <w:sz w:val="24"/>
                <w:szCs w:val="24"/>
                <w:vertAlign w:val="superscript"/>
                <w:lang w:eastAsia="fr-FR"/>
              </w:rPr>
              <w:t>ème</w:t>
            </w:r>
            <w:r>
              <w:rPr>
                <w:rFonts w:ascii="Times New Roman" w:eastAsia="Times New Roman" w:hAnsi="Times New Roman"/>
                <w:color w:val="000000"/>
                <w:sz w:val="24"/>
                <w:szCs w:val="24"/>
                <w:lang w:eastAsia="fr-FR"/>
              </w:rPr>
              <w:t xml:space="preserve"> passage</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Mai – juillet 2007</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sz w:val="20"/>
                <w:szCs w:val="20"/>
                <w:lang w:eastAsia="fr-FR"/>
              </w:rPr>
            </w:pP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2007 : 4</w:t>
            </w:r>
            <w:r>
              <w:rPr>
                <w:rFonts w:ascii="Times New Roman" w:eastAsia="Times New Roman" w:hAnsi="Times New Roman"/>
                <w:color w:val="000000"/>
                <w:sz w:val="24"/>
                <w:szCs w:val="24"/>
                <w:vertAlign w:val="superscript"/>
                <w:lang w:eastAsia="fr-FR"/>
              </w:rPr>
              <w:t>ème</w:t>
            </w:r>
            <w:r>
              <w:rPr>
                <w:rFonts w:ascii="Times New Roman" w:eastAsia="Times New Roman" w:hAnsi="Times New Roman"/>
                <w:color w:val="000000"/>
                <w:sz w:val="24"/>
                <w:szCs w:val="24"/>
                <w:lang w:eastAsia="fr-FR"/>
              </w:rPr>
              <w:t xml:space="preserve"> passage</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Octobre-décembre 2007</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sz w:val="20"/>
                <w:szCs w:val="20"/>
                <w:lang w:eastAsia="fr-FR"/>
              </w:rPr>
            </w:pPr>
          </w:p>
        </w:tc>
      </w:tr>
      <w:tr w:rsidR="00FF2575" w:rsidTr="000F765E">
        <w:trPr>
          <w:trHeight w:val="397"/>
        </w:trPr>
        <w:tc>
          <w:tcPr>
            <w:tcW w:w="3120"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2010</w:t>
            </w:r>
          </w:p>
        </w:tc>
        <w:tc>
          <w:tcPr>
            <w:tcW w:w="2553"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Février - mai 2010</w:t>
            </w:r>
          </w:p>
        </w:tc>
        <w:tc>
          <w:tcPr>
            <w:tcW w:w="1984" w:type="dxa"/>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18 000   </w:t>
            </w:r>
          </w:p>
        </w:tc>
      </w:tr>
      <w:tr w:rsidR="00FF2575" w:rsidTr="000F765E">
        <w:trPr>
          <w:trHeight w:val="397"/>
        </w:trPr>
        <w:tc>
          <w:tcPr>
            <w:tcW w:w="3120" w:type="dxa"/>
            <w:tcBorders>
              <w:top w:val="nil"/>
              <w:left w:val="nil"/>
              <w:bottom w:val="doub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2011</w:t>
            </w:r>
          </w:p>
        </w:tc>
        <w:tc>
          <w:tcPr>
            <w:tcW w:w="2553" w:type="dxa"/>
            <w:tcBorders>
              <w:top w:val="nil"/>
              <w:left w:val="nil"/>
              <w:bottom w:val="doub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Novembre - janvier 2011</w:t>
            </w:r>
          </w:p>
        </w:tc>
        <w:tc>
          <w:tcPr>
            <w:tcW w:w="1984" w:type="dxa"/>
            <w:tcBorders>
              <w:top w:val="nil"/>
              <w:left w:val="nil"/>
              <w:bottom w:val="double" w:sz="4" w:space="0" w:color="auto"/>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National</w:t>
            </w:r>
          </w:p>
        </w:tc>
        <w:tc>
          <w:tcPr>
            <w:tcW w:w="1418" w:type="dxa"/>
            <w:tcBorders>
              <w:top w:val="nil"/>
              <w:left w:val="nil"/>
              <w:bottom w:val="double" w:sz="4" w:space="0" w:color="auto"/>
              <w:right w:val="nil"/>
            </w:tcBorders>
            <w:shd w:val="clear" w:color="auto" w:fill="DAEEF3" w:themeFill="accent5" w:themeFillTint="33"/>
            <w:vAlign w:val="center"/>
            <w:hideMark/>
          </w:tcPr>
          <w:p w:rsidR="00FF2575" w:rsidRDefault="00FF2575" w:rsidP="00FF2575">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xml:space="preserve">         18 000   </w:t>
            </w:r>
          </w:p>
        </w:tc>
      </w:tr>
      <w:tr w:rsidR="00FF2575" w:rsidTr="000F765E">
        <w:trPr>
          <w:trHeight w:val="397"/>
        </w:trPr>
        <w:tc>
          <w:tcPr>
            <w:tcW w:w="9075" w:type="dxa"/>
            <w:gridSpan w:val="4"/>
            <w:tcBorders>
              <w:top w:val="double" w:sz="4" w:space="0" w:color="auto"/>
              <w:left w:val="nil"/>
              <w:bottom w:val="nil"/>
              <w:right w:val="nil"/>
            </w:tcBorders>
            <w:shd w:val="clear" w:color="auto" w:fill="DAEEF3" w:themeFill="accent5" w:themeFillTint="33"/>
            <w:vAlign w:val="center"/>
            <w:hideMark/>
          </w:tcPr>
          <w:p w:rsidR="00FF2575" w:rsidRDefault="00FF2575">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Source : INSAE, 2013</w:t>
            </w:r>
          </w:p>
        </w:tc>
      </w:tr>
    </w:tbl>
    <w:p w:rsidR="00FF2575" w:rsidRDefault="00FF2575" w:rsidP="00FF2575">
      <w:pPr>
        <w:rPr>
          <w:rFonts w:ascii="Times New Roman" w:hAnsi="Times New Roman"/>
          <w:sz w:val="24"/>
          <w:szCs w:val="24"/>
        </w:rPr>
      </w:pPr>
    </w:p>
    <w:p w:rsidR="00D323C0" w:rsidRPr="007371E6" w:rsidRDefault="00D323C0" w:rsidP="00DE0355">
      <w:pPr>
        <w:pStyle w:val="Titre2"/>
        <w:spacing w:before="0" w:after="0" w:line="276" w:lineRule="auto"/>
        <w:rPr>
          <w:rFonts w:ascii="Times New Roman" w:hAnsi="Times New Roman" w:cs="Times New Roman"/>
          <w:i w:val="0"/>
          <w:sz w:val="24"/>
          <w:szCs w:val="24"/>
        </w:rPr>
      </w:pPr>
    </w:p>
    <w:p w:rsidR="00FF2575" w:rsidRDefault="00FF2575" w:rsidP="00910784">
      <w:pPr>
        <w:pStyle w:val="Titre3"/>
        <w:spacing w:before="0"/>
        <w:rPr>
          <w:rFonts w:ascii="Times New Roman" w:hAnsi="Times New Roman"/>
          <w:color w:val="auto"/>
          <w:sz w:val="28"/>
          <w:szCs w:val="28"/>
        </w:rPr>
      </w:pPr>
    </w:p>
    <w:p w:rsidR="00FF2575" w:rsidRDefault="00FF2575" w:rsidP="00910784">
      <w:pPr>
        <w:pStyle w:val="Titre3"/>
        <w:spacing w:before="0"/>
        <w:rPr>
          <w:rFonts w:ascii="Times New Roman" w:hAnsi="Times New Roman"/>
          <w:color w:val="auto"/>
          <w:sz w:val="28"/>
          <w:szCs w:val="28"/>
        </w:rPr>
      </w:pPr>
    </w:p>
    <w:p w:rsidR="00FF2575" w:rsidRPr="00FF2575" w:rsidRDefault="00FF2575" w:rsidP="00FF2575"/>
    <w:p w:rsidR="00FF2575" w:rsidRDefault="00FF2575" w:rsidP="00910784">
      <w:pPr>
        <w:pStyle w:val="Titre3"/>
        <w:spacing w:before="0"/>
        <w:rPr>
          <w:rFonts w:ascii="Times New Roman" w:hAnsi="Times New Roman"/>
          <w:color w:val="auto"/>
          <w:sz w:val="28"/>
          <w:szCs w:val="28"/>
        </w:rPr>
      </w:pPr>
    </w:p>
    <w:p w:rsidR="00DE0355" w:rsidRPr="00910784" w:rsidRDefault="00A87A4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w:t>
      </w:r>
      <w:r w:rsidR="00DE0355" w:rsidRPr="00910784">
        <w:rPr>
          <w:rFonts w:ascii="Times New Roman" w:hAnsi="Times New Roman"/>
          <w:color w:val="auto"/>
          <w:sz w:val="28"/>
          <w:szCs w:val="28"/>
        </w:rPr>
        <w:t>1.3 Méthodologie de collecte des données</w:t>
      </w:r>
    </w:p>
    <w:p w:rsidR="00DE0355" w:rsidRPr="00FD4819" w:rsidRDefault="00DE0355" w:rsidP="00DE0355"/>
    <w:p w:rsidR="00DE0355" w:rsidRDefault="00DE0355" w:rsidP="00DE0355">
      <w:pPr>
        <w:spacing w:line="276" w:lineRule="auto"/>
        <w:rPr>
          <w:rFonts w:ascii="Times New Roman" w:hAnsi="Times New Roman"/>
          <w:sz w:val="24"/>
          <w:szCs w:val="24"/>
        </w:rPr>
      </w:pPr>
      <w:r w:rsidRPr="00B76D0A">
        <w:rPr>
          <w:rFonts w:ascii="Times New Roman" w:hAnsi="Times New Roman"/>
          <w:b/>
          <w:sz w:val="24"/>
          <w:szCs w:val="24"/>
        </w:rPr>
        <w:t>Structure de l’échantillon</w:t>
      </w:r>
      <w:r>
        <w:rPr>
          <w:rFonts w:ascii="Times New Roman" w:hAnsi="Times New Roman"/>
          <w:sz w:val="24"/>
          <w:szCs w:val="24"/>
        </w:rPr>
        <w:t xml:space="preserve"> : </w:t>
      </w:r>
      <w:r w:rsidRPr="00B76D0A">
        <w:rPr>
          <w:rFonts w:ascii="Times New Roman" w:hAnsi="Times New Roman"/>
          <w:sz w:val="24"/>
          <w:szCs w:val="24"/>
        </w:rPr>
        <w:t xml:space="preserve">Pour </w:t>
      </w:r>
      <w:r w:rsidRPr="00437395">
        <w:rPr>
          <w:rFonts w:ascii="Times New Roman" w:hAnsi="Times New Roman"/>
          <w:sz w:val="24"/>
          <w:szCs w:val="24"/>
        </w:rPr>
        <w:t xml:space="preserve">les séries d’enquête </w:t>
      </w:r>
      <w:r w:rsidRPr="00B76D0A">
        <w:rPr>
          <w:rFonts w:ascii="Times New Roman" w:hAnsi="Times New Roman"/>
          <w:sz w:val="24"/>
          <w:szCs w:val="24"/>
        </w:rPr>
        <w:t>EMICoV</w:t>
      </w:r>
      <w:r w:rsidR="00F733A7">
        <w:rPr>
          <w:rFonts w:ascii="Times New Roman" w:hAnsi="Times New Roman"/>
          <w:sz w:val="24"/>
          <w:szCs w:val="24"/>
        </w:rPr>
        <w:t xml:space="preserve"> </w:t>
      </w:r>
      <w:r w:rsidRPr="00437395">
        <w:rPr>
          <w:rFonts w:ascii="Times New Roman" w:hAnsi="Times New Roman"/>
          <w:sz w:val="24"/>
          <w:szCs w:val="24"/>
        </w:rPr>
        <w:t>réalisées,</w:t>
      </w:r>
      <w:r w:rsidR="00F733A7">
        <w:rPr>
          <w:rFonts w:ascii="Times New Roman" w:hAnsi="Times New Roman"/>
          <w:sz w:val="24"/>
          <w:szCs w:val="24"/>
        </w:rPr>
        <w:t xml:space="preserve"> </w:t>
      </w:r>
      <w:r w:rsidRPr="00B76D0A">
        <w:rPr>
          <w:rFonts w:ascii="Times New Roman" w:hAnsi="Times New Roman"/>
          <w:sz w:val="24"/>
          <w:szCs w:val="24"/>
        </w:rPr>
        <w:t xml:space="preserve">la base de sondage utilisée </w:t>
      </w:r>
      <w:r>
        <w:rPr>
          <w:rFonts w:ascii="Times New Roman" w:hAnsi="Times New Roman"/>
          <w:sz w:val="24"/>
          <w:szCs w:val="24"/>
        </w:rPr>
        <w:t xml:space="preserve">couvre l’ensemble </w:t>
      </w:r>
      <w:r w:rsidRPr="00B76D0A">
        <w:rPr>
          <w:rFonts w:ascii="Times New Roman" w:hAnsi="Times New Roman"/>
          <w:sz w:val="24"/>
          <w:szCs w:val="24"/>
        </w:rPr>
        <w:t>des Zones de Dénombrement</w:t>
      </w:r>
      <w:r>
        <w:rPr>
          <w:rFonts w:ascii="Times New Roman" w:hAnsi="Times New Roman"/>
          <w:sz w:val="24"/>
          <w:szCs w:val="24"/>
          <w:vertAlign w:val="superscript"/>
        </w:rPr>
        <w:footnoteReference w:id="92"/>
      </w:r>
      <w:r w:rsidRPr="00B76D0A">
        <w:rPr>
          <w:rFonts w:ascii="Times New Roman" w:hAnsi="Times New Roman"/>
          <w:sz w:val="24"/>
          <w:szCs w:val="24"/>
        </w:rPr>
        <w:t xml:space="preserve">(ZD) créé pour les besoins du Recensement Général de la Population et de l'Habitation effectué au Bénin en 2002 (RGPH3 2002) </w:t>
      </w:r>
      <w:r w:rsidRPr="00437395">
        <w:rPr>
          <w:rFonts w:ascii="Times New Roman" w:hAnsi="Times New Roman"/>
          <w:sz w:val="24"/>
          <w:szCs w:val="24"/>
        </w:rPr>
        <w:t xml:space="preserve">par </w:t>
      </w:r>
      <w:r w:rsidRPr="00B76D0A">
        <w:rPr>
          <w:rFonts w:ascii="Times New Roman" w:hAnsi="Times New Roman"/>
          <w:sz w:val="24"/>
          <w:szCs w:val="24"/>
        </w:rPr>
        <w:t>l</w:t>
      </w:r>
      <w:r w:rsidRPr="00437395">
        <w:rPr>
          <w:rFonts w:ascii="Times New Roman" w:hAnsi="Times New Roman"/>
          <w:sz w:val="24"/>
          <w:szCs w:val="24"/>
        </w:rPr>
        <w:t>’Institut National de la Statistique et de l'Analyse Économique (INSAE).</w:t>
      </w:r>
      <w:r w:rsidRPr="005028EF">
        <w:rPr>
          <w:rFonts w:ascii="Times New Roman" w:hAnsi="Times New Roman"/>
          <w:sz w:val="24"/>
          <w:szCs w:val="24"/>
        </w:rPr>
        <w:t xml:space="preserve"> Elle compte au total 7 397 ZD dont 2 639 en milieu urbain et 4 758 en milieu rural.</w:t>
      </w:r>
    </w:p>
    <w:p w:rsidR="007371E6" w:rsidRDefault="007371E6" w:rsidP="00DE0355">
      <w:pPr>
        <w:spacing w:line="276" w:lineRule="auto"/>
        <w:rPr>
          <w:rFonts w:ascii="Times New Roman" w:hAnsi="Times New Roman"/>
          <w:sz w:val="24"/>
          <w:szCs w:val="24"/>
        </w:rPr>
      </w:pPr>
    </w:p>
    <w:p w:rsidR="00DE0355" w:rsidRDefault="00DE0355" w:rsidP="00DE0355">
      <w:pPr>
        <w:spacing w:line="276" w:lineRule="auto"/>
      </w:pPr>
      <w:r w:rsidRPr="00437395">
        <w:rPr>
          <w:rFonts w:ascii="Times New Roman" w:hAnsi="Times New Roman"/>
          <w:sz w:val="24"/>
          <w:szCs w:val="24"/>
        </w:rPr>
        <w:t xml:space="preserve">L’échantillon de l’enquête EMICoV est un échantillon aréolaire, stratifié et tiré à 2 degrés. </w:t>
      </w:r>
      <w:r w:rsidRPr="00B76D0A">
        <w:rPr>
          <w:rFonts w:ascii="Times New Roman" w:hAnsi="Times New Roman"/>
          <w:sz w:val="24"/>
          <w:szCs w:val="24"/>
        </w:rPr>
        <w:t>Au premier degré, 750 zones de dénombrement (ZD) ont été tirées proportionnellement à leur taille en ménages dénombrés au Recensement Général de la Population et de l'Habitation de 2002. Une énumération des ménages dans chacune de ces ZD a permis de fournir une liste de ménages à partir de laquelle sont tirés en moyenne 24 ménages</w:t>
      </w:r>
      <w:r w:rsidR="00F71B08">
        <w:rPr>
          <w:rFonts w:ascii="Times New Roman" w:hAnsi="Times New Roman"/>
          <w:vertAlign w:val="superscript"/>
        </w:rPr>
        <w:footnoteReference w:id="93"/>
      </w:r>
      <w:r w:rsidR="00654660">
        <w:rPr>
          <w:rFonts w:ascii="Times New Roman" w:hAnsi="Times New Roman"/>
          <w:sz w:val="24"/>
          <w:szCs w:val="24"/>
        </w:rPr>
        <w:t xml:space="preserve"> </w:t>
      </w:r>
      <w:r w:rsidRPr="00B76D0A">
        <w:rPr>
          <w:rFonts w:ascii="Times New Roman" w:hAnsi="Times New Roman"/>
          <w:sz w:val="24"/>
          <w:szCs w:val="24"/>
        </w:rPr>
        <w:t xml:space="preserve">par grappes au deuxième degré. </w:t>
      </w:r>
    </w:p>
    <w:p w:rsidR="00DE0355" w:rsidRDefault="00DE0355" w:rsidP="00DE0355">
      <w:pPr>
        <w:spacing w:line="276" w:lineRule="auto"/>
        <w:rPr>
          <w:rFonts w:ascii="Times New Roman" w:hAnsi="Times New Roman"/>
        </w:rPr>
      </w:pPr>
    </w:p>
    <w:p w:rsidR="00DE0355" w:rsidRDefault="00DE0355" w:rsidP="00DE0355">
      <w:pPr>
        <w:spacing w:line="276" w:lineRule="auto"/>
        <w:rPr>
          <w:rFonts w:ascii="Times New Roman" w:hAnsi="Times New Roman"/>
          <w:sz w:val="24"/>
          <w:szCs w:val="24"/>
        </w:rPr>
      </w:pPr>
      <w:r>
        <w:rPr>
          <w:rFonts w:ascii="Times New Roman" w:hAnsi="Times New Roman"/>
          <w:sz w:val="24"/>
          <w:szCs w:val="24"/>
        </w:rPr>
        <w:t xml:space="preserve">Comme mentionné plus haut, elle est une </w:t>
      </w:r>
      <w:r w:rsidRPr="00B76D0A">
        <w:rPr>
          <w:rFonts w:ascii="Times New Roman" w:hAnsi="Times New Roman"/>
          <w:sz w:val="24"/>
          <w:szCs w:val="24"/>
        </w:rPr>
        <w:t>enquête à passages répétés (4 passages de 3 mois avec 1 mois de battement) par interview directe</w:t>
      </w:r>
      <w:r>
        <w:rPr>
          <w:rFonts w:ascii="Times New Roman" w:hAnsi="Times New Roman"/>
          <w:sz w:val="24"/>
          <w:szCs w:val="24"/>
        </w:rPr>
        <w:t xml:space="preserve">. </w:t>
      </w:r>
      <w:r w:rsidRPr="002B2C25">
        <w:rPr>
          <w:rFonts w:ascii="Times New Roman" w:hAnsi="Times New Roman"/>
          <w:sz w:val="24"/>
          <w:szCs w:val="24"/>
        </w:rPr>
        <w:t>Le premier passage est une enquête rétrospective sur 2006</w:t>
      </w:r>
      <w:r>
        <w:rPr>
          <w:rFonts w:ascii="Times New Roman" w:hAnsi="Times New Roman"/>
          <w:sz w:val="24"/>
          <w:szCs w:val="24"/>
        </w:rPr>
        <w:t>. Elle</w:t>
      </w:r>
      <w:r w:rsidRPr="002B2C25">
        <w:rPr>
          <w:rFonts w:ascii="Times New Roman" w:hAnsi="Times New Roman"/>
          <w:sz w:val="24"/>
          <w:szCs w:val="24"/>
        </w:rPr>
        <w:t xml:space="preserve"> a été </w:t>
      </w:r>
      <w:r w:rsidRPr="00965206">
        <w:rPr>
          <w:rFonts w:ascii="Times New Roman" w:hAnsi="Times New Roman"/>
          <w:sz w:val="24"/>
          <w:szCs w:val="24"/>
        </w:rPr>
        <w:t>effectuée</w:t>
      </w:r>
      <w:r w:rsidRPr="002B2C25">
        <w:rPr>
          <w:rFonts w:ascii="Times New Roman" w:hAnsi="Times New Roman"/>
          <w:sz w:val="24"/>
          <w:szCs w:val="24"/>
        </w:rPr>
        <w:t xml:space="preserve"> entre octobre et Décembre 2006. Le deuxième passage a été effectué entre février 2007et avril 2007, le troisième entre mai  et juillet 2007 et le quatrième passage entre octobre et décembre 2007.</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pPr>
      <w:r w:rsidRPr="00B76D0A">
        <w:rPr>
          <w:rFonts w:ascii="Times New Roman" w:hAnsi="Times New Roman"/>
          <w:sz w:val="24"/>
          <w:szCs w:val="24"/>
        </w:rPr>
        <w:t>Du point de vue structure, l’enquête modulaire intégrée sur les conditions de vie des ménages porte sur un échantillon national de 1</w:t>
      </w:r>
      <w:r w:rsidRPr="00713AAF">
        <w:rPr>
          <w:rFonts w:ascii="Times New Roman" w:hAnsi="Times New Roman"/>
          <w:sz w:val="24"/>
          <w:szCs w:val="24"/>
        </w:rPr>
        <w:t>8000</w:t>
      </w:r>
      <w:r w:rsidRPr="00B76D0A">
        <w:rPr>
          <w:rFonts w:ascii="Times New Roman" w:hAnsi="Times New Roman"/>
          <w:sz w:val="24"/>
          <w:szCs w:val="24"/>
        </w:rPr>
        <w:t xml:space="preserve"> ménages représentatif au niveau des 77 Communes et au niveau du milieu de résidence (urbain/r</w:t>
      </w:r>
      <w:r>
        <w:rPr>
          <w:rFonts w:ascii="Times New Roman" w:hAnsi="Times New Roman"/>
          <w:sz w:val="24"/>
          <w:szCs w:val="24"/>
        </w:rPr>
        <w:t>ural). Il est réparti en 7</w:t>
      </w:r>
      <w:r w:rsidR="00654660">
        <w:rPr>
          <w:rFonts w:ascii="Times New Roman" w:hAnsi="Times New Roman"/>
          <w:sz w:val="24"/>
          <w:szCs w:val="24"/>
        </w:rPr>
        <w:t> </w:t>
      </w:r>
      <w:r>
        <w:rPr>
          <w:rFonts w:ascii="Times New Roman" w:hAnsi="Times New Roman"/>
          <w:sz w:val="24"/>
          <w:szCs w:val="24"/>
        </w:rPr>
        <w:t>440</w:t>
      </w:r>
      <w:r w:rsidRPr="00B76D0A">
        <w:rPr>
          <w:rFonts w:ascii="Times New Roman" w:hAnsi="Times New Roman"/>
          <w:sz w:val="24"/>
          <w:szCs w:val="24"/>
        </w:rPr>
        <w:t xml:space="preserve"> ménages</w:t>
      </w:r>
      <w:r>
        <w:rPr>
          <w:rFonts w:ascii="Times New Roman" w:hAnsi="Times New Roman"/>
          <w:sz w:val="24"/>
          <w:szCs w:val="24"/>
        </w:rPr>
        <w:t xml:space="preserve"> dans le milieu urbain et 10</w:t>
      </w:r>
      <w:r w:rsidR="00654660">
        <w:rPr>
          <w:rFonts w:ascii="Times New Roman" w:hAnsi="Times New Roman"/>
          <w:sz w:val="24"/>
          <w:szCs w:val="24"/>
        </w:rPr>
        <w:t> </w:t>
      </w:r>
      <w:r>
        <w:rPr>
          <w:rFonts w:ascii="Times New Roman" w:hAnsi="Times New Roman"/>
          <w:sz w:val="24"/>
          <w:szCs w:val="24"/>
        </w:rPr>
        <w:t>560</w:t>
      </w:r>
      <w:r w:rsidRPr="00B76D0A">
        <w:rPr>
          <w:rFonts w:ascii="Times New Roman" w:hAnsi="Times New Roman"/>
          <w:sz w:val="24"/>
          <w:szCs w:val="24"/>
        </w:rPr>
        <w:t xml:space="preserve"> dans le milieu rural. Afin d’optimiser les ressources humaines, financière</w:t>
      </w:r>
      <w:r w:rsidR="00654660">
        <w:rPr>
          <w:rFonts w:ascii="Times New Roman" w:hAnsi="Times New Roman"/>
          <w:sz w:val="24"/>
          <w:szCs w:val="24"/>
        </w:rPr>
        <w:t>s</w:t>
      </w:r>
      <w:r w:rsidRPr="00B76D0A">
        <w:rPr>
          <w:rFonts w:ascii="Times New Roman" w:hAnsi="Times New Roman"/>
          <w:sz w:val="24"/>
          <w:szCs w:val="24"/>
        </w:rPr>
        <w:t xml:space="preserve"> et matérielles et de rationaliser les sollicitations des ménages</w:t>
      </w:r>
      <w:r>
        <w:rPr>
          <w:rFonts w:ascii="Times New Roman" w:hAnsi="Times New Roman"/>
          <w:sz w:val="24"/>
          <w:szCs w:val="24"/>
        </w:rPr>
        <w:t xml:space="preserve">, cette première a été couplée au premier passage, </w:t>
      </w:r>
      <w:r w:rsidRPr="00B76D0A">
        <w:rPr>
          <w:rFonts w:ascii="Times New Roman" w:hAnsi="Times New Roman"/>
          <w:sz w:val="24"/>
          <w:szCs w:val="24"/>
        </w:rPr>
        <w:t>avec la troisième édition de l’Enquête Démographique et de Santé du Bénin (EDS-III). Ce couplage a permis d’avoir une base de données importante portant sur les conditions de vie et la santé des ménages.</w:t>
      </w:r>
    </w:p>
    <w:p w:rsidR="00DE0355" w:rsidRDefault="00DE0355" w:rsidP="00DE0355">
      <w:pPr>
        <w:spacing w:line="276" w:lineRule="auto"/>
      </w:pPr>
    </w:p>
    <w:p w:rsidR="00D323C0" w:rsidRPr="00D66668" w:rsidRDefault="00D323C0" w:rsidP="00D323C0">
      <w:pPr>
        <w:spacing w:line="276" w:lineRule="auto"/>
        <w:rPr>
          <w:rFonts w:ascii="Times New Roman" w:hAnsi="Times New Roman"/>
          <w:sz w:val="24"/>
          <w:szCs w:val="24"/>
        </w:rPr>
      </w:pPr>
      <w:r w:rsidRPr="00B76D0A">
        <w:rPr>
          <w:rFonts w:ascii="Times New Roman" w:hAnsi="Times New Roman"/>
          <w:sz w:val="24"/>
          <w:szCs w:val="24"/>
        </w:rPr>
        <w:t>Entre le premier et le quatrième passage de l’EMICoV 2006, il a été enregistré une déperdition de 18% de l’échantillon initial. Par conséquent, l’échantillon de l’enquête du quatrième a été complété à 18 000 ménages par un tirage dans les mêmes grappes de ménages complémentaires (avec le même pas de tirage) en vue de disposer d’un échantillon suffisant pour l’enquête de suivi.</w:t>
      </w:r>
    </w:p>
    <w:p w:rsidR="00D323C0" w:rsidRDefault="00D323C0" w:rsidP="00D323C0">
      <w:pPr>
        <w:spacing w:line="276" w:lineRule="auto"/>
        <w:rPr>
          <w:rFonts w:ascii="Times New Roman" w:hAnsi="Times New Roman"/>
          <w:sz w:val="24"/>
          <w:szCs w:val="24"/>
        </w:rPr>
      </w:pPr>
    </w:p>
    <w:p w:rsidR="00D323C0" w:rsidRDefault="00D323C0" w:rsidP="00D323C0">
      <w:pPr>
        <w:spacing w:line="276" w:lineRule="auto"/>
        <w:rPr>
          <w:rFonts w:ascii="Times New Roman" w:hAnsi="Times New Roman"/>
          <w:sz w:val="24"/>
          <w:szCs w:val="24"/>
        </w:rPr>
      </w:pPr>
      <w:r>
        <w:rPr>
          <w:rFonts w:ascii="Times New Roman" w:hAnsi="Times New Roman"/>
          <w:sz w:val="24"/>
          <w:szCs w:val="24"/>
        </w:rPr>
        <w:t xml:space="preserve">En 2010, </w:t>
      </w:r>
      <w:r w:rsidRPr="001B5D4C">
        <w:rPr>
          <w:rFonts w:ascii="Times New Roman" w:hAnsi="Times New Roman"/>
          <w:sz w:val="24"/>
          <w:szCs w:val="24"/>
        </w:rPr>
        <w:t>l’enquête de suivi a été réalisée. Elle repose sur la même structure que celle de 2006. Afin de pouvoir suivre l’évolution des conditions de vies des ménages, l’échantillon aléatoire de 18 000 ménages du quatrième passage de l’enquête de base EMICoV réalisée au dernier trimestre de l’année 2007 a été retenu pour EMICoV</w:t>
      </w:r>
      <w:r w:rsidR="00F733A7">
        <w:rPr>
          <w:rFonts w:ascii="Times New Roman" w:hAnsi="Times New Roman"/>
          <w:sz w:val="24"/>
          <w:szCs w:val="24"/>
        </w:rPr>
        <w:t xml:space="preserve"> </w:t>
      </w:r>
      <w:r w:rsidRPr="001B5D4C">
        <w:rPr>
          <w:rFonts w:ascii="Times New Roman" w:hAnsi="Times New Roman"/>
          <w:sz w:val="24"/>
          <w:szCs w:val="24"/>
        </w:rPr>
        <w:t>suivi  2010.</w:t>
      </w:r>
    </w:p>
    <w:p w:rsidR="002932B8" w:rsidRDefault="002932B8" w:rsidP="00D323C0">
      <w:pPr>
        <w:spacing w:line="276" w:lineRule="auto"/>
        <w:rPr>
          <w:rFonts w:ascii="Times New Roman" w:hAnsi="Times New Roman"/>
          <w:sz w:val="24"/>
          <w:szCs w:val="24"/>
        </w:rPr>
      </w:pPr>
    </w:p>
    <w:tbl>
      <w:tblPr>
        <w:tblW w:w="9133" w:type="dxa"/>
        <w:tblInd w:w="56" w:type="dxa"/>
        <w:tblCellMar>
          <w:left w:w="70" w:type="dxa"/>
          <w:right w:w="70" w:type="dxa"/>
        </w:tblCellMar>
        <w:tblLook w:val="04A0" w:firstRow="1" w:lastRow="0" w:firstColumn="1" w:lastColumn="0" w:noHBand="0" w:noVBand="1"/>
      </w:tblPr>
      <w:tblGrid>
        <w:gridCol w:w="2531"/>
        <w:gridCol w:w="2200"/>
        <w:gridCol w:w="2200"/>
        <w:gridCol w:w="2202"/>
      </w:tblGrid>
      <w:tr w:rsidR="00C27264" w:rsidTr="00C27264">
        <w:trPr>
          <w:trHeight w:hRule="exact" w:val="298"/>
        </w:trPr>
        <w:tc>
          <w:tcPr>
            <w:tcW w:w="9133" w:type="dxa"/>
            <w:gridSpan w:val="4"/>
            <w:tcBorders>
              <w:left w:val="nil"/>
              <w:bottom w:val="double" w:sz="4" w:space="0" w:color="auto"/>
              <w:right w:val="nil"/>
            </w:tcBorders>
            <w:shd w:val="clear" w:color="auto" w:fill="92CDDC" w:themeFill="accent5" w:themeFillTint="99"/>
            <w:hideMark/>
          </w:tcPr>
          <w:p w:rsidR="00832112" w:rsidRDefault="00832112" w:rsidP="00832112">
            <w:pPr>
              <w:spacing w:line="240" w:lineRule="auto"/>
              <w:jc w:val="left"/>
              <w:rPr>
                <w:rFonts w:ascii="Times New Roman" w:eastAsia="Times New Roman" w:hAnsi="Times New Roman"/>
                <w:color w:val="000000"/>
                <w:sz w:val="24"/>
                <w:szCs w:val="24"/>
                <w:lang w:eastAsia="fr-FR"/>
              </w:rPr>
            </w:pPr>
            <w:r w:rsidRPr="00832112">
              <w:rPr>
                <w:rFonts w:ascii="Times New Roman" w:hAnsi="Times New Roman"/>
                <w:sz w:val="24"/>
                <w:szCs w:val="24"/>
              </w:rPr>
              <w:t xml:space="preserve">Tableau A1. </w:t>
            </w:r>
            <w:r w:rsidR="00182C97" w:rsidRPr="00832112">
              <w:rPr>
                <w:rFonts w:ascii="Times New Roman" w:hAnsi="Times New Roman"/>
                <w:sz w:val="24"/>
                <w:szCs w:val="24"/>
              </w:rPr>
              <w:fldChar w:fldCharType="begin"/>
            </w:r>
            <w:r w:rsidRPr="00832112">
              <w:rPr>
                <w:rFonts w:ascii="Times New Roman" w:hAnsi="Times New Roman"/>
                <w:sz w:val="24"/>
                <w:szCs w:val="24"/>
              </w:rPr>
              <w:instrText xml:space="preserve"> SEQ Tableau_A1. \* ARABIC </w:instrText>
            </w:r>
            <w:r w:rsidR="00182C97" w:rsidRPr="00832112">
              <w:rPr>
                <w:rFonts w:ascii="Times New Roman" w:hAnsi="Times New Roman"/>
                <w:sz w:val="24"/>
                <w:szCs w:val="24"/>
              </w:rPr>
              <w:fldChar w:fldCharType="separate"/>
            </w:r>
            <w:r w:rsidR="00AB1967">
              <w:rPr>
                <w:rFonts w:ascii="Times New Roman" w:hAnsi="Times New Roman"/>
                <w:noProof/>
                <w:sz w:val="24"/>
                <w:szCs w:val="24"/>
              </w:rPr>
              <w:t>2</w:t>
            </w:r>
            <w:r w:rsidR="00182C97" w:rsidRPr="00832112">
              <w:rPr>
                <w:rFonts w:ascii="Times New Roman" w:hAnsi="Times New Roman"/>
                <w:sz w:val="24"/>
                <w:szCs w:val="24"/>
              </w:rPr>
              <w:fldChar w:fldCharType="end"/>
            </w:r>
            <w:r w:rsidRPr="00832112">
              <w:rPr>
                <w:rFonts w:ascii="Times New Roman" w:hAnsi="Times New Roman"/>
                <w:sz w:val="24"/>
                <w:szCs w:val="24"/>
              </w:rPr>
              <w:t>: Allocation de l’échantillon des ménages par département et par milieu de résidence (EMICoV I et EDSB-III)</w:t>
            </w:r>
          </w:p>
        </w:tc>
      </w:tr>
      <w:tr w:rsidR="00CE1899" w:rsidTr="00C27264">
        <w:trPr>
          <w:trHeight w:hRule="exact" w:val="298"/>
        </w:trPr>
        <w:tc>
          <w:tcPr>
            <w:tcW w:w="2531" w:type="dxa"/>
            <w:vMerge w:val="restart"/>
            <w:tcBorders>
              <w:top w:val="double" w:sz="4" w:space="0" w:color="auto"/>
              <w:left w:val="nil"/>
              <w:bottom w:val="single" w:sz="8" w:space="0" w:color="000000"/>
              <w:right w:val="nil"/>
            </w:tcBorders>
            <w:shd w:val="clear" w:color="auto" w:fill="DAEEF3" w:themeFill="accent5" w:themeFillTint="33"/>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Département</w:t>
            </w:r>
          </w:p>
        </w:tc>
        <w:tc>
          <w:tcPr>
            <w:tcW w:w="6602" w:type="dxa"/>
            <w:gridSpan w:val="3"/>
            <w:tcBorders>
              <w:top w:val="double" w:sz="4" w:space="0" w:color="auto"/>
              <w:left w:val="nil"/>
              <w:bottom w:val="nil"/>
              <w:right w:val="nil"/>
            </w:tcBorders>
            <w:shd w:val="clear" w:color="auto" w:fill="DAEEF3" w:themeFill="accent5" w:themeFillTint="33"/>
            <w:noWrap/>
            <w:vAlign w:val="bottom"/>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Nombre de ménages tirés</w:t>
            </w:r>
          </w:p>
        </w:tc>
      </w:tr>
      <w:tr w:rsidR="00CE1899" w:rsidTr="00CE1899">
        <w:trPr>
          <w:trHeight w:val="298"/>
        </w:trPr>
        <w:tc>
          <w:tcPr>
            <w:tcW w:w="0" w:type="auto"/>
            <w:vMerge/>
            <w:tcBorders>
              <w:top w:val="double" w:sz="4" w:space="0" w:color="auto"/>
              <w:left w:val="nil"/>
              <w:bottom w:val="single" w:sz="8" w:space="0" w:color="000000"/>
              <w:right w:val="nil"/>
            </w:tcBorders>
            <w:vAlign w:val="center"/>
            <w:hideMark/>
          </w:tcPr>
          <w:p w:rsidR="00CE1899" w:rsidRDefault="00CE1899">
            <w:pPr>
              <w:spacing w:line="240" w:lineRule="auto"/>
              <w:jc w:val="left"/>
              <w:rPr>
                <w:rFonts w:ascii="Times New Roman" w:eastAsia="Times New Roman" w:hAnsi="Times New Roman"/>
                <w:color w:val="000000"/>
                <w:sz w:val="24"/>
                <w:szCs w:val="24"/>
                <w:lang w:eastAsia="fr-FR"/>
              </w:rPr>
            </w:pPr>
          </w:p>
        </w:tc>
        <w:tc>
          <w:tcPr>
            <w:tcW w:w="2200" w:type="dxa"/>
            <w:tcBorders>
              <w:top w:val="nil"/>
              <w:left w:val="nil"/>
              <w:bottom w:val="single" w:sz="8" w:space="0" w:color="000000"/>
              <w:right w:val="nil"/>
            </w:tcBorders>
            <w:shd w:val="clear" w:color="auto" w:fill="DAEEF3" w:themeFill="accent5" w:themeFillTint="33"/>
            <w:hideMark/>
          </w:tcPr>
          <w:p w:rsidR="00CE1899" w:rsidRDefault="00CE1899">
            <w:pPr>
              <w:spacing w:line="240" w:lineRule="auto"/>
              <w:ind w:firstLineChars="100" w:firstLine="240"/>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Urbain</w:t>
            </w:r>
          </w:p>
        </w:tc>
        <w:tc>
          <w:tcPr>
            <w:tcW w:w="2200" w:type="dxa"/>
            <w:tcBorders>
              <w:top w:val="nil"/>
              <w:left w:val="nil"/>
              <w:bottom w:val="single" w:sz="8" w:space="0" w:color="000000"/>
              <w:right w:val="nil"/>
            </w:tcBorders>
            <w:shd w:val="clear" w:color="auto" w:fill="DAEEF3" w:themeFill="accent5" w:themeFillTint="33"/>
            <w:hideMark/>
          </w:tcPr>
          <w:p w:rsidR="00CE1899" w:rsidRDefault="00CE1899">
            <w:pPr>
              <w:spacing w:line="240" w:lineRule="auto"/>
              <w:ind w:firstLineChars="200" w:firstLine="480"/>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Rural</w:t>
            </w:r>
          </w:p>
        </w:tc>
        <w:tc>
          <w:tcPr>
            <w:tcW w:w="2202" w:type="dxa"/>
            <w:tcBorders>
              <w:top w:val="nil"/>
              <w:left w:val="nil"/>
              <w:bottom w:val="single" w:sz="8" w:space="0" w:color="000000"/>
              <w:right w:val="nil"/>
            </w:tcBorders>
            <w:shd w:val="clear" w:color="auto" w:fill="DAEEF3" w:themeFill="accent5" w:themeFillTint="33"/>
            <w:hideMark/>
          </w:tcPr>
          <w:p w:rsidR="00CE1899" w:rsidRDefault="00CE1899">
            <w:pPr>
              <w:spacing w:line="240" w:lineRule="auto"/>
              <w:ind w:firstLineChars="100" w:firstLine="240"/>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Région</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Alibori</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312</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720</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1 032</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Atacora</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576</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816</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1 392</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Atlantique</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768</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1 512</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2 280</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Borgou</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720</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744</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1 464</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Collines</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408</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1 032</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1 440</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Couffo</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360</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936</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1 296</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Donga</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312</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528</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840</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Littoral</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2 016</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0</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2 016</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Mono</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264</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936</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1 200</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Ouémé</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768</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1 248</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2 016</w:t>
            </w:r>
          </w:p>
        </w:tc>
      </w:tr>
      <w:tr w:rsidR="00CE1899" w:rsidTr="00CE1899">
        <w:trPr>
          <w:trHeight w:val="284"/>
        </w:trPr>
        <w:tc>
          <w:tcPr>
            <w:tcW w:w="2531" w:type="dxa"/>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Plateau</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408</w:t>
            </w:r>
          </w:p>
        </w:tc>
        <w:tc>
          <w:tcPr>
            <w:tcW w:w="2200"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672</w:t>
            </w:r>
          </w:p>
        </w:tc>
        <w:tc>
          <w:tcPr>
            <w:tcW w:w="2202" w:type="dxa"/>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1 080</w:t>
            </w:r>
          </w:p>
        </w:tc>
      </w:tr>
      <w:tr w:rsidR="00CE1899" w:rsidTr="00CE1899">
        <w:trPr>
          <w:trHeight w:val="284"/>
        </w:trPr>
        <w:tc>
          <w:tcPr>
            <w:tcW w:w="2531" w:type="dxa"/>
            <w:tcBorders>
              <w:top w:val="nil"/>
              <w:left w:val="nil"/>
              <w:bottom w:val="single" w:sz="4" w:space="0" w:color="auto"/>
              <w:right w:val="nil"/>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Zou</w:t>
            </w:r>
          </w:p>
        </w:tc>
        <w:tc>
          <w:tcPr>
            <w:tcW w:w="2200" w:type="dxa"/>
            <w:tcBorders>
              <w:top w:val="nil"/>
              <w:left w:val="nil"/>
              <w:bottom w:val="single" w:sz="4" w:space="0" w:color="auto"/>
              <w:right w:val="nil"/>
            </w:tcBorders>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528</w:t>
            </w:r>
          </w:p>
        </w:tc>
        <w:tc>
          <w:tcPr>
            <w:tcW w:w="2200" w:type="dxa"/>
            <w:tcBorders>
              <w:top w:val="nil"/>
              <w:left w:val="nil"/>
              <w:bottom w:val="single" w:sz="4" w:space="0" w:color="auto"/>
              <w:right w:val="nil"/>
            </w:tcBorders>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1 416</w:t>
            </w:r>
          </w:p>
        </w:tc>
        <w:tc>
          <w:tcPr>
            <w:tcW w:w="2202" w:type="dxa"/>
            <w:tcBorders>
              <w:top w:val="nil"/>
              <w:left w:val="nil"/>
              <w:bottom w:val="single" w:sz="4" w:space="0" w:color="auto"/>
              <w:right w:val="nil"/>
            </w:tcBorders>
            <w:shd w:val="clear" w:color="auto" w:fill="DAEEF3" w:themeFill="accent5" w:themeFillTint="33"/>
            <w:hideMark/>
          </w:tcPr>
          <w:p w:rsidR="00CE1899" w:rsidRDefault="00CE1899">
            <w:pPr>
              <w:spacing w:line="240" w:lineRule="auto"/>
              <w:jc w:val="righ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1 944</w:t>
            </w:r>
          </w:p>
        </w:tc>
      </w:tr>
      <w:tr w:rsidR="00CE1899" w:rsidTr="00CE1899">
        <w:trPr>
          <w:trHeight w:val="298"/>
        </w:trPr>
        <w:tc>
          <w:tcPr>
            <w:tcW w:w="2531" w:type="dxa"/>
            <w:tcBorders>
              <w:top w:val="single" w:sz="4" w:space="0" w:color="auto"/>
              <w:left w:val="nil"/>
              <w:bottom w:val="double" w:sz="4" w:space="0" w:color="auto"/>
              <w:right w:val="nil"/>
            </w:tcBorders>
            <w:shd w:val="clear" w:color="auto" w:fill="DAEEF3" w:themeFill="accent5" w:themeFillTint="33"/>
            <w:hideMark/>
          </w:tcPr>
          <w:p w:rsidR="00CE1899" w:rsidRDefault="00CE1899">
            <w:pPr>
              <w:spacing w:line="240" w:lineRule="auto"/>
              <w:jc w:val="left"/>
              <w:rPr>
                <w:rFonts w:ascii="Times New Roman" w:eastAsia="Times New Roman" w:hAnsi="Times New Roman"/>
                <w:b/>
                <w:color w:val="000000"/>
                <w:sz w:val="24"/>
                <w:szCs w:val="24"/>
                <w:lang w:eastAsia="fr-FR"/>
              </w:rPr>
            </w:pPr>
            <w:r>
              <w:rPr>
                <w:rFonts w:ascii="Times New Roman" w:eastAsia="Times New Roman" w:hAnsi="Times New Roman"/>
                <w:b/>
                <w:color w:val="000000"/>
                <w:sz w:val="24"/>
                <w:szCs w:val="24"/>
                <w:lang w:eastAsia="fr-FR"/>
              </w:rPr>
              <w:t>Bénin</w:t>
            </w:r>
          </w:p>
        </w:tc>
        <w:tc>
          <w:tcPr>
            <w:tcW w:w="2200" w:type="dxa"/>
            <w:tcBorders>
              <w:top w:val="single" w:sz="4" w:space="0" w:color="auto"/>
              <w:left w:val="nil"/>
              <w:bottom w:val="double" w:sz="4" w:space="0" w:color="auto"/>
              <w:right w:val="nil"/>
            </w:tcBorders>
            <w:shd w:val="clear" w:color="auto" w:fill="DAEEF3" w:themeFill="accent5" w:themeFillTint="33"/>
            <w:hideMark/>
          </w:tcPr>
          <w:p w:rsidR="00CE1899" w:rsidRDefault="00CE1899">
            <w:pPr>
              <w:spacing w:line="240" w:lineRule="auto"/>
              <w:jc w:val="right"/>
              <w:rPr>
                <w:rFonts w:ascii="Times New Roman" w:eastAsia="Times New Roman" w:hAnsi="Times New Roman"/>
                <w:b/>
                <w:color w:val="000000"/>
                <w:sz w:val="24"/>
                <w:szCs w:val="24"/>
                <w:lang w:eastAsia="fr-FR"/>
              </w:rPr>
            </w:pPr>
            <w:r>
              <w:rPr>
                <w:rFonts w:ascii="Times New Roman" w:eastAsia="Times New Roman" w:hAnsi="Times New Roman"/>
                <w:b/>
                <w:color w:val="000000"/>
                <w:sz w:val="24"/>
                <w:szCs w:val="24"/>
                <w:lang w:eastAsia="fr-FR"/>
              </w:rPr>
              <w:t>7 440</w:t>
            </w:r>
          </w:p>
        </w:tc>
        <w:tc>
          <w:tcPr>
            <w:tcW w:w="2200" w:type="dxa"/>
            <w:tcBorders>
              <w:top w:val="single" w:sz="4" w:space="0" w:color="auto"/>
              <w:left w:val="nil"/>
              <w:bottom w:val="double" w:sz="4" w:space="0" w:color="auto"/>
              <w:right w:val="nil"/>
            </w:tcBorders>
            <w:shd w:val="clear" w:color="auto" w:fill="DAEEF3" w:themeFill="accent5" w:themeFillTint="33"/>
            <w:hideMark/>
          </w:tcPr>
          <w:p w:rsidR="00CE1899" w:rsidRDefault="00CE1899">
            <w:pPr>
              <w:spacing w:line="240" w:lineRule="auto"/>
              <w:jc w:val="right"/>
              <w:rPr>
                <w:rFonts w:ascii="Times New Roman" w:eastAsia="Times New Roman" w:hAnsi="Times New Roman"/>
                <w:b/>
                <w:color w:val="000000"/>
                <w:sz w:val="24"/>
                <w:szCs w:val="24"/>
                <w:lang w:eastAsia="fr-FR"/>
              </w:rPr>
            </w:pPr>
            <w:r>
              <w:rPr>
                <w:rFonts w:ascii="Times New Roman" w:eastAsia="Times New Roman" w:hAnsi="Times New Roman"/>
                <w:b/>
                <w:color w:val="000000"/>
                <w:sz w:val="24"/>
                <w:szCs w:val="24"/>
                <w:lang w:eastAsia="fr-FR"/>
              </w:rPr>
              <w:t>10 560</w:t>
            </w:r>
          </w:p>
        </w:tc>
        <w:tc>
          <w:tcPr>
            <w:tcW w:w="2202" w:type="dxa"/>
            <w:tcBorders>
              <w:top w:val="single" w:sz="4" w:space="0" w:color="auto"/>
              <w:left w:val="nil"/>
              <w:bottom w:val="double" w:sz="4" w:space="0" w:color="auto"/>
              <w:right w:val="nil"/>
            </w:tcBorders>
            <w:shd w:val="clear" w:color="auto" w:fill="DAEEF3" w:themeFill="accent5" w:themeFillTint="33"/>
            <w:hideMark/>
          </w:tcPr>
          <w:p w:rsidR="00CE1899" w:rsidRDefault="00CE1899">
            <w:pPr>
              <w:spacing w:line="240" w:lineRule="auto"/>
              <w:jc w:val="right"/>
              <w:rPr>
                <w:rFonts w:ascii="Times New Roman" w:eastAsia="Times New Roman" w:hAnsi="Times New Roman"/>
                <w:b/>
                <w:color w:val="000000"/>
                <w:sz w:val="24"/>
                <w:szCs w:val="24"/>
                <w:lang w:eastAsia="fr-FR"/>
              </w:rPr>
            </w:pPr>
            <w:r>
              <w:rPr>
                <w:rFonts w:ascii="Times New Roman" w:eastAsia="Times New Roman" w:hAnsi="Times New Roman"/>
                <w:b/>
                <w:color w:val="000000"/>
                <w:sz w:val="24"/>
                <w:szCs w:val="24"/>
                <w:lang w:eastAsia="fr-FR"/>
              </w:rPr>
              <w:t>18 000</w:t>
            </w:r>
          </w:p>
        </w:tc>
      </w:tr>
      <w:tr w:rsidR="00CE1899" w:rsidTr="00CE1899">
        <w:trPr>
          <w:trHeight w:val="298"/>
        </w:trPr>
        <w:tc>
          <w:tcPr>
            <w:tcW w:w="9133" w:type="dxa"/>
            <w:gridSpan w:val="4"/>
            <w:tcBorders>
              <w:top w:val="double" w:sz="4" w:space="0" w:color="auto"/>
              <w:left w:val="nil"/>
              <w:bottom w:val="nil"/>
              <w:right w:val="nil"/>
            </w:tcBorders>
            <w:shd w:val="clear" w:color="auto" w:fill="DAEEF3" w:themeFill="accent5" w:themeFillTint="33"/>
            <w:hideMark/>
          </w:tcPr>
          <w:p w:rsidR="00CE1899" w:rsidRDefault="00CE1899">
            <w:pPr>
              <w:spacing w:before="60"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Source : INSAE 2013</w:t>
            </w:r>
          </w:p>
        </w:tc>
      </w:tr>
    </w:tbl>
    <w:p w:rsidR="00CE1899" w:rsidRDefault="00CE1899" w:rsidP="00CE1899">
      <w:pPr>
        <w:rPr>
          <w:rFonts w:ascii="Times New Roman" w:eastAsia="Times New Roman" w:hAnsi="Times New Roman"/>
          <w:bCs/>
          <w:color w:val="000000"/>
          <w:sz w:val="24"/>
          <w:szCs w:val="24"/>
          <w:lang w:val="fr-CA"/>
        </w:rPr>
      </w:pPr>
    </w:p>
    <w:p w:rsidR="00DE0355" w:rsidRDefault="00DE0355" w:rsidP="00DE0355">
      <w:pPr>
        <w:spacing w:line="276" w:lineRule="auto"/>
        <w:rPr>
          <w:rFonts w:ascii="Times New Roman" w:hAnsi="Times New Roman"/>
        </w:rPr>
      </w:pPr>
      <w:r>
        <w:rPr>
          <w:rFonts w:ascii="Times New Roman" w:hAnsi="Times New Roman"/>
          <w:sz w:val="24"/>
          <w:szCs w:val="24"/>
        </w:rPr>
        <w:t xml:space="preserve">Par rapport au premier passage de l’enquête de base, il s’est dégagé </w:t>
      </w:r>
      <w:r w:rsidRPr="00B76D0A">
        <w:rPr>
          <w:rFonts w:ascii="Times New Roman" w:hAnsi="Times New Roman"/>
          <w:sz w:val="24"/>
          <w:szCs w:val="24"/>
        </w:rPr>
        <w:t>un panel d’environ 12 000 ménages  en 2010.</w:t>
      </w:r>
      <w:r>
        <w:rPr>
          <w:rFonts w:ascii="Times New Roman" w:hAnsi="Times New Roman"/>
          <w:sz w:val="24"/>
          <w:szCs w:val="24"/>
        </w:rPr>
        <w:t xml:space="preserve"> Ce fort taux de déperdition noté s’explique essentiellement par le fait que </w:t>
      </w:r>
      <w:r w:rsidRPr="00B76D0A">
        <w:rPr>
          <w:rFonts w:ascii="Times New Roman" w:hAnsi="Times New Roman"/>
          <w:sz w:val="24"/>
          <w:szCs w:val="24"/>
        </w:rPr>
        <w:t xml:space="preserve">la base de sondage des ménages n’a pas été actualisée pour tenir compte des changements dans la population (mouvements de population, décès, naissances, inclusion et ou retrait de nouveaux ménages). </w:t>
      </w:r>
    </w:p>
    <w:p w:rsidR="00DE0355" w:rsidRDefault="00DE0355" w:rsidP="00DE0355">
      <w:pPr>
        <w:spacing w:line="276" w:lineRule="auto"/>
        <w:rPr>
          <w:rFonts w:ascii="Garamond" w:eastAsia="Times New Roman" w:hAnsi="Garamond"/>
          <w:lang w:bidi="bn-IN"/>
        </w:rPr>
      </w:pPr>
    </w:p>
    <w:p w:rsidR="00DE0355" w:rsidRDefault="00DE0355" w:rsidP="00DE0355">
      <w:pPr>
        <w:spacing w:line="276" w:lineRule="auto"/>
        <w:rPr>
          <w:rFonts w:ascii="Times New Roman" w:hAnsi="Times New Roman"/>
          <w:sz w:val="24"/>
          <w:szCs w:val="24"/>
        </w:rPr>
      </w:pPr>
      <w:r w:rsidRPr="007B43D0">
        <w:rPr>
          <w:rFonts w:ascii="Times New Roman" w:hAnsi="Times New Roman"/>
          <w:sz w:val="24"/>
          <w:szCs w:val="24"/>
        </w:rPr>
        <w:t>Pour les besoins du RGPH 4 de 2012, la mise à jour de la base de sondage de 2002 a démarré prioritairement dans les anciennes ZD d’EMICoV/EDS afin de servir également de base de sondage pour EMICoV 2 et EDS 4.</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B76D0A">
        <w:rPr>
          <w:rFonts w:ascii="Times New Roman" w:hAnsi="Times New Roman"/>
          <w:sz w:val="24"/>
          <w:szCs w:val="24"/>
        </w:rPr>
        <w:t xml:space="preserve">Dans le souci d’assurer le suivi des indicateurs sur les conditions de vie des ménages et de santé des populations, l’INSAE </w:t>
      </w:r>
      <w:r>
        <w:rPr>
          <w:rFonts w:ascii="Times New Roman" w:hAnsi="Times New Roman"/>
          <w:sz w:val="24"/>
          <w:szCs w:val="24"/>
        </w:rPr>
        <w:t>a organisé</w:t>
      </w:r>
      <w:r w:rsidRPr="00B76D0A">
        <w:rPr>
          <w:rFonts w:ascii="Times New Roman" w:hAnsi="Times New Roman"/>
          <w:sz w:val="24"/>
          <w:szCs w:val="24"/>
        </w:rPr>
        <w:t xml:space="preserve"> en 2011</w:t>
      </w:r>
      <w:r w:rsidR="00060C7A">
        <w:rPr>
          <w:rFonts w:ascii="Times New Roman" w:hAnsi="Times New Roman"/>
          <w:sz w:val="24"/>
          <w:szCs w:val="24"/>
        </w:rPr>
        <w:t xml:space="preserve"> </w:t>
      </w:r>
      <w:r w:rsidRPr="00646142">
        <w:rPr>
          <w:rFonts w:ascii="Times New Roman" w:hAnsi="Times New Roman"/>
          <w:sz w:val="24"/>
          <w:szCs w:val="24"/>
        </w:rPr>
        <w:t>la deuxième édition de l’Enquête Modulaire Intégrée sur les Condition</w:t>
      </w:r>
      <w:r>
        <w:rPr>
          <w:rFonts w:ascii="Times New Roman" w:hAnsi="Times New Roman"/>
          <w:sz w:val="24"/>
          <w:szCs w:val="24"/>
        </w:rPr>
        <w:t xml:space="preserve">s de Vie des Ménages (EMICoV-2) couplée avec </w:t>
      </w:r>
      <w:r w:rsidRPr="00B76D0A">
        <w:rPr>
          <w:rFonts w:ascii="Times New Roman" w:hAnsi="Times New Roman"/>
          <w:sz w:val="24"/>
          <w:szCs w:val="24"/>
        </w:rPr>
        <w:t>la quatrième édition de l’Enquête Dém</w:t>
      </w:r>
      <w:r>
        <w:rPr>
          <w:rFonts w:ascii="Times New Roman" w:hAnsi="Times New Roman"/>
          <w:sz w:val="24"/>
          <w:szCs w:val="24"/>
        </w:rPr>
        <w:t xml:space="preserve">ographique et de Santé (EDS-IV). Elle repose sur la même architecture que les éditions précédentes. Toutefois, les ménages ont été renouvelés à plus 70%, ce qui a réduit la possibilité d’avoir un panel conséquent entre EMICoV-1 et EMICoV-2.  </w:t>
      </w:r>
    </w:p>
    <w:p w:rsidR="00D323C0" w:rsidRDefault="00D323C0" w:rsidP="00DE0355">
      <w:pPr>
        <w:spacing w:line="276" w:lineRule="auto"/>
        <w:rPr>
          <w:rFonts w:ascii="Times New Roman" w:hAnsi="Times New Roman"/>
          <w:sz w:val="24"/>
          <w:szCs w:val="24"/>
        </w:rPr>
      </w:pPr>
    </w:p>
    <w:p w:rsidR="00D323C0" w:rsidRDefault="00D323C0" w:rsidP="00DE0355">
      <w:pPr>
        <w:spacing w:line="276" w:lineRule="auto"/>
        <w:rPr>
          <w:rFonts w:ascii="Times New Roman" w:hAnsi="Times New Roman"/>
          <w:sz w:val="24"/>
          <w:szCs w:val="24"/>
        </w:rPr>
      </w:pPr>
    </w:p>
    <w:p w:rsidR="00D323C0" w:rsidRDefault="00D323C0" w:rsidP="00D323C0">
      <w:pPr>
        <w:spacing w:line="276" w:lineRule="auto"/>
        <w:rPr>
          <w:rFonts w:ascii="Times New Roman" w:hAnsi="Times New Roman"/>
          <w:sz w:val="24"/>
          <w:szCs w:val="24"/>
        </w:rPr>
      </w:pPr>
    </w:p>
    <w:p w:rsidR="00D323C0" w:rsidRDefault="00D323C0" w:rsidP="00D323C0">
      <w:pPr>
        <w:spacing w:line="276" w:lineRule="auto"/>
        <w:rPr>
          <w:rFonts w:ascii="Times New Roman" w:hAnsi="Times New Roman"/>
          <w:sz w:val="24"/>
          <w:szCs w:val="24"/>
        </w:rPr>
      </w:pPr>
    </w:p>
    <w:p w:rsidR="00D323C0" w:rsidRDefault="00D323C0" w:rsidP="00D323C0">
      <w:pPr>
        <w:spacing w:line="276" w:lineRule="auto"/>
        <w:rPr>
          <w:rFonts w:ascii="Times New Roman" w:hAnsi="Times New Roman"/>
          <w:sz w:val="24"/>
          <w:szCs w:val="24"/>
        </w:rPr>
      </w:pPr>
    </w:p>
    <w:p w:rsidR="0031347F" w:rsidRDefault="0031347F" w:rsidP="00D323C0">
      <w:pPr>
        <w:spacing w:line="276" w:lineRule="auto"/>
        <w:rPr>
          <w:rFonts w:ascii="Times New Roman" w:hAnsi="Times New Roman"/>
          <w:sz w:val="24"/>
          <w:szCs w:val="24"/>
        </w:rPr>
      </w:pPr>
    </w:p>
    <w:p w:rsidR="00C27264" w:rsidRDefault="00C27264"/>
    <w:tbl>
      <w:tblPr>
        <w:tblW w:w="8580" w:type="dxa"/>
        <w:tblInd w:w="55" w:type="dxa"/>
        <w:tblCellMar>
          <w:left w:w="70" w:type="dxa"/>
          <w:right w:w="70" w:type="dxa"/>
        </w:tblCellMar>
        <w:tblLook w:val="04A0" w:firstRow="1" w:lastRow="0" w:firstColumn="1" w:lastColumn="0" w:noHBand="0" w:noVBand="1"/>
      </w:tblPr>
      <w:tblGrid>
        <w:gridCol w:w="1586"/>
        <w:gridCol w:w="1449"/>
        <w:gridCol w:w="1186"/>
        <w:gridCol w:w="937"/>
        <w:gridCol w:w="1186"/>
        <w:gridCol w:w="1186"/>
        <w:gridCol w:w="1050"/>
      </w:tblGrid>
      <w:tr w:rsidR="00C27264" w:rsidRPr="00C27264" w:rsidTr="00C27264">
        <w:trPr>
          <w:trHeight w:val="357"/>
        </w:trPr>
        <w:tc>
          <w:tcPr>
            <w:tcW w:w="8580" w:type="dxa"/>
            <w:gridSpan w:val="7"/>
            <w:tcBorders>
              <w:left w:val="nil"/>
              <w:bottom w:val="double" w:sz="4" w:space="0" w:color="auto"/>
            </w:tcBorders>
            <w:shd w:val="clear" w:color="auto" w:fill="92CDDC" w:themeFill="accent5" w:themeFillTint="99"/>
            <w:noWrap/>
            <w:vAlign w:val="bottom"/>
            <w:hideMark/>
          </w:tcPr>
          <w:p w:rsidR="00832112" w:rsidRDefault="00832112" w:rsidP="00832112">
            <w:pPr>
              <w:spacing w:line="240" w:lineRule="auto"/>
              <w:jc w:val="left"/>
              <w:rPr>
                <w:rFonts w:ascii="Times New Roman" w:hAnsi="Times New Roman"/>
                <w:sz w:val="24"/>
                <w:szCs w:val="24"/>
              </w:rPr>
            </w:pPr>
            <w:r w:rsidRPr="00832112">
              <w:rPr>
                <w:rFonts w:ascii="Times New Roman" w:hAnsi="Times New Roman"/>
                <w:sz w:val="24"/>
                <w:szCs w:val="24"/>
              </w:rPr>
              <w:t xml:space="preserve">Tableau A1. </w:t>
            </w:r>
            <w:r w:rsidR="00182C97" w:rsidRPr="00832112">
              <w:rPr>
                <w:rFonts w:ascii="Times New Roman" w:hAnsi="Times New Roman"/>
                <w:sz w:val="24"/>
                <w:szCs w:val="24"/>
              </w:rPr>
              <w:fldChar w:fldCharType="begin"/>
            </w:r>
            <w:r w:rsidRPr="00832112">
              <w:rPr>
                <w:rFonts w:ascii="Times New Roman" w:eastAsia="Times New Roman" w:hAnsi="Times New Roman"/>
                <w:bCs/>
                <w:sz w:val="24"/>
                <w:szCs w:val="24"/>
              </w:rPr>
              <w:instrText xml:space="preserve"> SEQ Tableau_A1. \* ARABIC </w:instrText>
            </w:r>
            <w:r w:rsidR="00182C97" w:rsidRPr="00832112">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3</w:t>
            </w:r>
            <w:r w:rsidR="00182C97" w:rsidRPr="00832112">
              <w:rPr>
                <w:rFonts w:ascii="Times New Roman" w:eastAsia="Times New Roman" w:hAnsi="Times New Roman"/>
                <w:bCs/>
                <w:sz w:val="24"/>
                <w:szCs w:val="24"/>
              </w:rPr>
              <w:fldChar w:fldCharType="end"/>
            </w:r>
            <w:r w:rsidR="00C27264" w:rsidRPr="00C27264">
              <w:rPr>
                <w:rFonts w:ascii="Times New Roman" w:eastAsia="Times New Roman" w:hAnsi="Times New Roman"/>
                <w:bCs/>
                <w:sz w:val="24"/>
                <w:szCs w:val="24"/>
              </w:rPr>
              <w:t>: Comparaison de la structure du panel à celle de l’enquête EMICoV</w:t>
            </w:r>
          </w:p>
        </w:tc>
      </w:tr>
      <w:tr w:rsidR="00FF2575" w:rsidTr="00C27264">
        <w:trPr>
          <w:trHeight w:val="357"/>
        </w:trPr>
        <w:tc>
          <w:tcPr>
            <w:tcW w:w="1586" w:type="dxa"/>
            <w:vMerge w:val="restart"/>
            <w:tcBorders>
              <w:top w:val="double" w:sz="4" w:space="0" w:color="auto"/>
              <w:left w:val="nil"/>
              <w:bottom w:val="single" w:sz="8" w:space="0" w:color="000000"/>
            </w:tcBorders>
            <w:shd w:val="clear" w:color="auto" w:fill="DAEEF3" w:themeFill="accent5" w:themeFillTint="33"/>
            <w:noWrap/>
            <w:vAlign w:val="bottom"/>
            <w:hideMark/>
          </w:tcPr>
          <w:p w:rsidR="00FF2575" w:rsidRDefault="00FF2575">
            <w:pPr>
              <w:spacing w:line="240" w:lineRule="auto"/>
              <w:jc w:val="center"/>
              <w:rPr>
                <w:rFonts w:ascii="Times New Roman" w:hAnsi="Times New Roman"/>
                <w:sz w:val="24"/>
                <w:szCs w:val="24"/>
              </w:rPr>
            </w:pPr>
            <w:r>
              <w:rPr>
                <w:rFonts w:ascii="Times New Roman" w:hAnsi="Times New Roman"/>
                <w:sz w:val="24"/>
                <w:szCs w:val="24"/>
              </w:rPr>
              <w:t>Département</w:t>
            </w:r>
          </w:p>
        </w:tc>
        <w:tc>
          <w:tcPr>
            <w:tcW w:w="3572" w:type="dxa"/>
            <w:gridSpan w:val="3"/>
            <w:tcBorders>
              <w:top w:val="double" w:sz="4" w:space="0" w:color="auto"/>
              <w:bottom w:val="single" w:sz="8" w:space="0" w:color="000000"/>
            </w:tcBorders>
            <w:shd w:val="clear" w:color="auto" w:fill="DAEEF3" w:themeFill="accent5" w:themeFillTint="33"/>
            <w:noWrap/>
            <w:vAlign w:val="bottom"/>
            <w:hideMark/>
          </w:tcPr>
          <w:p w:rsidR="00FF2575" w:rsidRPr="00FF2575" w:rsidRDefault="00FF2575">
            <w:pPr>
              <w:spacing w:line="240" w:lineRule="auto"/>
              <w:jc w:val="center"/>
              <w:rPr>
                <w:rFonts w:ascii="Times New Roman" w:hAnsi="Times New Roman"/>
                <w:sz w:val="24"/>
                <w:szCs w:val="24"/>
              </w:rPr>
            </w:pPr>
            <w:r w:rsidRPr="00FF2575">
              <w:rPr>
                <w:rFonts w:ascii="Times New Roman" w:hAnsi="Times New Roman"/>
                <w:sz w:val="24"/>
                <w:szCs w:val="24"/>
              </w:rPr>
              <w:t>Echantillon EMICoV</w:t>
            </w:r>
          </w:p>
        </w:tc>
        <w:tc>
          <w:tcPr>
            <w:tcW w:w="3422" w:type="dxa"/>
            <w:gridSpan w:val="3"/>
            <w:tcBorders>
              <w:top w:val="double" w:sz="4" w:space="0" w:color="auto"/>
              <w:bottom w:val="single" w:sz="8" w:space="0" w:color="000000"/>
            </w:tcBorders>
            <w:shd w:val="clear" w:color="auto" w:fill="DAEEF3" w:themeFill="accent5" w:themeFillTint="33"/>
            <w:noWrap/>
            <w:vAlign w:val="bottom"/>
            <w:hideMark/>
          </w:tcPr>
          <w:p w:rsidR="00FF2575" w:rsidRPr="00FF2575" w:rsidRDefault="00FF2575">
            <w:pPr>
              <w:spacing w:line="240" w:lineRule="auto"/>
              <w:jc w:val="center"/>
              <w:rPr>
                <w:rFonts w:ascii="Times New Roman" w:hAnsi="Times New Roman"/>
                <w:sz w:val="24"/>
                <w:szCs w:val="24"/>
              </w:rPr>
            </w:pPr>
            <w:r w:rsidRPr="00FF2575">
              <w:rPr>
                <w:rFonts w:ascii="Times New Roman" w:hAnsi="Times New Roman"/>
                <w:sz w:val="24"/>
                <w:szCs w:val="24"/>
              </w:rPr>
              <w:t>Echantillon panel 2006-2010</w:t>
            </w:r>
          </w:p>
        </w:tc>
      </w:tr>
      <w:tr w:rsidR="00FF2575" w:rsidTr="00C27264">
        <w:trPr>
          <w:trHeight w:val="495"/>
        </w:trPr>
        <w:tc>
          <w:tcPr>
            <w:tcW w:w="1586" w:type="dxa"/>
            <w:vMerge/>
            <w:tcBorders>
              <w:left w:val="nil"/>
              <w:bottom w:val="single" w:sz="8" w:space="0" w:color="000000"/>
            </w:tcBorders>
            <w:vAlign w:val="center"/>
            <w:hideMark/>
          </w:tcPr>
          <w:p w:rsidR="00FF2575" w:rsidRDefault="00FF2575">
            <w:pPr>
              <w:spacing w:line="240" w:lineRule="auto"/>
              <w:jc w:val="left"/>
              <w:rPr>
                <w:rFonts w:ascii="Times New Roman" w:hAnsi="Times New Roman"/>
                <w:sz w:val="24"/>
                <w:szCs w:val="24"/>
              </w:rPr>
            </w:pPr>
          </w:p>
        </w:tc>
        <w:tc>
          <w:tcPr>
            <w:tcW w:w="1449" w:type="dxa"/>
            <w:tcBorders>
              <w:bottom w:val="single" w:sz="4" w:space="0" w:color="auto"/>
            </w:tcBorders>
            <w:shd w:val="clear" w:color="auto" w:fill="DAEEF3" w:themeFill="accent5" w:themeFillTint="33"/>
            <w:hideMark/>
          </w:tcPr>
          <w:p w:rsidR="00FF2575" w:rsidRDefault="00FF2575">
            <w:pPr>
              <w:spacing w:line="240" w:lineRule="auto"/>
              <w:ind w:firstLineChars="100" w:firstLine="240"/>
              <w:jc w:val="right"/>
              <w:rPr>
                <w:rFonts w:ascii="Times New Roman" w:hAnsi="Times New Roman"/>
                <w:sz w:val="24"/>
                <w:szCs w:val="24"/>
              </w:rPr>
            </w:pPr>
            <w:r>
              <w:rPr>
                <w:rFonts w:ascii="Times New Roman" w:hAnsi="Times New Roman"/>
                <w:sz w:val="24"/>
                <w:szCs w:val="24"/>
              </w:rPr>
              <w:t>Urbain</w:t>
            </w:r>
          </w:p>
        </w:tc>
        <w:tc>
          <w:tcPr>
            <w:tcW w:w="1186" w:type="dxa"/>
            <w:tcBorders>
              <w:bottom w:val="single" w:sz="4" w:space="0" w:color="auto"/>
            </w:tcBorders>
            <w:shd w:val="clear" w:color="auto" w:fill="DAEEF3" w:themeFill="accent5" w:themeFillTint="33"/>
            <w:hideMark/>
          </w:tcPr>
          <w:p w:rsidR="00FF2575" w:rsidRDefault="00FF2575">
            <w:pPr>
              <w:spacing w:line="240" w:lineRule="auto"/>
              <w:rPr>
                <w:rFonts w:ascii="Times New Roman" w:hAnsi="Times New Roman"/>
                <w:sz w:val="24"/>
                <w:szCs w:val="24"/>
              </w:rPr>
            </w:pPr>
            <w:r>
              <w:rPr>
                <w:rFonts w:ascii="Times New Roman" w:hAnsi="Times New Roman"/>
                <w:sz w:val="24"/>
                <w:szCs w:val="24"/>
              </w:rPr>
              <w:t>Rural</w:t>
            </w:r>
          </w:p>
        </w:tc>
        <w:tc>
          <w:tcPr>
            <w:tcW w:w="937" w:type="dxa"/>
            <w:tcBorders>
              <w:bottom w:val="single" w:sz="4" w:space="0" w:color="auto"/>
            </w:tcBorders>
            <w:shd w:val="clear" w:color="auto" w:fill="DAEEF3" w:themeFill="accent5" w:themeFillTint="33"/>
            <w:hideMark/>
          </w:tcPr>
          <w:p w:rsidR="00FF2575" w:rsidRDefault="00FF2575">
            <w:pPr>
              <w:spacing w:line="240" w:lineRule="auto"/>
              <w:rPr>
                <w:rFonts w:ascii="Times New Roman" w:hAnsi="Times New Roman"/>
                <w:sz w:val="24"/>
                <w:szCs w:val="24"/>
              </w:rPr>
            </w:pPr>
            <w:r>
              <w:rPr>
                <w:rFonts w:ascii="Times New Roman" w:hAnsi="Times New Roman"/>
                <w:sz w:val="24"/>
                <w:szCs w:val="24"/>
              </w:rPr>
              <w:t>Total</w:t>
            </w:r>
          </w:p>
        </w:tc>
        <w:tc>
          <w:tcPr>
            <w:tcW w:w="1186" w:type="dxa"/>
            <w:tcBorders>
              <w:bottom w:val="single" w:sz="4" w:space="0" w:color="auto"/>
            </w:tcBorders>
            <w:shd w:val="clear" w:color="auto" w:fill="DAEEF3" w:themeFill="accent5" w:themeFillTint="33"/>
            <w:hideMark/>
          </w:tcPr>
          <w:p w:rsidR="00FF2575" w:rsidRDefault="00FF2575">
            <w:pPr>
              <w:spacing w:line="240" w:lineRule="auto"/>
              <w:ind w:firstLine="240"/>
              <w:rPr>
                <w:rFonts w:ascii="Times New Roman" w:hAnsi="Times New Roman"/>
                <w:sz w:val="24"/>
                <w:szCs w:val="24"/>
              </w:rPr>
            </w:pPr>
            <w:r>
              <w:rPr>
                <w:rFonts w:ascii="Times New Roman" w:hAnsi="Times New Roman"/>
                <w:sz w:val="24"/>
                <w:szCs w:val="24"/>
              </w:rPr>
              <w:t>Urbain</w:t>
            </w:r>
          </w:p>
        </w:tc>
        <w:tc>
          <w:tcPr>
            <w:tcW w:w="1186" w:type="dxa"/>
            <w:tcBorders>
              <w:bottom w:val="single" w:sz="4" w:space="0" w:color="auto"/>
            </w:tcBorders>
            <w:shd w:val="clear" w:color="auto" w:fill="DAEEF3" w:themeFill="accent5" w:themeFillTint="33"/>
            <w:hideMark/>
          </w:tcPr>
          <w:p w:rsidR="00FF2575" w:rsidRDefault="00FF2575">
            <w:pPr>
              <w:spacing w:line="240" w:lineRule="auto"/>
              <w:rPr>
                <w:rFonts w:ascii="Times New Roman" w:hAnsi="Times New Roman"/>
                <w:sz w:val="24"/>
                <w:szCs w:val="24"/>
              </w:rPr>
            </w:pPr>
            <w:r>
              <w:rPr>
                <w:rFonts w:ascii="Times New Roman" w:hAnsi="Times New Roman"/>
                <w:sz w:val="24"/>
                <w:szCs w:val="24"/>
              </w:rPr>
              <w:t xml:space="preserve">     Rural</w:t>
            </w:r>
          </w:p>
        </w:tc>
        <w:tc>
          <w:tcPr>
            <w:tcW w:w="1050" w:type="dxa"/>
            <w:tcBorders>
              <w:bottom w:val="single" w:sz="4" w:space="0" w:color="auto"/>
            </w:tcBorders>
            <w:shd w:val="clear" w:color="auto" w:fill="DAEEF3" w:themeFill="accent5" w:themeFillTint="33"/>
            <w:hideMark/>
          </w:tcPr>
          <w:p w:rsidR="00FF2575" w:rsidRDefault="00FF2575">
            <w:pPr>
              <w:spacing w:line="240" w:lineRule="auto"/>
              <w:ind w:firstLineChars="100" w:firstLine="240"/>
              <w:jc w:val="center"/>
              <w:rPr>
                <w:rFonts w:ascii="Times New Roman" w:hAnsi="Times New Roman"/>
                <w:sz w:val="24"/>
                <w:szCs w:val="24"/>
              </w:rPr>
            </w:pPr>
            <w:r>
              <w:rPr>
                <w:rFonts w:ascii="Times New Roman" w:hAnsi="Times New Roman"/>
                <w:sz w:val="24"/>
                <w:szCs w:val="24"/>
              </w:rPr>
              <w:t>Total</w:t>
            </w:r>
          </w:p>
        </w:tc>
      </w:tr>
      <w:tr w:rsidR="00FF2575" w:rsidTr="00C27264">
        <w:trPr>
          <w:trHeight w:val="315"/>
        </w:trPr>
        <w:tc>
          <w:tcPr>
            <w:tcW w:w="1586" w:type="dxa"/>
            <w:tcBorders>
              <w:top w:val="single" w:sz="8" w:space="0" w:color="000000"/>
              <w:left w:val="nil"/>
              <w:bottom w:val="nil"/>
              <w:right w:val="nil"/>
            </w:tcBorders>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Alibori</w:t>
            </w:r>
          </w:p>
        </w:tc>
        <w:tc>
          <w:tcPr>
            <w:tcW w:w="1449" w:type="dxa"/>
            <w:tcBorders>
              <w:top w:val="single" w:sz="4" w:space="0" w:color="auto"/>
              <w:left w:val="nil"/>
              <w:bottom w:val="nil"/>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4,2</w:t>
            </w:r>
          </w:p>
        </w:tc>
        <w:tc>
          <w:tcPr>
            <w:tcW w:w="1186" w:type="dxa"/>
            <w:tcBorders>
              <w:top w:val="single" w:sz="4" w:space="0" w:color="auto"/>
              <w:left w:val="nil"/>
              <w:bottom w:val="nil"/>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6,8</w:t>
            </w:r>
          </w:p>
        </w:tc>
        <w:tc>
          <w:tcPr>
            <w:tcW w:w="937" w:type="dxa"/>
            <w:tcBorders>
              <w:top w:val="single" w:sz="4" w:space="0" w:color="auto"/>
              <w:left w:val="nil"/>
              <w:bottom w:val="nil"/>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5,7</w:t>
            </w:r>
          </w:p>
        </w:tc>
        <w:tc>
          <w:tcPr>
            <w:tcW w:w="1186" w:type="dxa"/>
            <w:tcBorders>
              <w:top w:val="single" w:sz="4" w:space="0" w:color="auto"/>
              <w:left w:val="nil"/>
              <w:bottom w:val="nil"/>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5,8</w:t>
            </w:r>
          </w:p>
        </w:tc>
        <w:tc>
          <w:tcPr>
            <w:tcW w:w="1186" w:type="dxa"/>
            <w:tcBorders>
              <w:top w:val="single" w:sz="4" w:space="0" w:color="auto"/>
              <w:left w:val="nil"/>
              <w:bottom w:val="nil"/>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7,0</w:t>
            </w:r>
          </w:p>
        </w:tc>
        <w:tc>
          <w:tcPr>
            <w:tcW w:w="1050" w:type="dxa"/>
            <w:tcBorders>
              <w:top w:val="single" w:sz="4" w:space="0" w:color="auto"/>
              <w:left w:val="nil"/>
              <w:bottom w:val="nil"/>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6,6</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Atacora</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7,7</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11,2</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7,7</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8,9</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Atlantique</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10,3</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14,3</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12,7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11,7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15,1</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13,9</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Borgou</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9,7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7,0</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8,1</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10,8</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7,6</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8,7</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Collines</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5,5</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9,8</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8,0</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5,6</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8,9</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7,8</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Couffo</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4,8</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8,9</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7,2</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7,4</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9,2</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8,5</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Donga</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4,2</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5,0</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4,7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3,9</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4,2</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4,1</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Littoral</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27,1</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0,0</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11,2</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19,5</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0,0</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6,6</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Mono</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3,5</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8,9</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6,7</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3,6</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9,1</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7,2</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Ouémé</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10,3</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11,8</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11,2</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5,0</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10,9</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8,9</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Plateau</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5,5</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6,4</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6,0</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5,2</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5,7</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5,5</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Zou</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7,1</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13,4</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10,8</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10,3</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14,5</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13,1</w:t>
            </w:r>
          </w:p>
        </w:tc>
      </w:tr>
      <w:tr w:rsidR="00FF2575" w:rsidTr="00C27264">
        <w:trPr>
          <w:trHeight w:val="315"/>
        </w:trPr>
        <w:tc>
          <w:tcPr>
            <w:tcW w:w="1586" w:type="dxa"/>
            <w:shd w:val="clear" w:color="auto" w:fill="DAEEF3" w:themeFill="accent5" w:themeFillTint="33"/>
            <w:hideMark/>
          </w:tcPr>
          <w:p w:rsidR="00FF2575" w:rsidRDefault="00FF2575">
            <w:pPr>
              <w:spacing w:line="240" w:lineRule="auto"/>
              <w:jc w:val="left"/>
              <w:rPr>
                <w:rFonts w:ascii="Times New Roman" w:hAnsi="Times New Roman"/>
                <w:sz w:val="24"/>
                <w:szCs w:val="24"/>
              </w:rPr>
            </w:pPr>
            <w:r>
              <w:rPr>
                <w:rFonts w:ascii="Times New Roman" w:hAnsi="Times New Roman"/>
                <w:sz w:val="24"/>
                <w:szCs w:val="24"/>
              </w:rPr>
              <w:t>Total</w:t>
            </w:r>
          </w:p>
        </w:tc>
        <w:tc>
          <w:tcPr>
            <w:tcW w:w="1449"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100,0</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100,0</w:t>
            </w:r>
          </w:p>
        </w:tc>
        <w:tc>
          <w:tcPr>
            <w:tcW w:w="937"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100,0</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100,0</w:t>
            </w:r>
          </w:p>
        </w:tc>
        <w:tc>
          <w:tcPr>
            <w:tcW w:w="1186"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100,0</w:t>
            </w:r>
          </w:p>
        </w:tc>
        <w:tc>
          <w:tcPr>
            <w:tcW w:w="1050" w:type="dxa"/>
            <w:shd w:val="clear" w:color="auto" w:fill="DAEEF3" w:themeFill="accent5" w:themeFillTint="33"/>
            <w:noWrap/>
            <w:vAlign w:val="bottom"/>
            <w:hideMark/>
          </w:tcPr>
          <w:p w:rsidR="00FF2575" w:rsidRDefault="00FF2575">
            <w:pPr>
              <w:spacing w:line="240" w:lineRule="auto"/>
              <w:jc w:val="right"/>
              <w:rPr>
                <w:rFonts w:ascii="Times New Roman" w:hAnsi="Times New Roman"/>
                <w:sz w:val="24"/>
                <w:szCs w:val="24"/>
              </w:rPr>
            </w:pPr>
            <w:r>
              <w:rPr>
                <w:rFonts w:ascii="Times New Roman" w:hAnsi="Times New Roman"/>
                <w:sz w:val="24"/>
                <w:szCs w:val="24"/>
              </w:rPr>
              <w:t>100,0</w:t>
            </w:r>
          </w:p>
        </w:tc>
      </w:tr>
      <w:tr w:rsidR="00FF2575" w:rsidTr="00C27264">
        <w:trPr>
          <w:trHeight w:val="315"/>
        </w:trPr>
        <w:tc>
          <w:tcPr>
            <w:tcW w:w="1586" w:type="dxa"/>
            <w:tcBorders>
              <w:top w:val="nil"/>
              <w:left w:val="nil"/>
              <w:bottom w:val="double" w:sz="4" w:space="0" w:color="auto"/>
              <w:right w:val="nil"/>
            </w:tcBorders>
            <w:shd w:val="clear" w:color="auto" w:fill="DAEEF3" w:themeFill="accent5" w:themeFillTint="33"/>
            <w:hideMark/>
          </w:tcPr>
          <w:p w:rsidR="00FF2575" w:rsidRDefault="00FF2575">
            <w:pPr>
              <w:spacing w:line="240" w:lineRule="auto"/>
              <w:jc w:val="left"/>
              <w:rPr>
                <w:rFonts w:ascii="Times New Roman" w:hAnsi="Times New Roman"/>
                <w:b/>
                <w:sz w:val="24"/>
                <w:szCs w:val="24"/>
              </w:rPr>
            </w:pPr>
            <w:r>
              <w:rPr>
                <w:rFonts w:ascii="Times New Roman" w:hAnsi="Times New Roman"/>
                <w:b/>
                <w:sz w:val="24"/>
                <w:szCs w:val="24"/>
              </w:rPr>
              <w:t>Bénin</w:t>
            </w:r>
          </w:p>
        </w:tc>
        <w:tc>
          <w:tcPr>
            <w:tcW w:w="1449" w:type="dxa"/>
            <w:tcBorders>
              <w:top w:val="nil"/>
              <w:left w:val="nil"/>
              <w:bottom w:val="double" w:sz="4"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b/>
                <w:sz w:val="24"/>
                <w:szCs w:val="24"/>
              </w:rPr>
            </w:pPr>
            <w:r>
              <w:rPr>
                <w:rFonts w:ascii="Times New Roman" w:hAnsi="Times New Roman"/>
                <w:b/>
                <w:sz w:val="24"/>
                <w:szCs w:val="24"/>
              </w:rPr>
              <w:t>34,0</w:t>
            </w:r>
          </w:p>
        </w:tc>
        <w:tc>
          <w:tcPr>
            <w:tcW w:w="1186" w:type="dxa"/>
            <w:tcBorders>
              <w:top w:val="nil"/>
              <w:left w:val="nil"/>
              <w:bottom w:val="double" w:sz="4"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b/>
                <w:sz w:val="24"/>
                <w:szCs w:val="24"/>
              </w:rPr>
            </w:pPr>
            <w:r>
              <w:rPr>
                <w:rFonts w:ascii="Times New Roman" w:hAnsi="Times New Roman"/>
                <w:b/>
                <w:sz w:val="24"/>
                <w:szCs w:val="24"/>
              </w:rPr>
              <w:t>66,0</w:t>
            </w:r>
          </w:p>
        </w:tc>
        <w:tc>
          <w:tcPr>
            <w:tcW w:w="937" w:type="dxa"/>
            <w:tcBorders>
              <w:top w:val="nil"/>
              <w:left w:val="nil"/>
              <w:bottom w:val="double" w:sz="4"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b/>
                <w:sz w:val="24"/>
                <w:szCs w:val="24"/>
              </w:rPr>
            </w:pPr>
            <w:r>
              <w:rPr>
                <w:rFonts w:ascii="Times New Roman" w:hAnsi="Times New Roman"/>
                <w:b/>
                <w:sz w:val="24"/>
                <w:szCs w:val="24"/>
              </w:rPr>
              <w:t>100,0</w:t>
            </w:r>
          </w:p>
        </w:tc>
        <w:tc>
          <w:tcPr>
            <w:tcW w:w="1186" w:type="dxa"/>
            <w:tcBorders>
              <w:top w:val="nil"/>
              <w:left w:val="nil"/>
              <w:bottom w:val="double" w:sz="4"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b/>
                <w:sz w:val="24"/>
                <w:szCs w:val="24"/>
              </w:rPr>
            </w:pPr>
            <w:r>
              <w:rPr>
                <w:rFonts w:ascii="Times New Roman" w:hAnsi="Times New Roman"/>
                <w:b/>
                <w:sz w:val="24"/>
                <w:szCs w:val="24"/>
              </w:rPr>
              <w:t>41,3</w:t>
            </w:r>
          </w:p>
        </w:tc>
        <w:tc>
          <w:tcPr>
            <w:tcW w:w="1186" w:type="dxa"/>
            <w:tcBorders>
              <w:top w:val="nil"/>
              <w:left w:val="nil"/>
              <w:bottom w:val="double" w:sz="4"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b/>
                <w:sz w:val="24"/>
                <w:szCs w:val="24"/>
              </w:rPr>
            </w:pPr>
            <w:r>
              <w:rPr>
                <w:rFonts w:ascii="Times New Roman" w:hAnsi="Times New Roman"/>
                <w:b/>
                <w:sz w:val="24"/>
                <w:szCs w:val="24"/>
              </w:rPr>
              <w:t>58,7</w:t>
            </w:r>
          </w:p>
        </w:tc>
        <w:tc>
          <w:tcPr>
            <w:tcW w:w="1050" w:type="dxa"/>
            <w:tcBorders>
              <w:top w:val="nil"/>
              <w:left w:val="nil"/>
              <w:bottom w:val="double" w:sz="4"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hAnsi="Times New Roman"/>
                <w:b/>
                <w:sz w:val="24"/>
                <w:szCs w:val="24"/>
              </w:rPr>
            </w:pPr>
            <w:r>
              <w:rPr>
                <w:rFonts w:ascii="Times New Roman" w:hAnsi="Times New Roman"/>
                <w:b/>
                <w:sz w:val="24"/>
                <w:szCs w:val="24"/>
              </w:rPr>
              <w:t>100,0</w:t>
            </w:r>
          </w:p>
        </w:tc>
      </w:tr>
      <w:tr w:rsidR="00FF2575" w:rsidTr="00C27264">
        <w:trPr>
          <w:trHeight w:val="315"/>
        </w:trPr>
        <w:tc>
          <w:tcPr>
            <w:tcW w:w="8580" w:type="dxa"/>
            <w:gridSpan w:val="7"/>
            <w:tcBorders>
              <w:top w:val="double" w:sz="4" w:space="0" w:color="auto"/>
              <w:left w:val="nil"/>
              <w:bottom w:val="nil"/>
              <w:right w:val="nil"/>
            </w:tcBorders>
            <w:shd w:val="clear" w:color="auto" w:fill="DAEEF3" w:themeFill="accent5" w:themeFillTint="33"/>
            <w:hideMark/>
          </w:tcPr>
          <w:p w:rsidR="00FF2575" w:rsidRDefault="00FF2575">
            <w:pP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Source : INSAE, 2013</w:t>
            </w:r>
          </w:p>
        </w:tc>
      </w:tr>
    </w:tbl>
    <w:p w:rsidR="00FF2575" w:rsidRDefault="00FF2575" w:rsidP="00FF2575">
      <w:pPr>
        <w:rPr>
          <w:rFonts w:ascii="Times New Roman" w:eastAsia="Times New Roman" w:hAnsi="Times New Roman"/>
          <w:color w:val="000000"/>
          <w:sz w:val="24"/>
          <w:szCs w:val="24"/>
          <w:lang w:eastAsia="fr-FR"/>
        </w:rPr>
      </w:pPr>
    </w:p>
    <w:p w:rsidR="00DE0355" w:rsidRDefault="00DE0355" w:rsidP="00DE0355">
      <w:pPr>
        <w:spacing w:line="276" w:lineRule="auto"/>
        <w:rPr>
          <w:rFonts w:ascii="Times New Roman" w:hAnsi="Times New Roman"/>
          <w:sz w:val="24"/>
          <w:szCs w:val="24"/>
        </w:rPr>
      </w:pPr>
      <w:r w:rsidRPr="00B76D0A">
        <w:rPr>
          <w:rFonts w:ascii="Times New Roman" w:hAnsi="Times New Roman"/>
          <w:b/>
          <w:sz w:val="24"/>
          <w:szCs w:val="24"/>
        </w:rPr>
        <w:t>Méthodologie de collecte des données</w:t>
      </w:r>
      <w:r w:rsidRPr="00B76D0A">
        <w:rPr>
          <w:rFonts w:ascii="Times New Roman" w:hAnsi="Times New Roman"/>
          <w:sz w:val="24"/>
          <w:szCs w:val="24"/>
        </w:rPr>
        <w:t> : Elle est restreinte aux dépenses de consommation des ménages</w:t>
      </w:r>
      <w:r>
        <w:rPr>
          <w:rFonts w:ascii="Times New Roman" w:hAnsi="Times New Roman"/>
          <w:sz w:val="24"/>
          <w:szCs w:val="24"/>
        </w:rPr>
        <w:t xml:space="preserve">. Elle porte sur la définition du concept des dépenses de consommation, la méthode de collecte </w:t>
      </w:r>
      <w:r w:rsidR="00060C7A">
        <w:rPr>
          <w:rFonts w:ascii="Times New Roman" w:hAnsi="Times New Roman"/>
          <w:sz w:val="24"/>
          <w:szCs w:val="24"/>
        </w:rPr>
        <w:t xml:space="preserve">de </w:t>
      </w:r>
      <w:r>
        <w:rPr>
          <w:rFonts w:ascii="Times New Roman" w:hAnsi="Times New Roman"/>
          <w:sz w:val="24"/>
          <w:szCs w:val="24"/>
        </w:rPr>
        <w:t xml:space="preserve">données et d’estimation y afférente. </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Pr>
          <w:rFonts w:ascii="Times New Roman" w:hAnsi="Times New Roman"/>
          <w:sz w:val="24"/>
          <w:szCs w:val="24"/>
        </w:rPr>
        <w:t xml:space="preserve">Les dépenses de consommation </w:t>
      </w:r>
      <w:r w:rsidRPr="00B76D0A">
        <w:rPr>
          <w:rFonts w:ascii="Times New Roman" w:hAnsi="Times New Roman"/>
          <w:sz w:val="24"/>
          <w:szCs w:val="24"/>
        </w:rPr>
        <w:t>sont définies comme la somme pendant la période de référence :</w:t>
      </w:r>
    </w:p>
    <w:p w:rsidR="00DE0355" w:rsidRPr="005A147A" w:rsidRDefault="00DE0355" w:rsidP="00930D19">
      <w:pPr>
        <w:pStyle w:val="Paragraphedeliste"/>
        <w:numPr>
          <w:ilvl w:val="0"/>
          <w:numId w:val="3"/>
        </w:numPr>
        <w:spacing w:line="276" w:lineRule="auto"/>
        <w:rPr>
          <w:rFonts w:ascii="Times New Roman" w:hAnsi="Times New Roman"/>
          <w:sz w:val="24"/>
          <w:szCs w:val="24"/>
        </w:rPr>
      </w:pPr>
      <w:r>
        <w:rPr>
          <w:rFonts w:ascii="Times New Roman" w:hAnsi="Times New Roman"/>
          <w:sz w:val="24"/>
          <w:szCs w:val="24"/>
        </w:rPr>
        <w:t>d</w:t>
      </w:r>
      <w:r w:rsidRPr="005A147A">
        <w:rPr>
          <w:rFonts w:ascii="Times New Roman" w:hAnsi="Times New Roman"/>
          <w:sz w:val="24"/>
          <w:szCs w:val="24"/>
        </w:rPr>
        <w:t>es dépenses monétaires des membres du ménage sur les biens et services destinés à la consommation finale;</w:t>
      </w:r>
    </w:p>
    <w:p w:rsidR="00DE0355" w:rsidRPr="005A147A" w:rsidRDefault="00DE0355" w:rsidP="00930D19">
      <w:pPr>
        <w:pStyle w:val="Paragraphedeliste"/>
        <w:numPr>
          <w:ilvl w:val="0"/>
          <w:numId w:val="3"/>
        </w:numPr>
        <w:spacing w:line="276" w:lineRule="auto"/>
        <w:rPr>
          <w:rFonts w:ascii="Times New Roman" w:hAnsi="Times New Roman"/>
          <w:sz w:val="24"/>
          <w:szCs w:val="24"/>
        </w:rPr>
      </w:pPr>
      <w:r>
        <w:rPr>
          <w:rFonts w:ascii="Times New Roman" w:hAnsi="Times New Roman"/>
          <w:sz w:val="24"/>
          <w:szCs w:val="24"/>
        </w:rPr>
        <w:t>d</w:t>
      </w:r>
      <w:r w:rsidRPr="005A147A">
        <w:rPr>
          <w:rFonts w:ascii="Times New Roman" w:hAnsi="Times New Roman"/>
          <w:sz w:val="24"/>
          <w:szCs w:val="24"/>
        </w:rPr>
        <w:t>e la valorisation de l’autoconsommation provenant de la production ou des stocks du ménage ;</w:t>
      </w:r>
    </w:p>
    <w:p w:rsidR="00DE0355" w:rsidRDefault="00DE0355" w:rsidP="00930D19">
      <w:pPr>
        <w:pStyle w:val="Paragraphedeliste"/>
        <w:numPr>
          <w:ilvl w:val="0"/>
          <w:numId w:val="3"/>
        </w:numPr>
        <w:spacing w:line="276" w:lineRule="auto"/>
        <w:rPr>
          <w:rFonts w:ascii="Times New Roman" w:hAnsi="Times New Roman"/>
          <w:sz w:val="24"/>
          <w:szCs w:val="24"/>
        </w:rPr>
      </w:pPr>
      <w:r>
        <w:rPr>
          <w:rFonts w:ascii="Times New Roman" w:hAnsi="Times New Roman"/>
          <w:sz w:val="24"/>
          <w:szCs w:val="24"/>
        </w:rPr>
        <w:t>d</w:t>
      </w:r>
      <w:r w:rsidRPr="005A147A">
        <w:rPr>
          <w:rFonts w:ascii="Times New Roman" w:hAnsi="Times New Roman"/>
          <w:sz w:val="24"/>
          <w:szCs w:val="24"/>
        </w:rPr>
        <w:t>e la valorisation des dons reçus en nature pour consommation dans la période.</w:t>
      </w:r>
    </w:p>
    <w:p w:rsidR="00DE0355" w:rsidRDefault="00DE0355" w:rsidP="00DE0355">
      <w:pPr>
        <w:pStyle w:val="Paragraphedeliste"/>
        <w:spacing w:line="276" w:lineRule="auto"/>
        <w:ind w:left="1353"/>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Pr>
          <w:rFonts w:ascii="Times New Roman" w:hAnsi="Times New Roman"/>
          <w:sz w:val="24"/>
          <w:szCs w:val="24"/>
        </w:rPr>
        <w:t>En ce qui concerne l</w:t>
      </w:r>
      <w:r w:rsidRPr="00B76D0A">
        <w:rPr>
          <w:rFonts w:ascii="Times New Roman" w:hAnsi="Times New Roman"/>
          <w:sz w:val="24"/>
          <w:szCs w:val="24"/>
        </w:rPr>
        <w:t>a méthode de collecte des données</w:t>
      </w:r>
      <w:r>
        <w:rPr>
          <w:rFonts w:ascii="Times New Roman" w:hAnsi="Times New Roman"/>
          <w:sz w:val="24"/>
          <w:szCs w:val="24"/>
        </w:rPr>
        <w:t xml:space="preserve">, elle repose </w:t>
      </w:r>
      <w:r w:rsidRPr="00B76D0A">
        <w:rPr>
          <w:rFonts w:ascii="Times New Roman" w:hAnsi="Times New Roman"/>
          <w:sz w:val="24"/>
          <w:szCs w:val="24"/>
        </w:rPr>
        <w:t xml:space="preserve">sur deux types de relevés simultanés: </w:t>
      </w:r>
    </w:p>
    <w:p w:rsidR="00DE0355" w:rsidRPr="00B74197" w:rsidRDefault="00DE0355" w:rsidP="00DE0355">
      <w:pPr>
        <w:pStyle w:val="Paragraphedeliste"/>
        <w:spacing w:line="276" w:lineRule="auto"/>
        <w:rPr>
          <w:rFonts w:ascii="Times New Roman" w:hAnsi="Times New Roman"/>
          <w:sz w:val="12"/>
          <w:szCs w:val="12"/>
        </w:rPr>
      </w:pPr>
    </w:p>
    <w:p w:rsidR="00DE0355" w:rsidRDefault="00DE0355" w:rsidP="00930D19">
      <w:pPr>
        <w:pStyle w:val="Paragraphedeliste"/>
        <w:numPr>
          <w:ilvl w:val="0"/>
          <w:numId w:val="4"/>
        </w:numPr>
        <w:spacing w:line="276" w:lineRule="auto"/>
        <w:rPr>
          <w:rFonts w:ascii="Times New Roman" w:hAnsi="Times New Roman"/>
          <w:sz w:val="24"/>
          <w:szCs w:val="24"/>
        </w:rPr>
      </w:pPr>
      <w:r w:rsidRPr="005A147A">
        <w:rPr>
          <w:rFonts w:ascii="Times New Roman" w:hAnsi="Times New Roman"/>
          <w:sz w:val="24"/>
          <w:szCs w:val="24"/>
        </w:rPr>
        <w:t>la méthode des relevés quotidiens (méthode du registre du ménage) pour les dépenses courantes, s’appuyant sur les carnets de comptes distribués à chaque membre du ménage susceptible d’effectuer personnellement des dépenses ;</w:t>
      </w:r>
    </w:p>
    <w:p w:rsidR="00DE0355" w:rsidRPr="0075280E" w:rsidRDefault="00DE0355" w:rsidP="00DE0355">
      <w:pPr>
        <w:pStyle w:val="Paragraphedeliste"/>
        <w:spacing w:line="276" w:lineRule="auto"/>
        <w:ind w:left="1495"/>
        <w:rPr>
          <w:rFonts w:ascii="Times New Roman" w:hAnsi="Times New Roman"/>
          <w:sz w:val="24"/>
          <w:szCs w:val="24"/>
        </w:rPr>
      </w:pPr>
    </w:p>
    <w:p w:rsidR="00DE0355" w:rsidRPr="005A147A" w:rsidRDefault="00DE0355" w:rsidP="00930D19">
      <w:pPr>
        <w:pStyle w:val="Paragraphedeliste"/>
        <w:numPr>
          <w:ilvl w:val="0"/>
          <w:numId w:val="4"/>
        </w:numPr>
        <w:spacing w:line="276" w:lineRule="auto"/>
        <w:rPr>
          <w:rFonts w:ascii="Times New Roman" w:hAnsi="Times New Roman"/>
          <w:sz w:val="24"/>
          <w:szCs w:val="24"/>
        </w:rPr>
      </w:pPr>
      <w:r w:rsidRPr="005A147A">
        <w:rPr>
          <w:rFonts w:ascii="Times New Roman" w:hAnsi="Times New Roman"/>
          <w:sz w:val="24"/>
          <w:szCs w:val="24"/>
        </w:rPr>
        <w:t xml:space="preserve">et la méthode des relevés rétrospectifs (méthode du rappel) pour les autres dépenses. Cette méthode consiste en un rappel des valeurs et quantités dépensées pour différents biens consommés, achetés ou produits par le ménage pendant une période de temps déterminée. </w:t>
      </w:r>
      <w:r>
        <w:rPr>
          <w:rFonts w:ascii="Times New Roman" w:hAnsi="Times New Roman"/>
          <w:sz w:val="24"/>
          <w:szCs w:val="24"/>
        </w:rPr>
        <w:t>L</w:t>
      </w:r>
      <w:r w:rsidRPr="005A147A">
        <w:rPr>
          <w:rFonts w:ascii="Times New Roman" w:hAnsi="Times New Roman"/>
          <w:sz w:val="24"/>
          <w:szCs w:val="24"/>
        </w:rPr>
        <w:t>es périodes de temps considérées sont les trois (03) derniers mois, les six (06) derniers mois, les douze (12) derniers mois et les vingt quatre (24) derniers mois.</w:t>
      </w:r>
    </w:p>
    <w:p w:rsidR="00DE0355" w:rsidRPr="007B43D0" w:rsidRDefault="00DE0355" w:rsidP="00DE0355">
      <w:pPr>
        <w:pStyle w:val="Paragraphedeliste"/>
        <w:spacing w:line="276" w:lineRule="auto"/>
        <w:ind w:left="1440"/>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7B43D0">
        <w:rPr>
          <w:rFonts w:ascii="Times New Roman" w:hAnsi="Times New Roman"/>
          <w:sz w:val="24"/>
          <w:szCs w:val="24"/>
        </w:rPr>
        <w:t>L’enquête EMICoV a utilisé simultanément les deux méthodes de collecte des dépenses. Les dépenses courantes ou quotidiennes ont été collectées pendant 7 jours dans les milieux ruraux et pendant 15 jours dans les milieux urbains. Cette différence de jours de collecte est due à la gamme de produits disponible</w:t>
      </w:r>
      <w:r>
        <w:rPr>
          <w:rFonts w:ascii="Times New Roman" w:hAnsi="Times New Roman"/>
          <w:sz w:val="24"/>
          <w:szCs w:val="24"/>
        </w:rPr>
        <w:t>s</w:t>
      </w:r>
      <w:r w:rsidRPr="007B43D0">
        <w:rPr>
          <w:rFonts w:ascii="Times New Roman" w:hAnsi="Times New Roman"/>
          <w:sz w:val="24"/>
          <w:szCs w:val="24"/>
        </w:rPr>
        <w:t xml:space="preserve"> dans chaque milieu. A partir </w:t>
      </w:r>
      <w:r w:rsidR="00060C7A">
        <w:rPr>
          <w:rFonts w:ascii="Times New Roman" w:hAnsi="Times New Roman"/>
          <w:sz w:val="24"/>
          <w:szCs w:val="24"/>
        </w:rPr>
        <w:t>d</w:t>
      </w:r>
      <w:r w:rsidR="00060C7A" w:rsidRPr="007B43D0">
        <w:rPr>
          <w:rFonts w:ascii="Times New Roman" w:hAnsi="Times New Roman"/>
          <w:sz w:val="24"/>
          <w:szCs w:val="24"/>
        </w:rPr>
        <w:t xml:space="preserve">es </w:t>
      </w:r>
      <w:r w:rsidRPr="007B43D0">
        <w:rPr>
          <w:rFonts w:ascii="Times New Roman" w:hAnsi="Times New Roman"/>
          <w:sz w:val="24"/>
          <w:szCs w:val="24"/>
        </w:rPr>
        <w:t xml:space="preserve">modules rétrospectifs traditionnels (santé, transport, communication, éducation, etc.), l’enquête a </w:t>
      </w:r>
      <w:r w:rsidRPr="00A07BB0">
        <w:rPr>
          <w:rFonts w:ascii="Times New Roman" w:hAnsi="Times New Roman"/>
          <w:sz w:val="24"/>
          <w:szCs w:val="24"/>
        </w:rPr>
        <w:t>couvert les</w:t>
      </w:r>
      <w:r w:rsidRPr="007B43D0">
        <w:rPr>
          <w:rFonts w:ascii="Times New Roman" w:hAnsi="Times New Roman"/>
          <w:sz w:val="24"/>
          <w:szCs w:val="24"/>
        </w:rPr>
        <w:t xml:space="preserve"> dépenses importantes et exceptionnelles de céréales et produits alimentaires pour prendre en compte les ménages qui font des stocks ou achètent en grandes quantités</w:t>
      </w:r>
      <w:r w:rsidR="00F733A7">
        <w:rPr>
          <w:rFonts w:ascii="Times New Roman" w:hAnsi="Times New Roman"/>
          <w:sz w:val="24"/>
          <w:szCs w:val="24"/>
        </w:rPr>
        <w:t xml:space="preserve"> </w:t>
      </w:r>
      <w:r w:rsidRPr="007B43D0">
        <w:rPr>
          <w:rFonts w:ascii="Times New Roman" w:hAnsi="Times New Roman"/>
          <w:sz w:val="24"/>
          <w:szCs w:val="24"/>
        </w:rPr>
        <w:t xml:space="preserve">et les dépenses à l’occasion des fêtes et cérémonies. </w:t>
      </w:r>
    </w:p>
    <w:p w:rsidR="00DE0355" w:rsidRPr="00B74197" w:rsidRDefault="00DE0355" w:rsidP="00DE0355">
      <w:pPr>
        <w:spacing w:line="276" w:lineRule="auto"/>
        <w:rPr>
          <w:rFonts w:ascii="Times New Roman" w:hAnsi="Times New Roman"/>
          <w:sz w:val="20"/>
          <w:szCs w:val="20"/>
        </w:rPr>
      </w:pPr>
    </w:p>
    <w:p w:rsidR="00DE0355" w:rsidRPr="007B43D0" w:rsidRDefault="00DE0355" w:rsidP="00DE0355">
      <w:pPr>
        <w:spacing w:line="276" w:lineRule="auto"/>
        <w:rPr>
          <w:rFonts w:ascii="Times New Roman" w:hAnsi="Times New Roman"/>
          <w:sz w:val="24"/>
          <w:szCs w:val="24"/>
        </w:rPr>
      </w:pPr>
      <w:r w:rsidRPr="00B76D0A">
        <w:rPr>
          <w:rFonts w:ascii="Times New Roman" w:hAnsi="Times New Roman"/>
          <w:sz w:val="24"/>
          <w:szCs w:val="24"/>
        </w:rPr>
        <w:t>La</w:t>
      </w:r>
      <w:r w:rsidR="00F733A7">
        <w:rPr>
          <w:rFonts w:ascii="Times New Roman" w:hAnsi="Times New Roman"/>
          <w:sz w:val="24"/>
          <w:szCs w:val="24"/>
        </w:rPr>
        <w:t xml:space="preserve"> </w:t>
      </w:r>
      <w:r w:rsidRPr="00B76D0A">
        <w:rPr>
          <w:rFonts w:ascii="Times New Roman" w:hAnsi="Times New Roman"/>
          <w:sz w:val="24"/>
          <w:szCs w:val="24"/>
        </w:rPr>
        <w:t>méthodologie d’estimation de</w:t>
      </w:r>
      <w:r>
        <w:rPr>
          <w:rFonts w:ascii="Times New Roman" w:hAnsi="Times New Roman"/>
          <w:sz w:val="24"/>
          <w:szCs w:val="24"/>
        </w:rPr>
        <w:t>s dépenses</w:t>
      </w:r>
      <w:r w:rsidRPr="00B76D0A">
        <w:rPr>
          <w:rFonts w:ascii="Times New Roman" w:hAnsi="Times New Roman"/>
          <w:sz w:val="24"/>
          <w:szCs w:val="24"/>
        </w:rPr>
        <w:t xml:space="preserve"> concerne spécifiquement la </w:t>
      </w:r>
      <w:r>
        <w:rPr>
          <w:rFonts w:ascii="Times New Roman" w:hAnsi="Times New Roman"/>
          <w:sz w:val="24"/>
          <w:szCs w:val="24"/>
        </w:rPr>
        <w:t xml:space="preserve">valorisation de </w:t>
      </w:r>
      <w:r w:rsidRPr="00B76D0A">
        <w:rPr>
          <w:rFonts w:ascii="Times New Roman" w:hAnsi="Times New Roman"/>
          <w:sz w:val="24"/>
          <w:szCs w:val="24"/>
        </w:rPr>
        <w:t>l’autoconsommation et le coût des loyers des propriétaires de leur maison d’habitation.</w:t>
      </w:r>
      <w:r>
        <w:rPr>
          <w:rFonts w:ascii="Times New Roman" w:hAnsi="Times New Roman"/>
          <w:sz w:val="24"/>
          <w:szCs w:val="24"/>
        </w:rPr>
        <w:t xml:space="preserve"> Cette estimation a été faite</w:t>
      </w:r>
      <w:r w:rsidRPr="007B43D0">
        <w:rPr>
          <w:rFonts w:ascii="Times New Roman" w:hAnsi="Times New Roman"/>
          <w:sz w:val="24"/>
          <w:szCs w:val="24"/>
        </w:rPr>
        <w:t xml:space="preserve"> au prix du consommateur sur le marché local. Le coût des loyers des propriétaires est évalué au coût de location par le chef de ménage d’une maison ayant les mêmes caractéristiques. Il a été demandé directement aux propriétaires-occupants</w:t>
      </w:r>
      <w:r>
        <w:rPr>
          <w:rFonts w:ascii="Times New Roman" w:hAnsi="Times New Roman"/>
          <w:sz w:val="24"/>
          <w:szCs w:val="24"/>
        </w:rPr>
        <w:t>,</w:t>
      </w:r>
      <w:r w:rsidRPr="007B43D0">
        <w:rPr>
          <w:rFonts w:ascii="Times New Roman" w:hAnsi="Times New Roman"/>
          <w:sz w:val="24"/>
          <w:szCs w:val="24"/>
        </w:rPr>
        <w:t xml:space="preserve"> une estimation de leur unité d’habitation. Cette information correspond au coût du loyer qu’il se serait payé sur les trente derniers jours.  </w:t>
      </w:r>
    </w:p>
    <w:p w:rsidR="00DE0355" w:rsidRPr="00B74197" w:rsidRDefault="00DE0355" w:rsidP="00DE0355">
      <w:pPr>
        <w:spacing w:line="276" w:lineRule="auto"/>
        <w:rPr>
          <w:rFonts w:ascii="Times New Roman" w:hAnsi="Times New Roman"/>
          <w:sz w:val="20"/>
          <w:szCs w:val="20"/>
        </w:rPr>
      </w:pPr>
    </w:p>
    <w:p w:rsidR="00DE0355" w:rsidRPr="007B43D0" w:rsidRDefault="00DE0355" w:rsidP="00DE0355">
      <w:pPr>
        <w:spacing w:line="276" w:lineRule="auto"/>
        <w:rPr>
          <w:rFonts w:ascii="Times New Roman" w:hAnsi="Times New Roman"/>
          <w:sz w:val="24"/>
          <w:szCs w:val="24"/>
        </w:rPr>
      </w:pPr>
      <w:r w:rsidRPr="007B43D0">
        <w:rPr>
          <w:rFonts w:ascii="Times New Roman" w:hAnsi="Times New Roman"/>
          <w:sz w:val="24"/>
          <w:szCs w:val="24"/>
        </w:rPr>
        <w:t>Les biens durables de consommation collectés au cours de l’enquête n’ont pas fait l’objet d’un traitement spécifique. Les coûts d’acquisition de ces bien</w:t>
      </w:r>
      <w:r w:rsidR="002E287C">
        <w:rPr>
          <w:rFonts w:ascii="Times New Roman" w:hAnsi="Times New Roman"/>
          <w:sz w:val="24"/>
          <w:szCs w:val="24"/>
        </w:rPr>
        <w:t>s</w:t>
      </w:r>
      <w:r w:rsidR="00F733A7">
        <w:rPr>
          <w:rFonts w:ascii="Times New Roman" w:hAnsi="Times New Roman"/>
          <w:sz w:val="24"/>
          <w:szCs w:val="24"/>
        </w:rPr>
        <w:t xml:space="preserve"> </w:t>
      </w:r>
      <w:r w:rsidRPr="007B43D0">
        <w:rPr>
          <w:rFonts w:ascii="Times New Roman" w:hAnsi="Times New Roman"/>
          <w:sz w:val="24"/>
          <w:szCs w:val="24"/>
        </w:rPr>
        <w:t xml:space="preserve">sont été additionnés aux dépenses de consommation. Dans le cadre de l’enquête, seul les biens acquis pendant la période de l’enquête (douze derniers mois) </w:t>
      </w:r>
      <w:r>
        <w:rPr>
          <w:rFonts w:ascii="Times New Roman" w:hAnsi="Times New Roman"/>
          <w:sz w:val="24"/>
          <w:szCs w:val="24"/>
        </w:rPr>
        <w:t>ont été</w:t>
      </w:r>
      <w:r w:rsidRPr="007B43D0">
        <w:rPr>
          <w:rFonts w:ascii="Times New Roman" w:hAnsi="Times New Roman"/>
          <w:sz w:val="24"/>
          <w:szCs w:val="24"/>
        </w:rPr>
        <w:t xml:space="preserve"> pris en compte. La difficulté du traitement des biens durables réside dans le fait qu’il</w:t>
      </w:r>
      <w:r>
        <w:rPr>
          <w:rFonts w:ascii="Times New Roman" w:hAnsi="Times New Roman"/>
          <w:sz w:val="24"/>
          <w:szCs w:val="24"/>
        </w:rPr>
        <w:t xml:space="preserve"> est plus indiqué de </w:t>
      </w:r>
      <w:r w:rsidRPr="007B43D0">
        <w:rPr>
          <w:rFonts w:ascii="Times New Roman" w:hAnsi="Times New Roman"/>
          <w:sz w:val="24"/>
          <w:szCs w:val="24"/>
        </w:rPr>
        <w:t>prendre que la valeur d’usage des biens acquis avant ou pendant l’enquête.</w:t>
      </w:r>
      <w:r>
        <w:rPr>
          <w:rFonts w:ascii="Times New Roman" w:hAnsi="Times New Roman"/>
          <w:sz w:val="24"/>
          <w:szCs w:val="24"/>
        </w:rPr>
        <w:t xml:space="preserve"> Ceci nécessite l’estimation des</w:t>
      </w:r>
      <w:r w:rsidRPr="007B43D0">
        <w:rPr>
          <w:rFonts w:ascii="Times New Roman" w:hAnsi="Times New Roman"/>
          <w:sz w:val="24"/>
          <w:szCs w:val="24"/>
        </w:rPr>
        <w:t xml:space="preserve"> taux de dépréciation pour chaque type de biens durables et d’appli</w:t>
      </w:r>
      <w:r>
        <w:rPr>
          <w:rFonts w:ascii="Times New Roman" w:hAnsi="Times New Roman"/>
          <w:sz w:val="24"/>
          <w:szCs w:val="24"/>
        </w:rPr>
        <w:t>cation de</w:t>
      </w:r>
      <w:r w:rsidRPr="007B43D0">
        <w:rPr>
          <w:rFonts w:ascii="Times New Roman" w:hAnsi="Times New Roman"/>
          <w:sz w:val="24"/>
          <w:szCs w:val="24"/>
        </w:rPr>
        <w:t xml:space="preserve"> ces taux aux prix d’acquisition des biens avant et pendant l’enquête. </w:t>
      </w:r>
    </w:p>
    <w:p w:rsidR="00DE0355" w:rsidRPr="00B74197"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7B43D0">
        <w:rPr>
          <w:rFonts w:ascii="Times New Roman" w:hAnsi="Times New Roman"/>
          <w:sz w:val="24"/>
          <w:szCs w:val="24"/>
        </w:rPr>
        <w:t xml:space="preserve">De 2006 à 2010, l’outil de collecte utilisé </w:t>
      </w:r>
      <w:r>
        <w:rPr>
          <w:rFonts w:ascii="Times New Roman" w:hAnsi="Times New Roman"/>
          <w:sz w:val="24"/>
          <w:szCs w:val="24"/>
        </w:rPr>
        <w:t xml:space="preserve">était </w:t>
      </w:r>
      <w:r w:rsidRPr="007B43D0">
        <w:rPr>
          <w:rFonts w:ascii="Times New Roman" w:hAnsi="Times New Roman"/>
          <w:sz w:val="24"/>
          <w:szCs w:val="24"/>
        </w:rPr>
        <w:t>le questionnaire papier</w:t>
      </w:r>
      <w:r>
        <w:rPr>
          <w:rFonts w:ascii="Times New Roman" w:hAnsi="Times New Roman"/>
          <w:sz w:val="24"/>
          <w:szCs w:val="24"/>
        </w:rPr>
        <w:t>, c</w:t>
      </w:r>
      <w:r w:rsidRPr="007B43D0">
        <w:rPr>
          <w:rFonts w:ascii="Times New Roman" w:hAnsi="Times New Roman"/>
          <w:sz w:val="24"/>
          <w:szCs w:val="24"/>
        </w:rPr>
        <w:t>e qui se traduisait par un délai long pour disposer des bases de données et des premiers résultats. En 2011, la collecte a été faite à partir du système CAPI (Computer Assisted</w:t>
      </w:r>
      <w:r w:rsidR="00F733A7">
        <w:rPr>
          <w:rFonts w:ascii="Times New Roman" w:hAnsi="Times New Roman"/>
          <w:sz w:val="24"/>
          <w:szCs w:val="24"/>
        </w:rPr>
        <w:t xml:space="preserve"> </w:t>
      </w:r>
      <w:r w:rsidRPr="007B43D0">
        <w:rPr>
          <w:rFonts w:ascii="Times New Roman" w:hAnsi="Times New Roman"/>
          <w:sz w:val="24"/>
          <w:szCs w:val="24"/>
        </w:rPr>
        <w:t>Personal Interview)</w:t>
      </w:r>
      <w:r>
        <w:rPr>
          <w:rFonts w:ascii="Times New Roman" w:hAnsi="Times New Roman"/>
          <w:sz w:val="24"/>
          <w:szCs w:val="24"/>
        </w:rPr>
        <w:t>, ce qui</w:t>
      </w:r>
      <w:r w:rsidR="00060C7A">
        <w:rPr>
          <w:rFonts w:ascii="Times New Roman" w:hAnsi="Times New Roman"/>
          <w:sz w:val="24"/>
          <w:szCs w:val="24"/>
        </w:rPr>
        <w:t xml:space="preserve"> </w:t>
      </w:r>
      <w:r w:rsidRPr="007B43D0">
        <w:rPr>
          <w:rFonts w:ascii="Times New Roman" w:hAnsi="Times New Roman"/>
          <w:sz w:val="24"/>
          <w:szCs w:val="24"/>
        </w:rPr>
        <w:t xml:space="preserve">a permis de disposer de la base de données un mois après la collecte et des premiers résultats trois </w:t>
      </w:r>
      <w:r>
        <w:rPr>
          <w:rFonts w:ascii="Times New Roman" w:hAnsi="Times New Roman"/>
          <w:sz w:val="24"/>
          <w:szCs w:val="24"/>
        </w:rPr>
        <w:t xml:space="preserve">mois </w:t>
      </w:r>
      <w:r w:rsidRPr="007B43D0">
        <w:rPr>
          <w:rFonts w:ascii="Times New Roman" w:hAnsi="Times New Roman"/>
          <w:sz w:val="24"/>
          <w:szCs w:val="24"/>
        </w:rPr>
        <w:t>après la fin de la collecte des données.</w:t>
      </w:r>
    </w:p>
    <w:p w:rsidR="00DE0355" w:rsidRDefault="00DE0355" w:rsidP="00DE0355">
      <w:pPr>
        <w:spacing w:line="276" w:lineRule="auto"/>
        <w:rPr>
          <w:rFonts w:ascii="Times New Roman" w:hAnsi="Times New Roman"/>
          <w:sz w:val="24"/>
          <w:szCs w:val="24"/>
        </w:rPr>
      </w:pPr>
    </w:p>
    <w:p w:rsidR="00DE0355" w:rsidRPr="00910784" w:rsidRDefault="00A87A4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w:t>
      </w:r>
      <w:r w:rsidR="00DE0355" w:rsidRPr="00910784">
        <w:rPr>
          <w:rFonts w:ascii="Times New Roman" w:hAnsi="Times New Roman"/>
          <w:color w:val="auto"/>
          <w:sz w:val="28"/>
          <w:szCs w:val="28"/>
        </w:rPr>
        <w:t>1.4</w:t>
      </w:r>
      <w:r w:rsidR="00313BDC">
        <w:rPr>
          <w:rFonts w:ascii="Times New Roman" w:hAnsi="Times New Roman"/>
          <w:color w:val="auto"/>
          <w:sz w:val="28"/>
          <w:szCs w:val="28"/>
        </w:rPr>
        <w:t xml:space="preserve"> </w:t>
      </w:r>
      <w:r w:rsidR="00DE0355" w:rsidRPr="00910784">
        <w:rPr>
          <w:rFonts w:ascii="Times New Roman" w:hAnsi="Times New Roman"/>
          <w:color w:val="auto"/>
          <w:sz w:val="28"/>
          <w:szCs w:val="28"/>
        </w:rPr>
        <w:t>Comparabilité des données des différentes éditions de données disponibles</w:t>
      </w:r>
    </w:p>
    <w:p w:rsidR="00DE0355" w:rsidRPr="00B74197"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7B43D0">
        <w:rPr>
          <w:rFonts w:ascii="Times New Roman" w:hAnsi="Times New Roman"/>
          <w:sz w:val="24"/>
          <w:szCs w:val="24"/>
        </w:rPr>
        <w:t>Le Bénin a réalisé une série d’enquête</w:t>
      </w:r>
      <w:r w:rsidR="00060C7A">
        <w:rPr>
          <w:rFonts w:ascii="Times New Roman" w:hAnsi="Times New Roman"/>
          <w:sz w:val="24"/>
          <w:szCs w:val="24"/>
        </w:rPr>
        <w:t>s</w:t>
      </w:r>
      <w:r w:rsidRPr="007B43D0">
        <w:rPr>
          <w:rFonts w:ascii="Times New Roman" w:hAnsi="Times New Roman"/>
          <w:sz w:val="24"/>
          <w:szCs w:val="24"/>
        </w:rPr>
        <w:t xml:space="preserve"> sur les conditions de vie de la population </w:t>
      </w:r>
      <w:r w:rsidRPr="00A07BB0">
        <w:rPr>
          <w:rFonts w:ascii="Times New Roman" w:hAnsi="Times New Roman"/>
          <w:sz w:val="24"/>
          <w:szCs w:val="24"/>
        </w:rPr>
        <w:t>(voir annexe 1).</w:t>
      </w:r>
      <w:r w:rsidRPr="007B43D0">
        <w:rPr>
          <w:rFonts w:ascii="Times New Roman" w:hAnsi="Times New Roman"/>
          <w:sz w:val="24"/>
          <w:szCs w:val="24"/>
        </w:rPr>
        <w:t xml:space="preserve">Toutefois, ces enquêtes ont été réalisées parfois avec des objectifs différents et des méthodologies différentes. Pour ce qui </w:t>
      </w:r>
      <w:r w:rsidR="00060C7A">
        <w:rPr>
          <w:rFonts w:ascii="Times New Roman" w:hAnsi="Times New Roman"/>
          <w:sz w:val="24"/>
          <w:szCs w:val="24"/>
        </w:rPr>
        <w:t xml:space="preserve">est </w:t>
      </w:r>
      <w:r w:rsidRPr="007B43D0">
        <w:rPr>
          <w:rFonts w:ascii="Times New Roman" w:hAnsi="Times New Roman"/>
          <w:sz w:val="24"/>
          <w:szCs w:val="24"/>
        </w:rPr>
        <w:t>de l’EMICoV, les différentes éditions ont été menées dans le but d’aider à la connaissance des conditions de vie des ménages et à l’analyse des progrès accomplis dans la lutte contre la pauvreté au Bénin.</w:t>
      </w:r>
      <w:r w:rsidR="00F733A7">
        <w:rPr>
          <w:rFonts w:ascii="Times New Roman" w:hAnsi="Times New Roman"/>
          <w:sz w:val="24"/>
          <w:szCs w:val="24"/>
        </w:rPr>
        <w:t xml:space="preserve"> </w:t>
      </w:r>
      <w:r w:rsidRPr="007B43D0">
        <w:rPr>
          <w:rFonts w:ascii="Times New Roman" w:hAnsi="Times New Roman"/>
          <w:sz w:val="24"/>
          <w:szCs w:val="24"/>
        </w:rPr>
        <w:t xml:space="preserve">Quatre éditions de l’enquête EMICoV ont été réalisées depuis 2006 par l’INSAE et ces données </w:t>
      </w:r>
      <w:r>
        <w:rPr>
          <w:rFonts w:ascii="Times New Roman" w:hAnsi="Times New Roman"/>
          <w:sz w:val="24"/>
          <w:szCs w:val="24"/>
        </w:rPr>
        <w:t xml:space="preserve">ont </w:t>
      </w:r>
      <w:r w:rsidRPr="007B43D0">
        <w:rPr>
          <w:rFonts w:ascii="Times New Roman" w:hAnsi="Times New Roman"/>
          <w:sz w:val="24"/>
          <w:szCs w:val="24"/>
        </w:rPr>
        <w:t xml:space="preserve">servi </w:t>
      </w:r>
      <w:r>
        <w:rPr>
          <w:rFonts w:ascii="Times New Roman" w:hAnsi="Times New Roman"/>
          <w:sz w:val="24"/>
          <w:szCs w:val="24"/>
        </w:rPr>
        <w:t xml:space="preserve">à </w:t>
      </w:r>
      <w:r w:rsidRPr="007B43D0">
        <w:rPr>
          <w:rFonts w:ascii="Times New Roman" w:hAnsi="Times New Roman"/>
          <w:sz w:val="24"/>
          <w:szCs w:val="24"/>
        </w:rPr>
        <w:t>l’analyse des tendances de la pauvreté. Afin de nous assurer de la pertinence des résultats qui découleront de l’analyse des tendances et de la dynamique de la pauvreté</w:t>
      </w:r>
      <w:r>
        <w:rPr>
          <w:rFonts w:ascii="Times New Roman" w:hAnsi="Times New Roman"/>
          <w:sz w:val="24"/>
          <w:szCs w:val="24"/>
        </w:rPr>
        <w:t xml:space="preserve"> dans le cadre de cette étude</w:t>
      </w:r>
      <w:r w:rsidRPr="007B43D0">
        <w:rPr>
          <w:rFonts w:ascii="Times New Roman" w:hAnsi="Times New Roman"/>
          <w:sz w:val="24"/>
          <w:szCs w:val="24"/>
        </w:rPr>
        <w:t xml:space="preserve">, </w:t>
      </w:r>
      <w:r>
        <w:rPr>
          <w:rFonts w:ascii="Times New Roman" w:hAnsi="Times New Roman"/>
          <w:sz w:val="24"/>
          <w:szCs w:val="24"/>
        </w:rPr>
        <w:t>nous avons procédé à l’analyse de</w:t>
      </w:r>
      <w:r w:rsidRPr="007B43D0">
        <w:rPr>
          <w:rFonts w:ascii="Times New Roman" w:hAnsi="Times New Roman"/>
          <w:sz w:val="24"/>
          <w:szCs w:val="24"/>
        </w:rPr>
        <w:t xml:space="preserve"> la comparabilité </w:t>
      </w:r>
      <w:r>
        <w:rPr>
          <w:rFonts w:ascii="Times New Roman" w:hAnsi="Times New Roman"/>
          <w:sz w:val="24"/>
          <w:szCs w:val="24"/>
        </w:rPr>
        <w:t xml:space="preserve">des données disponibles en prenant comme référence l’enquête QUIBB. </w:t>
      </w:r>
      <w:r w:rsidRPr="007B43D0">
        <w:rPr>
          <w:rFonts w:ascii="Times New Roman" w:hAnsi="Times New Roman"/>
          <w:sz w:val="24"/>
          <w:szCs w:val="24"/>
        </w:rPr>
        <w:t>L’analyse de la comparabilité</w:t>
      </w:r>
      <w:r>
        <w:rPr>
          <w:rFonts w:ascii="Times New Roman" w:hAnsi="Times New Roman"/>
          <w:sz w:val="24"/>
          <w:szCs w:val="24"/>
        </w:rPr>
        <w:t xml:space="preserve"> a porté sur </w:t>
      </w:r>
      <w:r w:rsidRPr="007B43D0">
        <w:rPr>
          <w:rFonts w:ascii="Times New Roman" w:hAnsi="Times New Roman"/>
          <w:sz w:val="24"/>
          <w:szCs w:val="24"/>
        </w:rPr>
        <w:t>les périodes de</w:t>
      </w:r>
      <w:r w:rsidR="00F733A7">
        <w:rPr>
          <w:rFonts w:ascii="Times New Roman" w:hAnsi="Times New Roman"/>
          <w:sz w:val="24"/>
          <w:szCs w:val="24"/>
        </w:rPr>
        <w:t xml:space="preserve"> </w:t>
      </w:r>
      <w:r w:rsidRPr="00A07BB0">
        <w:rPr>
          <w:rFonts w:ascii="Times New Roman" w:hAnsi="Times New Roman"/>
          <w:sz w:val="24"/>
          <w:szCs w:val="24"/>
        </w:rPr>
        <w:t>référence pour la collecte des dépenses, la période de réalisation des enquêtes et les modules</w:t>
      </w:r>
      <w:r w:rsidR="00F733A7">
        <w:rPr>
          <w:rFonts w:ascii="Times New Roman" w:hAnsi="Times New Roman"/>
          <w:sz w:val="24"/>
          <w:szCs w:val="24"/>
        </w:rPr>
        <w:t xml:space="preserve"> </w:t>
      </w:r>
      <w:r w:rsidRPr="00A07BB0">
        <w:rPr>
          <w:rFonts w:ascii="Times New Roman" w:hAnsi="Times New Roman"/>
          <w:sz w:val="24"/>
          <w:szCs w:val="24"/>
        </w:rPr>
        <w:t>administrés.</w:t>
      </w:r>
    </w:p>
    <w:p w:rsidR="00DE0355" w:rsidRPr="00FD4819"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DB5099">
        <w:rPr>
          <w:rFonts w:ascii="Times New Roman" w:hAnsi="Times New Roman"/>
          <w:b/>
          <w:sz w:val="24"/>
          <w:szCs w:val="24"/>
        </w:rPr>
        <w:t>Dépenses quotidiennes versus dépenses rétrospectives</w:t>
      </w:r>
      <w:r w:rsidRPr="007B43D0">
        <w:rPr>
          <w:rFonts w:ascii="Times New Roman" w:hAnsi="Times New Roman"/>
          <w:sz w:val="24"/>
          <w:szCs w:val="24"/>
        </w:rPr>
        <w:t> </w:t>
      </w:r>
      <w:r w:rsidRPr="00A07BB0">
        <w:rPr>
          <w:rFonts w:ascii="Times New Roman" w:hAnsi="Times New Roman"/>
          <w:sz w:val="24"/>
          <w:szCs w:val="24"/>
        </w:rPr>
        <w:t>: Le tableau 1.2</w:t>
      </w:r>
      <w:r w:rsidRPr="007B43D0">
        <w:rPr>
          <w:rFonts w:ascii="Times New Roman" w:hAnsi="Times New Roman"/>
          <w:sz w:val="24"/>
          <w:szCs w:val="24"/>
        </w:rPr>
        <w:t xml:space="preserve"> suivant met </w:t>
      </w:r>
      <w:r>
        <w:rPr>
          <w:rFonts w:ascii="Times New Roman" w:hAnsi="Times New Roman"/>
          <w:sz w:val="24"/>
          <w:szCs w:val="24"/>
        </w:rPr>
        <w:t xml:space="preserve">tout d’abord </w:t>
      </w:r>
      <w:r w:rsidRPr="007B43D0">
        <w:rPr>
          <w:rFonts w:ascii="Times New Roman" w:hAnsi="Times New Roman"/>
          <w:sz w:val="24"/>
          <w:szCs w:val="24"/>
        </w:rPr>
        <w:t>en relief un des problèmes qui peuvent affecter la comparabilité entre l</w:t>
      </w:r>
      <w:r>
        <w:rPr>
          <w:rFonts w:ascii="Times New Roman" w:hAnsi="Times New Roman"/>
          <w:sz w:val="24"/>
          <w:szCs w:val="24"/>
        </w:rPr>
        <w:t>’</w:t>
      </w:r>
      <w:r w:rsidRPr="007B43D0">
        <w:rPr>
          <w:rFonts w:ascii="Times New Roman" w:hAnsi="Times New Roman"/>
          <w:sz w:val="24"/>
          <w:szCs w:val="24"/>
        </w:rPr>
        <w:t xml:space="preserve">enquête QUIBB et les éditions de l’EMICoV. </w:t>
      </w:r>
      <w:r>
        <w:rPr>
          <w:rFonts w:ascii="Times New Roman" w:hAnsi="Times New Roman"/>
          <w:sz w:val="24"/>
          <w:szCs w:val="24"/>
        </w:rPr>
        <w:t>Au cours</w:t>
      </w:r>
      <w:r w:rsidRPr="007B43D0">
        <w:rPr>
          <w:rFonts w:ascii="Times New Roman" w:hAnsi="Times New Roman"/>
          <w:sz w:val="24"/>
          <w:szCs w:val="24"/>
        </w:rPr>
        <w:t xml:space="preserve"> de ces enquêtes, les dépenses courantes (quotidiennes) ont été collectées sur la base du journal personnel pendant 15 jours. Dans l</w:t>
      </w:r>
      <w:r>
        <w:rPr>
          <w:rFonts w:ascii="Times New Roman" w:hAnsi="Times New Roman"/>
          <w:sz w:val="24"/>
          <w:szCs w:val="24"/>
        </w:rPr>
        <w:t>’</w:t>
      </w:r>
      <w:r w:rsidRPr="007B43D0">
        <w:rPr>
          <w:rFonts w:ascii="Times New Roman" w:hAnsi="Times New Roman"/>
          <w:sz w:val="24"/>
          <w:szCs w:val="24"/>
        </w:rPr>
        <w:t>e</w:t>
      </w:r>
      <w:r>
        <w:rPr>
          <w:rFonts w:ascii="Times New Roman" w:hAnsi="Times New Roman"/>
          <w:sz w:val="24"/>
          <w:szCs w:val="24"/>
        </w:rPr>
        <w:t>nquête</w:t>
      </w:r>
      <w:r w:rsidRPr="007B43D0">
        <w:rPr>
          <w:rFonts w:ascii="Times New Roman" w:hAnsi="Times New Roman"/>
          <w:sz w:val="24"/>
          <w:szCs w:val="24"/>
        </w:rPr>
        <w:t xml:space="preserve"> QUIBB, les dépenses rétrospectives ont été collectées en faisant référence aux</w:t>
      </w:r>
      <w:r w:rsidR="00F733A7">
        <w:rPr>
          <w:rFonts w:ascii="Times New Roman" w:hAnsi="Times New Roman"/>
          <w:sz w:val="24"/>
          <w:szCs w:val="24"/>
        </w:rPr>
        <w:t xml:space="preserve"> </w:t>
      </w:r>
      <w:r w:rsidRPr="007B43D0">
        <w:rPr>
          <w:rFonts w:ascii="Times New Roman" w:hAnsi="Times New Roman"/>
          <w:sz w:val="24"/>
          <w:szCs w:val="24"/>
        </w:rPr>
        <w:t>douze (12) derniers mois</w:t>
      </w:r>
      <w:r w:rsidR="00F733A7">
        <w:rPr>
          <w:rFonts w:ascii="Times New Roman" w:hAnsi="Times New Roman"/>
          <w:sz w:val="24"/>
          <w:szCs w:val="24"/>
        </w:rPr>
        <w:t xml:space="preserve"> </w:t>
      </w:r>
      <w:r w:rsidRPr="007B43D0">
        <w:rPr>
          <w:rFonts w:ascii="Times New Roman" w:hAnsi="Times New Roman"/>
          <w:sz w:val="24"/>
          <w:szCs w:val="24"/>
        </w:rPr>
        <w:t xml:space="preserve">qui précédent le premier passage de l’enquêteur dans le ménage pour certaines fonctions de dépenses (habillement et chaussures, logements, santé, loisirs et culture, enseignement, biens divers et les fêtes et cérémonies). Au niveau des modules rétrospectifs, l’EMICoV a collecté des données sur l’ensemble des fonctions de consommation avec des périodicités variables d’une édition à une autre. A l’EMICoV2006, les dépenses rétrospectives ont été collectées sur les six (6) derniers mois qui précédent le premier passage de l’enquêteur dans le ménage. </w:t>
      </w:r>
    </w:p>
    <w:p w:rsidR="00DE0355" w:rsidRPr="00B74197"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25014D">
        <w:rPr>
          <w:rFonts w:ascii="Times New Roman" w:hAnsi="Times New Roman"/>
          <w:sz w:val="24"/>
          <w:szCs w:val="24"/>
        </w:rPr>
        <w:t xml:space="preserve">En2007, les dépenses rétrospectives ont porté sur les trois (3) derniers mois avant le passage de l’enquêteur dans le ménage et les données </w:t>
      </w:r>
      <w:r>
        <w:rPr>
          <w:rFonts w:ascii="Times New Roman" w:hAnsi="Times New Roman"/>
          <w:sz w:val="24"/>
          <w:szCs w:val="24"/>
        </w:rPr>
        <w:t xml:space="preserve">ont été </w:t>
      </w:r>
      <w:r w:rsidRPr="0025014D">
        <w:rPr>
          <w:rFonts w:ascii="Times New Roman" w:hAnsi="Times New Roman"/>
          <w:sz w:val="24"/>
          <w:szCs w:val="24"/>
        </w:rPr>
        <w:t xml:space="preserve">annualisées </w:t>
      </w:r>
      <w:r>
        <w:rPr>
          <w:rFonts w:ascii="Times New Roman" w:hAnsi="Times New Roman"/>
          <w:sz w:val="24"/>
          <w:szCs w:val="24"/>
        </w:rPr>
        <w:t xml:space="preserve">à partir de </w:t>
      </w:r>
      <w:r w:rsidRPr="0025014D">
        <w:rPr>
          <w:rFonts w:ascii="Times New Roman" w:hAnsi="Times New Roman"/>
          <w:sz w:val="24"/>
          <w:szCs w:val="24"/>
        </w:rPr>
        <w:t>l’ensemble des quatre passages de la première édition.</w:t>
      </w:r>
      <w:r w:rsidRPr="007B43D0">
        <w:rPr>
          <w:rFonts w:ascii="Times New Roman" w:hAnsi="Times New Roman"/>
          <w:sz w:val="24"/>
          <w:szCs w:val="24"/>
        </w:rPr>
        <w:t xml:space="preserve"> Aux éditions de 2010 et 2011, les modules rétrospectifs ont été collectés sur les 3, 6 ou 12 derniers mois. En effet, certaines dépenses ont été jugées plus fréquentes dans les achats des ménages que d’autres. Et donc une période de référence longue est susceptible de conduire à une sous-estimation </w:t>
      </w:r>
      <w:r>
        <w:rPr>
          <w:rFonts w:ascii="Times New Roman" w:hAnsi="Times New Roman"/>
          <w:sz w:val="24"/>
          <w:szCs w:val="24"/>
        </w:rPr>
        <w:t xml:space="preserve">de ces dernières. </w:t>
      </w:r>
      <w:r w:rsidRPr="007B43D0">
        <w:rPr>
          <w:rFonts w:ascii="Times New Roman" w:hAnsi="Times New Roman"/>
          <w:sz w:val="24"/>
          <w:szCs w:val="24"/>
        </w:rPr>
        <w:t xml:space="preserve">Il s’agit des </w:t>
      </w:r>
      <w:r>
        <w:rPr>
          <w:rFonts w:ascii="Times New Roman" w:hAnsi="Times New Roman"/>
          <w:sz w:val="24"/>
          <w:szCs w:val="24"/>
        </w:rPr>
        <w:t xml:space="preserve">dépenses de </w:t>
      </w:r>
      <w:r w:rsidRPr="007B43D0">
        <w:rPr>
          <w:rFonts w:ascii="Times New Roman" w:hAnsi="Times New Roman"/>
          <w:sz w:val="24"/>
          <w:szCs w:val="24"/>
        </w:rPr>
        <w:t>transports, communication et restaurants et hôtels qui ont été collectées sur les trois et six derniers mois. Dans les autres fonctions de consommation, les dépenses ont été collectées sur les six et douze derniers mois ayant précédé le passage de l’enquêteur. La période des douze derniers mois n’intègre pas les dépenses collectées au cours de</w:t>
      </w:r>
      <w:r w:rsidR="00060C7A">
        <w:rPr>
          <w:rFonts w:ascii="Times New Roman" w:hAnsi="Times New Roman"/>
          <w:sz w:val="24"/>
          <w:szCs w:val="24"/>
        </w:rPr>
        <w:t>s</w:t>
      </w:r>
      <w:r w:rsidRPr="007B43D0">
        <w:rPr>
          <w:rFonts w:ascii="Times New Roman" w:hAnsi="Times New Roman"/>
          <w:sz w:val="24"/>
          <w:szCs w:val="24"/>
        </w:rPr>
        <w:t xml:space="preserve"> six derniers mois (pour éviter les doubles comptes</w:t>
      </w:r>
      <w:r w:rsidRPr="00B76D0A">
        <w:rPr>
          <w:rFonts w:ascii="Times New Roman" w:hAnsi="Times New Roman"/>
          <w:sz w:val="24"/>
          <w:szCs w:val="24"/>
        </w:rPr>
        <w:t>). Il s’agit d’éviter d’avoir des dépenses nulles pour certaines fonctions. Ainsi, les ménages qui n’ont pas déclaré de dépenses au cours des six derniers mois peuvent avoir effectué des dépenses dans cette fonction au cours des six mois précédent la période de référence (six dernier</w:t>
      </w:r>
      <w:r w:rsidR="00060C7A">
        <w:rPr>
          <w:rFonts w:ascii="Times New Roman" w:hAnsi="Times New Roman"/>
          <w:sz w:val="24"/>
          <w:szCs w:val="24"/>
        </w:rPr>
        <w:t>s</w:t>
      </w:r>
      <w:r w:rsidRPr="00B76D0A">
        <w:rPr>
          <w:rFonts w:ascii="Times New Roman" w:hAnsi="Times New Roman"/>
          <w:sz w:val="24"/>
          <w:szCs w:val="24"/>
        </w:rPr>
        <w:t xml:space="preserve"> mois </w:t>
      </w:r>
      <w:r w:rsidR="00060C7A" w:rsidRPr="00B76D0A">
        <w:rPr>
          <w:rFonts w:ascii="Times New Roman" w:hAnsi="Times New Roman"/>
          <w:sz w:val="24"/>
          <w:szCs w:val="24"/>
        </w:rPr>
        <w:t>précéd</w:t>
      </w:r>
      <w:r w:rsidR="00060C7A">
        <w:rPr>
          <w:rFonts w:ascii="Times New Roman" w:hAnsi="Times New Roman"/>
          <w:sz w:val="24"/>
          <w:szCs w:val="24"/>
        </w:rPr>
        <w:t>a</w:t>
      </w:r>
      <w:r w:rsidR="00060C7A" w:rsidRPr="00B76D0A">
        <w:rPr>
          <w:rFonts w:ascii="Times New Roman" w:hAnsi="Times New Roman"/>
          <w:sz w:val="24"/>
          <w:szCs w:val="24"/>
        </w:rPr>
        <w:t xml:space="preserve">nt </w:t>
      </w:r>
      <w:r w:rsidRPr="00B76D0A">
        <w:rPr>
          <w:rFonts w:ascii="Times New Roman" w:hAnsi="Times New Roman"/>
          <w:sz w:val="24"/>
          <w:szCs w:val="24"/>
        </w:rPr>
        <w:t>le passage de l’enquêteur).</w:t>
      </w:r>
    </w:p>
    <w:p w:rsidR="00DE0355" w:rsidRPr="00B74197"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7B43D0">
        <w:rPr>
          <w:rFonts w:ascii="Times New Roman" w:hAnsi="Times New Roman"/>
          <w:sz w:val="24"/>
          <w:szCs w:val="24"/>
        </w:rPr>
        <w:t>La différence dans la collecte des données rétrospectives entre le QUIBB et l’EMICoV constitue une source de non-comparabilité, en termes d’exhaustivité des fonctions de consommation. Un autre élément qui limite la comparabilité entre QUIBB et EMICoV est la liste des produits devant faire l’objet de collecte au niveau de l’enquête QUIBB. Concernant les éditions de l’EMICoV, les données rétrospectives ont été collectées sur les trois derniers mois pour l’enquête de 2007 (quatrième passage de l’EMICoV 2006)</w:t>
      </w:r>
      <w:r>
        <w:rPr>
          <w:rFonts w:ascii="Times New Roman" w:hAnsi="Times New Roman"/>
          <w:sz w:val="24"/>
          <w:szCs w:val="24"/>
        </w:rPr>
        <w:t>,</w:t>
      </w:r>
      <w:r w:rsidRPr="007B43D0">
        <w:rPr>
          <w:rFonts w:ascii="Times New Roman" w:hAnsi="Times New Roman"/>
          <w:sz w:val="24"/>
          <w:szCs w:val="24"/>
        </w:rPr>
        <w:t xml:space="preserve"> ce qui entache la comparabilité entre </w:t>
      </w:r>
      <w:r>
        <w:rPr>
          <w:rFonts w:ascii="Times New Roman" w:hAnsi="Times New Roman"/>
          <w:sz w:val="24"/>
          <w:szCs w:val="24"/>
        </w:rPr>
        <w:t xml:space="preserve">cette édition et celles de </w:t>
      </w:r>
      <w:r w:rsidRPr="007B43D0">
        <w:rPr>
          <w:rFonts w:ascii="Times New Roman" w:hAnsi="Times New Roman"/>
          <w:sz w:val="24"/>
          <w:szCs w:val="24"/>
        </w:rPr>
        <w:t xml:space="preserve">2006, 2010 et 2011. </w:t>
      </w:r>
      <w:r w:rsidRPr="00B76D0A">
        <w:rPr>
          <w:rFonts w:ascii="Times New Roman" w:hAnsi="Times New Roman"/>
          <w:sz w:val="24"/>
          <w:szCs w:val="24"/>
        </w:rPr>
        <w:t>Cependant, les éditions de 2006, 2010 et 2011 sont comparables entre elles.</w:t>
      </w:r>
    </w:p>
    <w:p w:rsidR="00DE0355" w:rsidRPr="00FD4819"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DB5099">
        <w:rPr>
          <w:rFonts w:ascii="Times New Roman" w:hAnsi="Times New Roman"/>
          <w:b/>
          <w:sz w:val="24"/>
          <w:szCs w:val="24"/>
        </w:rPr>
        <w:t>Saisonnalité de la consommation</w:t>
      </w:r>
      <w:r w:rsidRPr="007B43D0">
        <w:rPr>
          <w:rFonts w:ascii="Times New Roman" w:hAnsi="Times New Roman"/>
          <w:sz w:val="24"/>
          <w:szCs w:val="24"/>
        </w:rPr>
        <w:t> :</w:t>
      </w:r>
      <w:r w:rsidR="003C7596">
        <w:rPr>
          <w:rFonts w:ascii="Times New Roman" w:hAnsi="Times New Roman"/>
          <w:sz w:val="24"/>
          <w:szCs w:val="24"/>
        </w:rPr>
        <w:t xml:space="preserve"> </w:t>
      </w:r>
      <w:r w:rsidRPr="00B76D0A">
        <w:rPr>
          <w:rFonts w:ascii="Times New Roman" w:hAnsi="Times New Roman"/>
          <w:sz w:val="24"/>
          <w:szCs w:val="24"/>
        </w:rPr>
        <w:t>Cette analyse est primordiale en ce sens que les différentes enquêtes réalisées au Bénin  comportent des questions rétrospectives</w:t>
      </w:r>
      <w:r>
        <w:rPr>
          <w:rFonts w:ascii="Times New Roman" w:hAnsi="Times New Roman"/>
          <w:sz w:val="24"/>
          <w:szCs w:val="24"/>
        </w:rPr>
        <w:t xml:space="preserve"> (tableau 1.2)</w:t>
      </w:r>
      <w:r w:rsidRPr="00B76D0A">
        <w:rPr>
          <w:rFonts w:ascii="Times New Roman" w:hAnsi="Times New Roman"/>
          <w:sz w:val="24"/>
          <w:szCs w:val="24"/>
        </w:rPr>
        <w:t xml:space="preserve">. </w:t>
      </w:r>
      <w:r>
        <w:rPr>
          <w:rFonts w:ascii="Times New Roman" w:hAnsi="Times New Roman"/>
          <w:sz w:val="24"/>
          <w:szCs w:val="24"/>
        </w:rPr>
        <w:t>Si en outre,</w:t>
      </w:r>
      <w:r w:rsidRPr="00B76D0A">
        <w:rPr>
          <w:rFonts w:ascii="Times New Roman" w:hAnsi="Times New Roman"/>
          <w:sz w:val="24"/>
          <w:szCs w:val="24"/>
        </w:rPr>
        <w:t xml:space="preserve"> les données sont collectées pendant les périodes exceptionnelles de faible ou de forte dépense, les estimations des dépenses moyennes de consommation et les calculs </w:t>
      </w:r>
      <w:r w:rsidRPr="003D42C3">
        <w:rPr>
          <w:rFonts w:ascii="Times New Roman" w:hAnsi="Times New Roman"/>
          <w:sz w:val="24"/>
          <w:szCs w:val="24"/>
        </w:rPr>
        <w:t>d'incidence de pauvreté pourraient être biaisés (Jones, C et Ye, X (1997)). Avec les séries d’enquête EMICoV, si les périodes de couverture des passages retro sont relativement similaires, les périodes couvertes par la collecte des données courantes sont parfois différentes d’une enquête à une autre. Ceci</w:t>
      </w:r>
      <w:r w:rsidR="00F733A7">
        <w:rPr>
          <w:rFonts w:ascii="Times New Roman" w:hAnsi="Times New Roman"/>
          <w:sz w:val="24"/>
          <w:szCs w:val="24"/>
        </w:rPr>
        <w:t xml:space="preserve"> </w:t>
      </w:r>
      <w:r w:rsidRPr="003D42C3">
        <w:rPr>
          <w:rFonts w:ascii="Times New Roman" w:hAnsi="Times New Roman"/>
          <w:sz w:val="24"/>
          <w:szCs w:val="24"/>
        </w:rPr>
        <w:t>pourrait rendre la comparaison  des données moins rigoureuse en raison d’une potentielle saisonnalité dans la consommation</w:t>
      </w:r>
      <w:r w:rsidR="00060C7A">
        <w:rPr>
          <w:rFonts w:ascii="Times New Roman" w:hAnsi="Times New Roman"/>
          <w:sz w:val="24"/>
          <w:szCs w:val="24"/>
        </w:rPr>
        <w:t>,</w:t>
      </w:r>
      <w:r w:rsidRPr="003D42C3">
        <w:rPr>
          <w:rFonts w:ascii="Times New Roman" w:hAnsi="Times New Roman"/>
          <w:sz w:val="24"/>
          <w:szCs w:val="24"/>
        </w:rPr>
        <w:t xml:space="preserve"> surtout au niveau des dépenses quotidiennes. Comme le soulignent Jones, C et Ye, X (1997) dans une étude menée sur la</w:t>
      </w:r>
      <w:r>
        <w:rPr>
          <w:rFonts w:ascii="Times New Roman" w:hAnsi="Times New Roman"/>
          <w:sz w:val="24"/>
          <w:szCs w:val="24"/>
        </w:rPr>
        <w:t xml:space="preserve"> Côte d’Ivoire, s</w:t>
      </w:r>
      <w:r w:rsidRPr="00B76D0A">
        <w:rPr>
          <w:rFonts w:ascii="Times New Roman" w:hAnsi="Times New Roman"/>
          <w:sz w:val="24"/>
          <w:szCs w:val="24"/>
        </w:rPr>
        <w:t xml:space="preserve">pécifiquement pour les ménages agricoles, pendant les périodes de plantation et de culture, </w:t>
      </w:r>
      <w:r>
        <w:rPr>
          <w:rFonts w:ascii="Times New Roman" w:hAnsi="Times New Roman"/>
          <w:sz w:val="24"/>
          <w:szCs w:val="24"/>
        </w:rPr>
        <w:t xml:space="preserve">ces derniers </w:t>
      </w:r>
      <w:r w:rsidRPr="00B76D0A">
        <w:rPr>
          <w:rFonts w:ascii="Times New Roman" w:hAnsi="Times New Roman"/>
          <w:sz w:val="24"/>
          <w:szCs w:val="24"/>
        </w:rPr>
        <w:t>font face à une baisse de leur revenu et à l’augmentation des prix des produits alimentaires.</w:t>
      </w:r>
      <w:r>
        <w:rPr>
          <w:rFonts w:ascii="Times New Roman" w:hAnsi="Times New Roman"/>
          <w:sz w:val="24"/>
          <w:szCs w:val="24"/>
        </w:rPr>
        <w:t xml:space="preserve"> Ceci</w:t>
      </w:r>
      <w:r w:rsidRPr="00B76D0A">
        <w:rPr>
          <w:rFonts w:ascii="Times New Roman" w:hAnsi="Times New Roman"/>
          <w:sz w:val="24"/>
          <w:szCs w:val="24"/>
        </w:rPr>
        <w:t xml:space="preserve"> implique que s’ils sont des acheteurs nets pendant cette saison, ils seront doublement affectés (baisse de leur revenu et augmentation des prix). Par contre, pendant la saison des récoltes et post-récoltes, leurs revenus augmentent. </w:t>
      </w:r>
      <w:r w:rsidRPr="002905C1">
        <w:rPr>
          <w:rFonts w:ascii="Times New Roman" w:hAnsi="Times New Roman"/>
          <w:sz w:val="24"/>
          <w:szCs w:val="24"/>
        </w:rPr>
        <w:t>Ainsi,</w:t>
      </w:r>
      <w:r w:rsidR="00F733A7">
        <w:rPr>
          <w:rFonts w:ascii="Times New Roman" w:hAnsi="Times New Roman"/>
          <w:sz w:val="24"/>
          <w:szCs w:val="24"/>
        </w:rPr>
        <w:t xml:space="preserve"> </w:t>
      </w:r>
      <w:r w:rsidRPr="007B43D0">
        <w:rPr>
          <w:rFonts w:ascii="Times New Roman" w:hAnsi="Times New Roman"/>
          <w:sz w:val="24"/>
          <w:szCs w:val="24"/>
        </w:rPr>
        <w:t xml:space="preserve">la disponibilité ou non des produits alimentaires sur les marchés </w:t>
      </w:r>
      <w:r w:rsidR="00060C7A" w:rsidRPr="007B43D0">
        <w:rPr>
          <w:rFonts w:ascii="Times New Roman" w:hAnsi="Times New Roman"/>
          <w:sz w:val="24"/>
          <w:szCs w:val="24"/>
        </w:rPr>
        <w:t>entra</w:t>
      </w:r>
      <w:r w:rsidR="00060C7A">
        <w:rPr>
          <w:rFonts w:ascii="Times New Roman" w:hAnsi="Times New Roman"/>
          <w:sz w:val="24"/>
          <w:szCs w:val="24"/>
        </w:rPr>
        <w:t>î</w:t>
      </w:r>
      <w:r w:rsidR="00060C7A" w:rsidRPr="007B43D0">
        <w:rPr>
          <w:rFonts w:ascii="Times New Roman" w:hAnsi="Times New Roman"/>
          <w:sz w:val="24"/>
          <w:szCs w:val="24"/>
        </w:rPr>
        <w:t xml:space="preserve">ne </w:t>
      </w:r>
      <w:r w:rsidRPr="007B43D0">
        <w:rPr>
          <w:rFonts w:ascii="Times New Roman" w:hAnsi="Times New Roman"/>
          <w:sz w:val="24"/>
          <w:szCs w:val="24"/>
        </w:rPr>
        <w:t xml:space="preserve">une variabilité dans la consommation alimentaire des ménages. </w:t>
      </w:r>
    </w:p>
    <w:p w:rsidR="00DE0355" w:rsidRPr="00B74197"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B76D0A">
        <w:rPr>
          <w:rFonts w:ascii="Times New Roman" w:hAnsi="Times New Roman"/>
          <w:sz w:val="24"/>
          <w:szCs w:val="24"/>
        </w:rPr>
        <w:t xml:space="preserve">Pour la collecte, l’enquête EMICoV 2006 et 2011, </w:t>
      </w:r>
      <w:r w:rsidRPr="007B43D0">
        <w:rPr>
          <w:rFonts w:ascii="Times New Roman" w:hAnsi="Times New Roman"/>
          <w:sz w:val="24"/>
          <w:szCs w:val="24"/>
        </w:rPr>
        <w:t>ont couvert la période d’octobre à janvier</w:t>
      </w:r>
      <w:r>
        <w:rPr>
          <w:rFonts w:ascii="Times New Roman" w:hAnsi="Times New Roman"/>
          <w:sz w:val="24"/>
          <w:szCs w:val="24"/>
        </w:rPr>
        <w:t>,</w:t>
      </w:r>
      <w:r w:rsidRPr="007B43D0">
        <w:rPr>
          <w:rFonts w:ascii="Times New Roman" w:hAnsi="Times New Roman"/>
          <w:sz w:val="24"/>
          <w:szCs w:val="24"/>
        </w:rPr>
        <w:t xml:space="preserve"> ce qui coïncide avec la période de récolte ou de récolte précoce/tardive au niveau du calendrier agricole au Bénin. L’édition de 2010 </w:t>
      </w:r>
      <w:r>
        <w:rPr>
          <w:rFonts w:ascii="Times New Roman" w:hAnsi="Times New Roman"/>
          <w:sz w:val="24"/>
          <w:szCs w:val="24"/>
        </w:rPr>
        <w:t>a</w:t>
      </w:r>
      <w:r w:rsidRPr="007B43D0">
        <w:rPr>
          <w:rFonts w:ascii="Times New Roman" w:hAnsi="Times New Roman"/>
          <w:sz w:val="24"/>
          <w:szCs w:val="24"/>
        </w:rPr>
        <w:t xml:space="preserve"> couvert la période février à mai 2010</w:t>
      </w:r>
      <w:r>
        <w:rPr>
          <w:rFonts w:ascii="Times New Roman" w:hAnsi="Times New Roman"/>
          <w:sz w:val="24"/>
          <w:szCs w:val="24"/>
        </w:rPr>
        <w:t>,</w:t>
      </w:r>
      <w:r w:rsidRPr="007B43D0">
        <w:rPr>
          <w:rFonts w:ascii="Times New Roman" w:hAnsi="Times New Roman"/>
          <w:sz w:val="24"/>
          <w:szCs w:val="24"/>
        </w:rPr>
        <w:t xml:space="preserve"> correspondant à la période de récolte de contre saison (en cas de disponibilité d’eau) et à la période de semis</w:t>
      </w:r>
      <w:r>
        <w:rPr>
          <w:rFonts w:ascii="Times New Roman" w:hAnsi="Times New Roman"/>
          <w:sz w:val="24"/>
          <w:szCs w:val="24"/>
        </w:rPr>
        <w:t>, c</w:t>
      </w:r>
      <w:r w:rsidRPr="007B43D0">
        <w:rPr>
          <w:rFonts w:ascii="Times New Roman" w:hAnsi="Times New Roman"/>
          <w:sz w:val="24"/>
          <w:szCs w:val="24"/>
        </w:rPr>
        <w:t>e qui correspond à la période de pré-soudure et de soudure au niveau du pays</w:t>
      </w:r>
      <w:r>
        <w:rPr>
          <w:rFonts w:ascii="Times New Roman" w:hAnsi="Times New Roman"/>
          <w:sz w:val="24"/>
          <w:szCs w:val="24"/>
        </w:rPr>
        <w:t xml:space="preserve">. Il est donc probable que les ménages soient affectés par une baisse de leur revenu ou par l’augmentation des prix en raison de l’absence ou de la rareté de certains </w:t>
      </w:r>
      <w:r w:rsidR="00654660">
        <w:rPr>
          <w:rFonts w:ascii="Times New Roman" w:hAnsi="Times New Roman"/>
          <w:sz w:val="24"/>
          <w:szCs w:val="24"/>
        </w:rPr>
        <w:t xml:space="preserve">produits </w:t>
      </w:r>
      <w:r w:rsidRPr="007B43D0">
        <w:rPr>
          <w:rFonts w:ascii="Times New Roman" w:hAnsi="Times New Roman"/>
          <w:sz w:val="24"/>
          <w:szCs w:val="24"/>
        </w:rPr>
        <w:t>sur le marché</w:t>
      </w:r>
      <w:r>
        <w:rPr>
          <w:rFonts w:ascii="Times New Roman" w:hAnsi="Times New Roman"/>
          <w:sz w:val="24"/>
          <w:szCs w:val="24"/>
        </w:rPr>
        <w:t xml:space="preserve">, ce qui pourra engendrer de leur part, </w:t>
      </w:r>
      <w:r w:rsidRPr="007B43D0">
        <w:rPr>
          <w:rFonts w:ascii="Times New Roman" w:hAnsi="Times New Roman"/>
          <w:sz w:val="24"/>
          <w:szCs w:val="24"/>
        </w:rPr>
        <w:t>une substitution en termes de consommation alimentaire</w:t>
      </w:r>
      <w:r>
        <w:rPr>
          <w:rFonts w:ascii="Times New Roman" w:hAnsi="Times New Roman"/>
          <w:sz w:val="24"/>
          <w:szCs w:val="24"/>
        </w:rPr>
        <w:t>.</w:t>
      </w:r>
    </w:p>
    <w:p w:rsidR="00DE0355" w:rsidRPr="00B74197" w:rsidRDefault="00DE0355" w:rsidP="00DE0355">
      <w:pPr>
        <w:spacing w:line="276" w:lineRule="auto"/>
        <w:rPr>
          <w:rFonts w:ascii="Times New Roman" w:hAnsi="Times New Roman"/>
          <w:sz w:val="20"/>
          <w:szCs w:val="20"/>
        </w:rPr>
      </w:pPr>
    </w:p>
    <w:p w:rsidR="00DE0355" w:rsidRDefault="00DE0355" w:rsidP="00DE0355">
      <w:pPr>
        <w:spacing w:line="276" w:lineRule="auto"/>
        <w:rPr>
          <w:rFonts w:ascii="Times New Roman" w:hAnsi="Times New Roman"/>
          <w:sz w:val="24"/>
          <w:szCs w:val="24"/>
        </w:rPr>
      </w:pPr>
      <w:r w:rsidRPr="001E789C">
        <w:rPr>
          <w:rFonts w:ascii="Times New Roman" w:hAnsi="Times New Roman"/>
          <w:sz w:val="24"/>
          <w:szCs w:val="24"/>
        </w:rPr>
        <w:t xml:space="preserve">Pour appréhender cette éventuelle saisonnalité au niveau des enquêtes EMICoV, nous avons adopté la méthode de régression. En effet, dans la littérature, plusieurs approches permettent </w:t>
      </w:r>
      <w:r>
        <w:rPr>
          <w:rFonts w:ascii="Times New Roman" w:hAnsi="Times New Roman"/>
          <w:sz w:val="24"/>
          <w:szCs w:val="24"/>
        </w:rPr>
        <w:t xml:space="preserve">de </w:t>
      </w:r>
      <w:r w:rsidRPr="001E789C">
        <w:rPr>
          <w:rFonts w:ascii="Times New Roman" w:hAnsi="Times New Roman"/>
          <w:sz w:val="24"/>
          <w:szCs w:val="24"/>
        </w:rPr>
        <w:t>faire cette analyse et dépendent fortement de la nature des données disponibles</w:t>
      </w:r>
      <w:r w:rsidRPr="00C914EE">
        <w:rPr>
          <w:rFonts w:ascii="Times New Roman" w:hAnsi="Times New Roman"/>
          <w:sz w:val="24"/>
          <w:szCs w:val="24"/>
          <w:vertAlign w:val="superscript"/>
        </w:rPr>
        <w:footnoteReference w:id="94"/>
      </w:r>
      <w:r w:rsidRPr="001E789C">
        <w:rPr>
          <w:rFonts w:ascii="Times New Roman" w:hAnsi="Times New Roman"/>
          <w:sz w:val="24"/>
          <w:szCs w:val="24"/>
        </w:rPr>
        <w:t xml:space="preserve">. On distingue entre autres, les techniques graphiques, les méthodes de Chi-carré, les analyses de corrélation, les analyses de régression et les techniques non paramétriques. </w:t>
      </w:r>
      <w:r w:rsidRPr="003935C1">
        <w:rPr>
          <w:rFonts w:ascii="Times New Roman" w:hAnsi="Times New Roman"/>
          <w:sz w:val="24"/>
          <w:szCs w:val="24"/>
        </w:rPr>
        <w:t xml:space="preserve">Comparativement à l’analyse de corrélation qui établit et estime le degré de liaison entre deux variables, une analyse de régression décrit une relation fonctionnelle et/ou permet de faire des prévisions sur les différentes variables (Sokal et 1981 Rohlf, Cambell et 1993 Machin).  Elle a consisté en une estimation du logarithme des dépenses de consommation sur une indicatrice de période d’enquête du ménage, des indicatrices de région, de type de culture en contrôlant certaines caractéristiques des ménages telles que la taille et le niveau </w:t>
      </w:r>
      <w:r w:rsidRPr="00B200B1">
        <w:rPr>
          <w:rFonts w:ascii="Times New Roman" w:hAnsi="Times New Roman"/>
          <w:sz w:val="24"/>
          <w:szCs w:val="24"/>
        </w:rPr>
        <w:t>d’éducation.</w:t>
      </w:r>
      <w:r w:rsidR="00F733A7">
        <w:rPr>
          <w:rFonts w:ascii="Times New Roman" w:hAnsi="Times New Roman"/>
          <w:sz w:val="24"/>
          <w:szCs w:val="24"/>
        </w:rPr>
        <w:t xml:space="preserve"> </w:t>
      </w:r>
      <w:r w:rsidRPr="00B200B1">
        <w:rPr>
          <w:rFonts w:ascii="Times New Roman" w:hAnsi="Times New Roman"/>
          <w:sz w:val="24"/>
          <w:szCs w:val="24"/>
        </w:rPr>
        <w:t>Les résultats de la régression effectuée à cet effet révèlent une absence de saisonnalité(</w:t>
      </w:r>
      <w:r w:rsidR="000728B1" w:rsidRPr="00B200B1">
        <w:rPr>
          <w:rFonts w:ascii="Times New Roman" w:hAnsi="Times New Roman"/>
          <w:sz w:val="24"/>
          <w:szCs w:val="24"/>
        </w:rPr>
        <w:t>A1.5</w:t>
      </w:r>
      <w:r w:rsidRPr="00B200B1">
        <w:rPr>
          <w:rFonts w:ascii="Times New Roman" w:hAnsi="Times New Roman"/>
          <w:sz w:val="24"/>
          <w:szCs w:val="24"/>
        </w:rPr>
        <w:t>).</w:t>
      </w:r>
    </w:p>
    <w:p w:rsidR="00DE0355" w:rsidRDefault="00DE0355" w:rsidP="00DE0355">
      <w:pPr>
        <w:spacing w:line="276" w:lineRule="auto"/>
        <w:rPr>
          <w:rFonts w:ascii="Times New Roman" w:hAnsi="Times New Roman"/>
          <w:sz w:val="24"/>
          <w:szCs w:val="24"/>
        </w:rPr>
      </w:pPr>
    </w:p>
    <w:p w:rsidR="00C27264" w:rsidRDefault="00C27264" w:rsidP="00DE0355">
      <w:pPr>
        <w:spacing w:line="276" w:lineRule="auto"/>
        <w:rPr>
          <w:rFonts w:ascii="Times New Roman" w:hAnsi="Times New Roman"/>
          <w:sz w:val="24"/>
          <w:szCs w:val="24"/>
        </w:rPr>
      </w:pPr>
    </w:p>
    <w:tbl>
      <w:tblPr>
        <w:tblW w:w="9085" w:type="dxa"/>
        <w:tblInd w:w="39" w:type="dxa"/>
        <w:tblCellMar>
          <w:left w:w="70" w:type="dxa"/>
          <w:right w:w="70" w:type="dxa"/>
        </w:tblCellMar>
        <w:tblLook w:val="04A0" w:firstRow="1" w:lastRow="0" w:firstColumn="1" w:lastColumn="0" w:noHBand="0" w:noVBand="1"/>
      </w:tblPr>
      <w:tblGrid>
        <w:gridCol w:w="2332"/>
        <w:gridCol w:w="1534"/>
        <w:gridCol w:w="1566"/>
        <w:gridCol w:w="522"/>
        <w:gridCol w:w="1392"/>
        <w:gridCol w:w="1739"/>
      </w:tblGrid>
      <w:tr w:rsidR="00AB31DC" w:rsidRPr="00AB31DC" w:rsidTr="00AB31DC">
        <w:trPr>
          <w:trHeight w:val="312"/>
        </w:trPr>
        <w:tc>
          <w:tcPr>
            <w:tcW w:w="9085" w:type="dxa"/>
            <w:gridSpan w:val="6"/>
            <w:tcBorders>
              <w:left w:val="nil"/>
              <w:bottom w:val="double" w:sz="6" w:space="0" w:color="auto"/>
              <w:right w:val="nil"/>
            </w:tcBorders>
            <w:shd w:val="clear" w:color="auto" w:fill="92CDDC" w:themeFill="accent5" w:themeFillTint="99"/>
            <w:noWrap/>
            <w:vAlign w:val="bottom"/>
            <w:hideMark/>
          </w:tcPr>
          <w:p w:rsidR="00AB31DC" w:rsidRPr="00AB31DC" w:rsidRDefault="00AB31DC" w:rsidP="00AB31DC">
            <w:pPr>
              <w:spacing w:line="240" w:lineRule="auto"/>
              <w:rPr>
                <w:rFonts w:ascii="Times New Roman" w:eastAsia="Times New Roman" w:hAnsi="Times New Roman"/>
                <w:b/>
                <w:bCs/>
                <w:color w:val="000000"/>
                <w:sz w:val="24"/>
                <w:szCs w:val="24"/>
                <w:lang w:eastAsia="fr-FR"/>
              </w:rPr>
            </w:pPr>
            <w:r w:rsidRPr="00AB31DC">
              <w:rPr>
                <w:rFonts w:ascii="Times New Roman" w:hAnsi="Times New Roman"/>
                <w:sz w:val="24"/>
                <w:szCs w:val="24"/>
              </w:rPr>
              <w:t xml:space="preserve">Tableau A1. </w:t>
            </w:r>
            <w:r w:rsidR="00182C97" w:rsidRPr="00AB31DC">
              <w:rPr>
                <w:rFonts w:ascii="Times New Roman" w:hAnsi="Times New Roman"/>
                <w:sz w:val="24"/>
                <w:szCs w:val="24"/>
              </w:rPr>
              <w:fldChar w:fldCharType="begin"/>
            </w:r>
            <w:r w:rsidRPr="00AB31DC">
              <w:rPr>
                <w:rFonts w:ascii="Times New Roman" w:eastAsia="Times New Roman" w:hAnsi="Times New Roman"/>
                <w:bCs/>
                <w:sz w:val="24"/>
                <w:szCs w:val="24"/>
              </w:rPr>
              <w:instrText xml:space="preserve"> SEQ Tableau_A1. \* ARABIC </w:instrText>
            </w:r>
            <w:r w:rsidR="00182C97" w:rsidRPr="00AB31DC">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4</w:t>
            </w:r>
            <w:r w:rsidR="00182C97" w:rsidRPr="00AB31DC">
              <w:rPr>
                <w:rFonts w:ascii="Times New Roman" w:eastAsia="Times New Roman" w:hAnsi="Times New Roman"/>
                <w:bCs/>
                <w:sz w:val="24"/>
                <w:szCs w:val="24"/>
              </w:rPr>
              <w:fldChar w:fldCharType="end"/>
            </w:r>
            <w:r w:rsidRPr="00AB31DC">
              <w:rPr>
                <w:rFonts w:ascii="Times New Roman" w:eastAsia="Times New Roman" w:hAnsi="Times New Roman"/>
                <w:bCs/>
                <w:sz w:val="24"/>
                <w:szCs w:val="24"/>
              </w:rPr>
              <w:t>: Modèle de saisonnalité des dépenses par tête des ménages</w:t>
            </w:r>
          </w:p>
        </w:tc>
      </w:tr>
      <w:tr w:rsidR="00FF2575" w:rsidTr="00AB31DC">
        <w:trPr>
          <w:trHeight w:val="312"/>
        </w:trPr>
        <w:tc>
          <w:tcPr>
            <w:tcW w:w="2332" w:type="dxa"/>
            <w:vMerge w:val="restart"/>
            <w:tcBorders>
              <w:top w:val="double" w:sz="6" w:space="0" w:color="auto"/>
              <w:left w:val="nil"/>
              <w:bottom w:val="single" w:sz="8" w:space="0" w:color="000000"/>
              <w:right w:val="nil"/>
            </w:tcBorders>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b/>
                <w:bCs/>
                <w:color w:val="000000"/>
                <w:lang w:eastAsia="fr-FR"/>
              </w:rPr>
            </w:pPr>
            <w:r>
              <w:rPr>
                <w:rFonts w:ascii="Times New Roman" w:eastAsia="Times New Roman" w:hAnsi="Times New Roman"/>
                <w:b/>
                <w:bCs/>
                <w:color w:val="000000"/>
                <w:lang w:eastAsia="fr-FR"/>
              </w:rPr>
              <w:t>Variables</w:t>
            </w:r>
          </w:p>
        </w:tc>
        <w:tc>
          <w:tcPr>
            <w:tcW w:w="3100" w:type="dxa"/>
            <w:gridSpan w:val="2"/>
            <w:tcBorders>
              <w:top w:val="double" w:sz="6" w:space="0" w:color="auto"/>
              <w:left w:val="nil"/>
              <w:bottom w:val="single" w:sz="4" w:space="0" w:color="auto"/>
              <w:right w:val="nil"/>
            </w:tcBorders>
            <w:shd w:val="clear" w:color="auto" w:fill="DAEEF3" w:themeFill="accent5" w:themeFillTint="33"/>
            <w:noWrap/>
            <w:vAlign w:val="bottom"/>
            <w:hideMark/>
          </w:tcPr>
          <w:p w:rsidR="00FF2575" w:rsidRDefault="00FF2575">
            <w:pPr>
              <w:spacing w:line="240" w:lineRule="auto"/>
              <w:jc w:val="center"/>
              <w:rPr>
                <w:rFonts w:ascii="Times New Roman" w:eastAsia="Times New Roman" w:hAnsi="Times New Roman"/>
                <w:b/>
                <w:bCs/>
                <w:color w:val="000000"/>
                <w:lang w:eastAsia="fr-FR"/>
              </w:rPr>
            </w:pPr>
            <w:r>
              <w:rPr>
                <w:rFonts w:ascii="Times New Roman" w:eastAsia="Times New Roman" w:hAnsi="Times New Roman"/>
                <w:b/>
                <w:bCs/>
                <w:color w:val="000000"/>
                <w:lang w:eastAsia="fr-FR"/>
              </w:rPr>
              <w:t>Modèle 1</w:t>
            </w:r>
          </w:p>
        </w:tc>
        <w:tc>
          <w:tcPr>
            <w:tcW w:w="522" w:type="dxa"/>
            <w:tcBorders>
              <w:top w:val="double" w:sz="6" w:space="0" w:color="auto"/>
              <w:left w:val="nil"/>
              <w:bottom w:val="nil"/>
              <w:right w:val="nil"/>
            </w:tcBorders>
            <w:shd w:val="clear" w:color="auto" w:fill="DAEEF3" w:themeFill="accent5" w:themeFillTint="33"/>
            <w:noWrap/>
            <w:vAlign w:val="bottom"/>
            <w:hideMark/>
          </w:tcPr>
          <w:p w:rsidR="00FF2575" w:rsidRDefault="00FF2575">
            <w:pPr>
              <w:spacing w:line="240" w:lineRule="auto"/>
              <w:jc w:val="center"/>
              <w:rPr>
                <w:rFonts w:ascii="Times New Roman" w:eastAsia="Times New Roman" w:hAnsi="Times New Roman"/>
                <w:b/>
                <w:bCs/>
                <w:color w:val="000000"/>
                <w:lang w:eastAsia="fr-FR"/>
              </w:rPr>
            </w:pPr>
            <w:r>
              <w:rPr>
                <w:rFonts w:ascii="Times New Roman" w:eastAsia="Times New Roman" w:hAnsi="Times New Roman"/>
                <w:b/>
                <w:bCs/>
                <w:color w:val="000000"/>
                <w:lang w:eastAsia="fr-FR"/>
              </w:rPr>
              <w:t> </w:t>
            </w:r>
          </w:p>
        </w:tc>
        <w:tc>
          <w:tcPr>
            <w:tcW w:w="3131" w:type="dxa"/>
            <w:gridSpan w:val="2"/>
            <w:tcBorders>
              <w:top w:val="double" w:sz="6" w:space="0" w:color="auto"/>
              <w:left w:val="nil"/>
              <w:bottom w:val="single" w:sz="4" w:space="0" w:color="auto"/>
              <w:right w:val="nil"/>
            </w:tcBorders>
            <w:shd w:val="clear" w:color="auto" w:fill="DAEEF3" w:themeFill="accent5" w:themeFillTint="33"/>
            <w:noWrap/>
            <w:vAlign w:val="bottom"/>
            <w:hideMark/>
          </w:tcPr>
          <w:p w:rsidR="00FF2575" w:rsidRDefault="00FF2575">
            <w:pPr>
              <w:spacing w:line="240" w:lineRule="auto"/>
              <w:jc w:val="center"/>
              <w:rPr>
                <w:rFonts w:ascii="Times New Roman" w:eastAsia="Times New Roman" w:hAnsi="Times New Roman"/>
                <w:b/>
                <w:bCs/>
                <w:color w:val="000000"/>
                <w:lang w:eastAsia="fr-FR"/>
              </w:rPr>
            </w:pPr>
            <w:r>
              <w:rPr>
                <w:rFonts w:ascii="Times New Roman" w:eastAsia="Times New Roman" w:hAnsi="Times New Roman"/>
                <w:b/>
                <w:bCs/>
                <w:color w:val="000000"/>
                <w:lang w:eastAsia="fr-FR"/>
              </w:rPr>
              <w:t>Modèle 2</w:t>
            </w:r>
          </w:p>
        </w:tc>
      </w:tr>
      <w:tr w:rsidR="00FF2575" w:rsidTr="008B24EA">
        <w:trPr>
          <w:trHeight w:val="312"/>
        </w:trPr>
        <w:tc>
          <w:tcPr>
            <w:tcW w:w="0" w:type="auto"/>
            <w:vMerge/>
            <w:tcBorders>
              <w:top w:val="double" w:sz="6" w:space="0" w:color="auto"/>
              <w:left w:val="nil"/>
              <w:bottom w:val="single" w:sz="8" w:space="0" w:color="000000"/>
              <w:right w:val="nil"/>
            </w:tcBorders>
            <w:vAlign w:val="center"/>
            <w:hideMark/>
          </w:tcPr>
          <w:p w:rsidR="00FF2575" w:rsidRDefault="00FF2575">
            <w:pPr>
              <w:spacing w:line="240" w:lineRule="auto"/>
              <w:jc w:val="left"/>
              <w:rPr>
                <w:rFonts w:ascii="Times New Roman" w:eastAsia="Times New Roman" w:hAnsi="Times New Roman"/>
                <w:b/>
                <w:bCs/>
                <w:color w:val="000000"/>
                <w:lang w:eastAsia="fr-FR"/>
              </w:rPr>
            </w:pPr>
          </w:p>
        </w:tc>
        <w:tc>
          <w:tcPr>
            <w:tcW w:w="1534" w:type="dxa"/>
            <w:tcBorders>
              <w:top w:val="nil"/>
              <w:left w:val="nil"/>
              <w:bottom w:val="single" w:sz="8"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b/>
                <w:bCs/>
                <w:color w:val="000000"/>
                <w:lang w:eastAsia="fr-FR"/>
              </w:rPr>
            </w:pPr>
            <w:r>
              <w:rPr>
                <w:rFonts w:ascii="Times New Roman" w:eastAsia="Times New Roman" w:hAnsi="Times New Roman"/>
                <w:b/>
                <w:bCs/>
                <w:color w:val="000000"/>
                <w:lang w:eastAsia="fr-FR"/>
              </w:rPr>
              <w:t>Coef</w:t>
            </w:r>
          </w:p>
        </w:tc>
        <w:tc>
          <w:tcPr>
            <w:tcW w:w="1566" w:type="dxa"/>
            <w:tcBorders>
              <w:top w:val="nil"/>
              <w:left w:val="nil"/>
              <w:bottom w:val="single" w:sz="8"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b/>
                <w:bCs/>
                <w:color w:val="000000"/>
                <w:lang w:eastAsia="fr-FR"/>
              </w:rPr>
            </w:pPr>
            <w:r>
              <w:rPr>
                <w:rFonts w:ascii="Times New Roman" w:eastAsia="Times New Roman" w:hAnsi="Times New Roman"/>
                <w:b/>
                <w:bCs/>
                <w:color w:val="000000"/>
                <w:lang w:eastAsia="fr-FR"/>
              </w:rPr>
              <w:t>P&gt;|t|</w:t>
            </w:r>
          </w:p>
        </w:tc>
        <w:tc>
          <w:tcPr>
            <w:tcW w:w="522" w:type="dxa"/>
            <w:tcBorders>
              <w:top w:val="nil"/>
              <w:left w:val="nil"/>
              <w:bottom w:val="single" w:sz="8"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b/>
                <w:bCs/>
                <w:color w:val="000000"/>
                <w:lang w:eastAsia="fr-FR"/>
              </w:rPr>
            </w:pPr>
            <w:r>
              <w:rPr>
                <w:rFonts w:ascii="Times New Roman" w:eastAsia="Times New Roman" w:hAnsi="Times New Roman"/>
                <w:b/>
                <w:bCs/>
                <w:color w:val="000000"/>
                <w:lang w:eastAsia="fr-FR"/>
              </w:rPr>
              <w:t> </w:t>
            </w:r>
          </w:p>
        </w:tc>
        <w:tc>
          <w:tcPr>
            <w:tcW w:w="1392" w:type="dxa"/>
            <w:tcBorders>
              <w:top w:val="nil"/>
              <w:left w:val="nil"/>
              <w:bottom w:val="single" w:sz="8"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b/>
                <w:bCs/>
                <w:color w:val="000000"/>
                <w:lang w:eastAsia="fr-FR"/>
              </w:rPr>
            </w:pPr>
            <w:r>
              <w:rPr>
                <w:rFonts w:ascii="Times New Roman" w:eastAsia="Times New Roman" w:hAnsi="Times New Roman"/>
                <w:b/>
                <w:bCs/>
                <w:color w:val="000000"/>
                <w:lang w:eastAsia="fr-FR"/>
              </w:rPr>
              <w:t>Coef</w:t>
            </w:r>
          </w:p>
        </w:tc>
        <w:tc>
          <w:tcPr>
            <w:tcW w:w="1739" w:type="dxa"/>
            <w:tcBorders>
              <w:top w:val="nil"/>
              <w:left w:val="nil"/>
              <w:bottom w:val="single" w:sz="8"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b/>
                <w:bCs/>
                <w:color w:val="000000"/>
                <w:lang w:eastAsia="fr-FR"/>
              </w:rPr>
            </w:pPr>
            <w:r>
              <w:rPr>
                <w:rFonts w:ascii="Times New Roman" w:eastAsia="Times New Roman" w:hAnsi="Times New Roman"/>
                <w:b/>
                <w:bCs/>
                <w:color w:val="000000"/>
                <w:lang w:eastAsia="fr-FR"/>
              </w:rPr>
              <w:t>P&gt;|t|</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-0,184</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0,123</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-0,017</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0,377</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Taille</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-0,227</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-0,227</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Taille au carré</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0,009</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0,009</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Coton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-0,093</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0,123</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-0,098</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0,109</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Artisanat</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-0,027</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0,109</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-0,023</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0,174</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Agriculture</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-0,119</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-0,121</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Formel</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0,184</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0,182</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aneduc_cm</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0,026</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0,027</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Atacora</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-0,102</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0,276</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-0,034</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0,677</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Atlantique</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-0,438</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-0,361</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Borgou</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-0,099</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0,265</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-0,082</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0,385</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Collines</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-0,393</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-0,255</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0,002</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Couffo</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-0,364</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-0,242</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0,003</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Donga</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-0,088</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0,351</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-0,017</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0,842</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Mono</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-0,438</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-0,312</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Ouémé</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-0,221</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0,008</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-0,219</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0,006</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Plateau</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-0,272</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0,002</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-0,261</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0,002</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Zou</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-0,383</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-0,304</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Atacora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0,147</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0,285</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Atlantique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0,167</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0,199</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Borgou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0,035</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0,814</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Collines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0,301</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0,027</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Couffo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0,264</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0,046</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Donga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0,160</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0,275</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Littoral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0,147</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0,257</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Mono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0,266</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0,046</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Ouémé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0,008</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0,947</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Plateau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0,030</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0,820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Zou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0,171</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Autre urbain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0,322</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0,255</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0,002</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Rural</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0,380</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0,334</w:t>
            </w:r>
          </w:p>
        </w:tc>
        <w:tc>
          <w:tcPr>
            <w:tcW w:w="1739"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8B24EA">
        <w:trPr>
          <w:trHeight w:val="297"/>
        </w:trPr>
        <w:tc>
          <w:tcPr>
            <w:tcW w:w="233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Rural * Saison</w:t>
            </w:r>
          </w:p>
        </w:tc>
        <w:tc>
          <w:tcPr>
            <w:tcW w:w="1534"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0,042</w:t>
            </w:r>
          </w:p>
        </w:tc>
        <w:tc>
          <w:tcPr>
            <w:tcW w:w="1566" w:type="dxa"/>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0,304</w:t>
            </w:r>
          </w:p>
        </w:tc>
        <w:tc>
          <w:tcPr>
            <w:tcW w:w="52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sz w:val="20"/>
                <w:szCs w:val="20"/>
                <w:lang w:eastAsia="fr-FR"/>
              </w:rPr>
            </w:pPr>
          </w:p>
        </w:tc>
        <w:tc>
          <w:tcPr>
            <w:tcW w:w="1392"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39" w:type="dxa"/>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r>
      <w:tr w:rsidR="00FF2575" w:rsidTr="008B24EA">
        <w:trPr>
          <w:trHeight w:val="312"/>
        </w:trPr>
        <w:tc>
          <w:tcPr>
            <w:tcW w:w="2332" w:type="dxa"/>
            <w:tcBorders>
              <w:top w:val="nil"/>
              <w:left w:val="nil"/>
              <w:bottom w:val="double" w:sz="6" w:space="0" w:color="auto"/>
              <w:right w:val="nil"/>
            </w:tcBorders>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Constante</w:t>
            </w:r>
          </w:p>
        </w:tc>
        <w:tc>
          <w:tcPr>
            <w:tcW w:w="1534" w:type="dxa"/>
            <w:tcBorders>
              <w:top w:val="nil"/>
              <w:left w:val="nil"/>
              <w:bottom w:val="double" w:sz="6"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1,171</w:t>
            </w:r>
          </w:p>
        </w:tc>
        <w:tc>
          <w:tcPr>
            <w:tcW w:w="1566" w:type="dxa"/>
            <w:tcBorders>
              <w:top w:val="nil"/>
              <w:left w:val="nil"/>
              <w:bottom w:val="double" w:sz="6"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c>
          <w:tcPr>
            <w:tcW w:w="522" w:type="dxa"/>
            <w:tcBorders>
              <w:top w:val="nil"/>
              <w:left w:val="nil"/>
              <w:bottom w:val="double" w:sz="6" w:space="0" w:color="auto"/>
              <w:right w:val="nil"/>
            </w:tcBorders>
            <w:shd w:val="clear" w:color="auto" w:fill="DAEEF3" w:themeFill="accent5" w:themeFillTint="33"/>
            <w:noWrap/>
            <w:vAlign w:val="bottom"/>
            <w:hideMark/>
          </w:tcPr>
          <w:p w:rsidR="00FF2575" w:rsidRDefault="00FF2575">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392" w:type="dxa"/>
            <w:tcBorders>
              <w:top w:val="nil"/>
              <w:left w:val="nil"/>
              <w:bottom w:val="double" w:sz="6"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1,159</w:t>
            </w:r>
          </w:p>
        </w:tc>
        <w:tc>
          <w:tcPr>
            <w:tcW w:w="1739" w:type="dxa"/>
            <w:tcBorders>
              <w:top w:val="nil"/>
              <w:left w:val="nil"/>
              <w:bottom w:val="double" w:sz="6" w:space="0" w:color="auto"/>
              <w:right w:val="nil"/>
            </w:tcBorders>
            <w:shd w:val="clear" w:color="auto" w:fill="DAEEF3" w:themeFill="accent5" w:themeFillTint="33"/>
            <w:noWrap/>
            <w:vAlign w:val="bottom"/>
            <w:hideMark/>
          </w:tcPr>
          <w:p w:rsidR="00FF2575" w:rsidRDefault="00FF2575">
            <w:pPr>
              <w:spacing w:line="240" w:lineRule="auto"/>
              <w:jc w:val="right"/>
              <w:rPr>
                <w:rFonts w:ascii="Times New Roman" w:eastAsia="Times New Roman" w:hAnsi="Times New Roman"/>
                <w:color w:val="000000"/>
                <w:lang w:eastAsia="fr-FR"/>
              </w:rPr>
            </w:pPr>
            <w:r>
              <w:rPr>
                <w:rFonts w:ascii="Times New Roman" w:eastAsia="Times New Roman" w:hAnsi="Times New Roman"/>
                <w:color w:val="000000"/>
                <w:lang w:eastAsia="fr-FR"/>
              </w:rPr>
              <w:t>0,000</w:t>
            </w:r>
          </w:p>
        </w:tc>
      </w:tr>
      <w:tr w:rsidR="00FF2575" w:rsidTr="00AB31DC">
        <w:trPr>
          <w:trHeight w:val="312"/>
        </w:trPr>
        <w:tc>
          <w:tcPr>
            <w:tcW w:w="9085" w:type="dxa"/>
            <w:gridSpan w:val="6"/>
            <w:tcBorders>
              <w:top w:val="double" w:sz="6" w:space="0" w:color="auto"/>
              <w:left w:val="nil"/>
              <w:bottom w:val="nil"/>
              <w:right w:val="nil"/>
            </w:tcBorders>
            <w:shd w:val="clear" w:color="auto" w:fill="DAEEF3" w:themeFill="accent5" w:themeFillTint="33"/>
            <w:noWrap/>
            <w:vAlign w:val="bottom"/>
            <w:hideMark/>
          </w:tcPr>
          <w:p w:rsidR="00FF2575" w:rsidRDefault="00FF2575">
            <w:pPr>
              <w:spacing w:line="240" w:lineRule="auto"/>
              <w:rPr>
                <w:rFonts w:ascii="Times New Roman" w:eastAsia="Times New Roman" w:hAnsi="Times New Roman"/>
                <w:color w:val="000000"/>
                <w:lang w:eastAsia="fr-FR"/>
              </w:rPr>
            </w:pPr>
            <w:r>
              <w:rPr>
                <w:rFonts w:ascii="Times New Roman" w:eastAsia="Times New Roman" w:hAnsi="Times New Roman"/>
                <w:color w:val="000000"/>
                <w:lang w:eastAsia="fr-FR"/>
              </w:rPr>
              <w:t>Source : INSAE, 2013</w:t>
            </w:r>
          </w:p>
        </w:tc>
      </w:tr>
    </w:tbl>
    <w:p w:rsidR="00FF2575" w:rsidRDefault="00FF2575" w:rsidP="00FF2575">
      <w:pPr>
        <w:spacing w:line="276" w:lineRule="auto"/>
        <w:rPr>
          <w:rFonts w:ascii="Times New Roman" w:hAnsi="Times New Roman"/>
          <w:b/>
          <w:sz w:val="24"/>
          <w:szCs w:val="24"/>
        </w:rPr>
      </w:pPr>
    </w:p>
    <w:p w:rsidR="00B200B1" w:rsidRPr="00910784" w:rsidRDefault="00B200B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A.1.5 Détermination du seuil de pauvreté</w:t>
      </w:r>
    </w:p>
    <w:p w:rsidR="00910784" w:rsidRPr="00910784" w:rsidRDefault="00910784" w:rsidP="00B200B1">
      <w:pPr>
        <w:spacing w:line="276" w:lineRule="auto"/>
        <w:rPr>
          <w:rFonts w:ascii="Times New Roman" w:hAnsi="Times New Roman"/>
          <w:sz w:val="12"/>
          <w:szCs w:val="12"/>
        </w:rPr>
      </w:pPr>
    </w:p>
    <w:p w:rsidR="00B200B1" w:rsidRDefault="00B200B1" w:rsidP="00B200B1">
      <w:pPr>
        <w:spacing w:line="276" w:lineRule="auto"/>
        <w:rPr>
          <w:rFonts w:ascii="Times New Roman" w:hAnsi="Times New Roman"/>
          <w:sz w:val="24"/>
          <w:szCs w:val="24"/>
        </w:rPr>
      </w:pPr>
      <w:r w:rsidRPr="007B43D0">
        <w:rPr>
          <w:rFonts w:ascii="Times New Roman" w:hAnsi="Times New Roman"/>
          <w:sz w:val="24"/>
          <w:szCs w:val="24"/>
        </w:rPr>
        <w:t xml:space="preserve">Le seuil de pauvreté peut être considéré comme correspondant aux dépenses minimums requises par un individu pour répondre à ses besoins de base, alimentaires ou non. Au Bénin, il a été retenu </w:t>
      </w:r>
      <w:r>
        <w:rPr>
          <w:rFonts w:ascii="Times New Roman" w:hAnsi="Times New Roman"/>
          <w:sz w:val="24"/>
          <w:szCs w:val="24"/>
        </w:rPr>
        <w:t xml:space="preserve">la </w:t>
      </w:r>
      <w:r w:rsidRPr="007B43D0">
        <w:rPr>
          <w:rFonts w:ascii="Times New Roman" w:hAnsi="Times New Roman"/>
          <w:sz w:val="24"/>
          <w:szCs w:val="24"/>
        </w:rPr>
        <w:t xml:space="preserve">mesure absolue du seuil de pauvreté, qui est un seuil constant en termes de niveaux de vie sur l’ensemble du domaine dans lequel les comparaisons de la pauvreté sont effectuées. La méthode adoptée, dans ce cas, est le coût des besoins essentiels. Cette méthode repose sur deux composantes pour la détermination du seuil de pauvreté : une composante alimentaire et une composante non alimentaire. </w:t>
      </w:r>
      <w:r w:rsidRPr="00FA228B">
        <w:rPr>
          <w:rFonts w:ascii="Times New Roman" w:hAnsi="Times New Roman"/>
          <w:sz w:val="24"/>
          <w:szCs w:val="24"/>
        </w:rPr>
        <w:t>Le seuil de pauvreté est obtenu par l’addition des seuils alimentaires et non alimentaires.</w:t>
      </w:r>
    </w:p>
    <w:p w:rsidR="00B200B1" w:rsidRPr="00910784" w:rsidRDefault="00B200B1" w:rsidP="00B200B1">
      <w:pPr>
        <w:spacing w:line="240" w:lineRule="auto"/>
        <w:rPr>
          <w:rFonts w:ascii="Times New Roman" w:hAnsi="Times New Roman"/>
          <w:sz w:val="12"/>
          <w:szCs w:val="12"/>
        </w:rPr>
      </w:pPr>
    </w:p>
    <w:p w:rsidR="00B200B1" w:rsidRDefault="00B200B1" w:rsidP="00B200B1">
      <w:pPr>
        <w:spacing w:line="276" w:lineRule="auto"/>
        <w:rPr>
          <w:rFonts w:ascii="Times New Roman" w:hAnsi="Times New Roman"/>
          <w:sz w:val="24"/>
          <w:szCs w:val="24"/>
        </w:rPr>
      </w:pPr>
      <w:r w:rsidRPr="007B43D0">
        <w:rPr>
          <w:rFonts w:ascii="Times New Roman" w:hAnsi="Times New Roman"/>
          <w:sz w:val="24"/>
          <w:szCs w:val="24"/>
        </w:rPr>
        <w:t>Pour la détermination du seuil alimentaire (SPA)</w:t>
      </w:r>
      <w:r>
        <w:rPr>
          <w:rStyle w:val="Appelnotedebasdep"/>
          <w:rFonts w:ascii="Times New Roman" w:hAnsi="Times New Roman"/>
          <w:sz w:val="24"/>
          <w:szCs w:val="24"/>
        </w:rPr>
        <w:footnoteReference w:id="95"/>
      </w:r>
      <w:r w:rsidRPr="007B43D0">
        <w:rPr>
          <w:rFonts w:ascii="Times New Roman" w:hAnsi="Times New Roman"/>
          <w:sz w:val="24"/>
          <w:szCs w:val="24"/>
        </w:rPr>
        <w:t>, le choix du seuil calorique normatif retenu par individu est de 2 400 Kcalories. A partir de ce seuil, un panier de biens alimentaire</w:t>
      </w:r>
      <w:r>
        <w:rPr>
          <w:rFonts w:ascii="Times New Roman" w:hAnsi="Times New Roman"/>
          <w:sz w:val="24"/>
          <w:szCs w:val="24"/>
        </w:rPr>
        <w:t>s</w:t>
      </w:r>
      <w:r w:rsidRPr="007B43D0">
        <w:rPr>
          <w:rFonts w:ascii="Times New Roman" w:hAnsi="Times New Roman"/>
          <w:sz w:val="24"/>
          <w:szCs w:val="24"/>
        </w:rPr>
        <w:t xml:space="preserve"> a été déterminé en référence aux habitudes alimentaires du pays. Le panier a été déterminé dans chaque strate</w:t>
      </w:r>
      <w:r>
        <w:rPr>
          <w:rFonts w:ascii="Times New Roman" w:hAnsi="Times New Roman"/>
          <w:sz w:val="24"/>
          <w:szCs w:val="24"/>
        </w:rPr>
        <w:t>,</w:t>
      </w:r>
      <w:r w:rsidRPr="007B43D0">
        <w:rPr>
          <w:rFonts w:ascii="Times New Roman" w:hAnsi="Times New Roman"/>
          <w:sz w:val="24"/>
          <w:szCs w:val="24"/>
        </w:rPr>
        <w:t xml:space="preserve"> constituée par les milieux de résidence de chaque commune, et présente ainsi l’avantage d’utiliser les biens représentatifs des habitudes alimentaires dans chaque région.</w:t>
      </w:r>
      <w:r w:rsidR="00313BDC">
        <w:rPr>
          <w:rFonts w:ascii="Times New Roman" w:hAnsi="Times New Roman"/>
          <w:sz w:val="24"/>
          <w:szCs w:val="24"/>
        </w:rPr>
        <w:t xml:space="preserve"> </w:t>
      </w:r>
      <w:r>
        <w:rPr>
          <w:rFonts w:ascii="Times New Roman" w:hAnsi="Times New Roman"/>
          <w:sz w:val="24"/>
          <w:szCs w:val="24"/>
        </w:rPr>
        <w:t xml:space="preserve">En conséquence, le seuil de pauvreté est calculé à l’échelle des strates. Ceci implique donc un seuil de pauvreté spécifique à chaque strate. Ainsi, il n’est pas calculé  </w:t>
      </w:r>
      <w:r w:rsidRPr="00B76D0A">
        <w:rPr>
          <w:rFonts w:ascii="Times New Roman" w:hAnsi="Times New Roman"/>
          <w:sz w:val="24"/>
          <w:szCs w:val="24"/>
        </w:rPr>
        <w:t xml:space="preserve">un </w:t>
      </w:r>
      <w:r>
        <w:rPr>
          <w:rFonts w:ascii="Times New Roman" w:hAnsi="Times New Roman"/>
          <w:sz w:val="24"/>
          <w:szCs w:val="24"/>
        </w:rPr>
        <w:t>seuil de pauvreté unique pour l’ensemble des ménages.</w:t>
      </w:r>
    </w:p>
    <w:p w:rsidR="00B200B1" w:rsidRPr="00910784" w:rsidRDefault="00B200B1" w:rsidP="00D323C0">
      <w:pPr>
        <w:spacing w:line="240" w:lineRule="auto"/>
        <w:rPr>
          <w:rFonts w:ascii="Times New Roman" w:hAnsi="Times New Roman"/>
          <w:sz w:val="12"/>
          <w:szCs w:val="12"/>
        </w:rPr>
      </w:pPr>
    </w:p>
    <w:p w:rsidR="00B200B1" w:rsidRDefault="00B200B1" w:rsidP="00B200B1">
      <w:pPr>
        <w:spacing w:line="276" w:lineRule="auto"/>
        <w:rPr>
          <w:rFonts w:ascii="Times New Roman" w:hAnsi="Times New Roman"/>
          <w:sz w:val="24"/>
          <w:szCs w:val="24"/>
        </w:rPr>
      </w:pPr>
      <w:r w:rsidRPr="007B43D0">
        <w:rPr>
          <w:rFonts w:ascii="Times New Roman" w:hAnsi="Times New Roman"/>
          <w:sz w:val="24"/>
          <w:szCs w:val="24"/>
        </w:rPr>
        <w:t>La valorisation du panier de consommation a été faite à partir des prix collecté</w:t>
      </w:r>
      <w:r>
        <w:rPr>
          <w:rFonts w:ascii="Times New Roman" w:hAnsi="Times New Roman"/>
          <w:sz w:val="24"/>
          <w:szCs w:val="24"/>
        </w:rPr>
        <w:t>s</w:t>
      </w:r>
      <w:r w:rsidRPr="007B43D0">
        <w:rPr>
          <w:rFonts w:ascii="Times New Roman" w:hAnsi="Times New Roman"/>
          <w:sz w:val="24"/>
          <w:szCs w:val="24"/>
        </w:rPr>
        <w:t xml:space="preserve"> sur le marché local au moment de l’enquête par les agents enquêteurs. </w:t>
      </w:r>
      <w:r w:rsidRPr="000A1668">
        <w:rPr>
          <w:rFonts w:ascii="Times New Roman" w:hAnsi="Times New Roman"/>
          <w:sz w:val="24"/>
          <w:szCs w:val="24"/>
        </w:rPr>
        <w:t>L’optique adoptée pour la collecte est le relevé par achat de</w:t>
      </w:r>
      <w:r>
        <w:rPr>
          <w:rFonts w:ascii="Times New Roman" w:hAnsi="Times New Roman"/>
          <w:sz w:val="24"/>
          <w:szCs w:val="24"/>
        </w:rPr>
        <w:t xml:space="preserve"> tous les </w:t>
      </w:r>
      <w:r w:rsidRPr="000A1668">
        <w:rPr>
          <w:rFonts w:ascii="Times New Roman" w:hAnsi="Times New Roman"/>
          <w:sz w:val="24"/>
          <w:szCs w:val="24"/>
        </w:rPr>
        <w:t xml:space="preserve">produits du panier </w:t>
      </w:r>
      <w:r w:rsidRPr="0094037E">
        <w:rPr>
          <w:rFonts w:ascii="Times New Roman" w:hAnsi="Times New Roman"/>
          <w:sz w:val="24"/>
          <w:szCs w:val="24"/>
        </w:rPr>
        <w:t>vendu pour la plupart dans des unités</w:t>
      </w:r>
      <w:r w:rsidRPr="000A1668">
        <w:rPr>
          <w:rFonts w:ascii="Times New Roman" w:hAnsi="Times New Roman"/>
          <w:sz w:val="24"/>
          <w:szCs w:val="24"/>
        </w:rPr>
        <w:t xml:space="preserve"> non standard puis la pesée de ces produits achetés.</w:t>
      </w:r>
    </w:p>
    <w:p w:rsidR="00B200B1" w:rsidRPr="00910784" w:rsidRDefault="00B200B1" w:rsidP="00D323C0">
      <w:pPr>
        <w:spacing w:line="240" w:lineRule="auto"/>
        <w:rPr>
          <w:rFonts w:ascii="Times New Roman" w:hAnsi="Times New Roman"/>
          <w:sz w:val="12"/>
          <w:szCs w:val="12"/>
        </w:rPr>
      </w:pPr>
    </w:p>
    <w:p w:rsidR="00B200B1" w:rsidRDefault="00B200B1" w:rsidP="00B200B1">
      <w:pPr>
        <w:spacing w:line="276" w:lineRule="auto"/>
        <w:rPr>
          <w:rFonts w:ascii="Times New Roman" w:hAnsi="Times New Roman"/>
          <w:sz w:val="24"/>
          <w:szCs w:val="24"/>
        </w:rPr>
      </w:pPr>
      <w:r>
        <w:rPr>
          <w:rFonts w:ascii="Times New Roman" w:hAnsi="Times New Roman"/>
          <w:sz w:val="24"/>
          <w:szCs w:val="24"/>
        </w:rPr>
        <w:t>La détermination du seuil non alimentaire est similaire à celle du seuil alimentaire, en substituant simplement les biens et services non alimentaires. Mais contrairement au seuil alimentaire, il n’existe pas de normes pour estimer un panier en matière non alimentaire. Il est obtenu en multipliant le seuil de pauvreté alimentaire par un ratio entre les dépenses alimentaires et les dépenses non alimentaires des ménages en dessous de la médiane</w:t>
      </w:r>
      <w:r>
        <w:rPr>
          <w:rStyle w:val="Appelnotedebasdep"/>
          <w:rFonts w:ascii="Times New Roman" w:hAnsi="Times New Roman"/>
          <w:sz w:val="24"/>
          <w:szCs w:val="24"/>
        </w:rPr>
        <w:footnoteReference w:id="96"/>
      </w:r>
      <w:r>
        <w:rPr>
          <w:rFonts w:ascii="Times New Roman" w:hAnsi="Times New Roman"/>
          <w:sz w:val="24"/>
          <w:szCs w:val="24"/>
        </w:rPr>
        <w:t>.</w:t>
      </w:r>
    </w:p>
    <w:p w:rsidR="00B200B1" w:rsidRPr="00910784" w:rsidRDefault="00B200B1" w:rsidP="00D323C0">
      <w:pPr>
        <w:spacing w:line="240" w:lineRule="auto"/>
        <w:rPr>
          <w:rFonts w:ascii="Times New Roman" w:hAnsi="Times New Roman"/>
          <w:sz w:val="12"/>
          <w:szCs w:val="12"/>
        </w:rPr>
      </w:pPr>
    </w:p>
    <w:p w:rsidR="00D323C0" w:rsidRDefault="00D323C0" w:rsidP="00D323C0">
      <w:pPr>
        <w:spacing w:line="276" w:lineRule="auto"/>
        <w:rPr>
          <w:rFonts w:ascii="Times New Roman" w:hAnsi="Times New Roman"/>
          <w:sz w:val="24"/>
          <w:szCs w:val="24"/>
        </w:rPr>
      </w:pPr>
      <w:r>
        <w:rPr>
          <w:rFonts w:ascii="Times New Roman" w:hAnsi="Times New Roman"/>
          <w:sz w:val="24"/>
          <w:szCs w:val="24"/>
        </w:rPr>
        <w:t>Ainsi, l</w:t>
      </w:r>
      <w:r w:rsidRPr="007B43D0">
        <w:rPr>
          <w:rFonts w:ascii="Times New Roman" w:hAnsi="Times New Roman"/>
          <w:sz w:val="24"/>
          <w:szCs w:val="24"/>
        </w:rPr>
        <w:t xml:space="preserve">e </w:t>
      </w:r>
      <w:r w:rsidRPr="009B2ABF">
        <w:rPr>
          <w:rFonts w:ascii="Times New Roman" w:hAnsi="Times New Roman"/>
          <w:sz w:val="24"/>
          <w:szCs w:val="24"/>
        </w:rPr>
        <w:t>seuil de pauvreté global</w:t>
      </w:r>
      <w:r>
        <w:rPr>
          <w:rStyle w:val="Appelnotedebasdep"/>
          <w:rFonts w:ascii="Times New Roman" w:hAnsi="Times New Roman"/>
          <w:sz w:val="24"/>
          <w:szCs w:val="24"/>
        </w:rPr>
        <w:footnoteReference w:id="97"/>
      </w:r>
      <w:r w:rsidRPr="009B2ABF">
        <w:rPr>
          <w:rFonts w:ascii="Times New Roman" w:hAnsi="Times New Roman"/>
          <w:sz w:val="24"/>
          <w:szCs w:val="24"/>
        </w:rPr>
        <w:t xml:space="preserve"> est défini </w:t>
      </w:r>
      <w:r>
        <w:rPr>
          <w:rFonts w:ascii="Times New Roman" w:hAnsi="Times New Roman"/>
          <w:sz w:val="24"/>
          <w:szCs w:val="24"/>
        </w:rPr>
        <w:t>comme ci-après : SPG</w:t>
      </w:r>
      <w:r w:rsidRPr="009B2ABF">
        <w:rPr>
          <w:rFonts w:ascii="Times New Roman" w:hAnsi="Times New Roman"/>
          <w:i/>
          <w:sz w:val="24"/>
          <w:szCs w:val="24"/>
        </w:rPr>
        <w:t>=SPA/p</w:t>
      </w:r>
      <w:r w:rsidRPr="007B43D0">
        <w:rPr>
          <w:rFonts w:ascii="Times New Roman" w:hAnsi="Times New Roman"/>
          <w:sz w:val="24"/>
          <w:szCs w:val="24"/>
        </w:rPr>
        <w:t xml:space="preserve">où </w:t>
      </w:r>
      <w:r w:rsidRPr="007B43D0">
        <w:rPr>
          <w:rFonts w:ascii="Times New Roman" w:hAnsi="Times New Roman"/>
          <w:i/>
          <w:sz w:val="24"/>
          <w:szCs w:val="24"/>
        </w:rPr>
        <w:t>SPA</w:t>
      </w:r>
      <w:r w:rsidRPr="007B43D0">
        <w:rPr>
          <w:rFonts w:ascii="Times New Roman" w:hAnsi="Times New Roman"/>
          <w:sz w:val="24"/>
          <w:szCs w:val="24"/>
        </w:rPr>
        <w:t xml:space="preserve"> est le seuil de pauvreté alimentaire</w:t>
      </w:r>
      <w:r>
        <w:rPr>
          <w:rFonts w:ascii="Times New Roman" w:hAnsi="Times New Roman"/>
          <w:sz w:val="24"/>
          <w:szCs w:val="24"/>
        </w:rPr>
        <w:t xml:space="preserve"> et p </w:t>
      </w:r>
      <w:r w:rsidRPr="007B43D0">
        <w:rPr>
          <w:rFonts w:ascii="Times New Roman" w:hAnsi="Times New Roman"/>
          <w:sz w:val="24"/>
          <w:szCs w:val="24"/>
        </w:rPr>
        <w:t xml:space="preserve">la part de la consommation totale représentée par la consommation alimentaire des ménages en dessous de la médiane. </w:t>
      </w:r>
    </w:p>
    <w:p w:rsidR="00D323C0" w:rsidRPr="00910784" w:rsidRDefault="00D323C0" w:rsidP="00D323C0">
      <w:pPr>
        <w:spacing w:line="240" w:lineRule="auto"/>
        <w:rPr>
          <w:rFonts w:ascii="Times New Roman" w:hAnsi="Times New Roman"/>
          <w:sz w:val="12"/>
          <w:szCs w:val="12"/>
        </w:rPr>
      </w:pPr>
    </w:p>
    <w:p w:rsidR="00D323C0" w:rsidRDefault="00D323C0" w:rsidP="00D323C0">
      <w:pPr>
        <w:spacing w:line="276" w:lineRule="auto"/>
        <w:rPr>
          <w:rFonts w:ascii="Times New Roman" w:hAnsi="Times New Roman"/>
          <w:sz w:val="24"/>
          <w:szCs w:val="24"/>
        </w:rPr>
      </w:pPr>
      <w:r>
        <w:rPr>
          <w:rFonts w:ascii="Times New Roman" w:hAnsi="Times New Roman"/>
          <w:sz w:val="24"/>
          <w:szCs w:val="24"/>
        </w:rPr>
        <w:t>Il convient de préciser que l</w:t>
      </w:r>
      <w:r w:rsidRPr="007B43D0">
        <w:rPr>
          <w:rFonts w:ascii="Times New Roman" w:hAnsi="Times New Roman"/>
          <w:sz w:val="24"/>
          <w:szCs w:val="24"/>
        </w:rPr>
        <w:t xml:space="preserve">e panier utilisé pour les éditions de l’EMICoV 2006, 2010 et 2011 est vieillissant car il date de l’enquête budget-consommation </w:t>
      </w:r>
      <w:r>
        <w:rPr>
          <w:rFonts w:ascii="Times New Roman" w:hAnsi="Times New Roman"/>
          <w:sz w:val="24"/>
          <w:szCs w:val="24"/>
        </w:rPr>
        <w:t>de 1989.</w:t>
      </w:r>
      <w:r w:rsidR="00060C7A">
        <w:rPr>
          <w:rFonts w:ascii="Times New Roman" w:hAnsi="Times New Roman"/>
          <w:sz w:val="24"/>
          <w:szCs w:val="24"/>
        </w:rPr>
        <w:t xml:space="preserve"> </w:t>
      </w:r>
      <w:r w:rsidRPr="00E53E33">
        <w:rPr>
          <w:rFonts w:ascii="Times New Roman" w:hAnsi="Times New Roman"/>
          <w:sz w:val="24"/>
          <w:szCs w:val="24"/>
        </w:rPr>
        <w:t xml:space="preserve">Même si les habitudes alimentaires n’ont pas fondamentalement changés au Bénin, </w:t>
      </w:r>
      <w:r>
        <w:rPr>
          <w:rFonts w:ascii="Times New Roman" w:hAnsi="Times New Roman"/>
          <w:sz w:val="24"/>
          <w:szCs w:val="24"/>
        </w:rPr>
        <w:t>le maintien de ce panier sur une longue période pourrait conduire à une sur-estimation du seuil de pauvreté. En effet, ce maintien ne tient pas compte du changement dans la structure de consommation qui résulterait d’une baisse de la consommation des biens dont les prix auraient augmenté et d’une hausse de la consommation des biens dont les prix auraient baissé. En conséquence, il ne reflète pas les changements dans la structure de consommation au regard du changement dans les prix relatifs des biens consommés. Or, à mesure que les prix changent au fil du temps, les ménages modifient leur habitude de consommation au profit des biens dont les prix relatifs sont faibles.</w:t>
      </w:r>
    </w:p>
    <w:p w:rsidR="00D323C0" w:rsidRDefault="00D323C0" w:rsidP="00D323C0">
      <w:pPr>
        <w:spacing w:line="240" w:lineRule="auto"/>
        <w:rPr>
          <w:rFonts w:ascii="Times New Roman" w:hAnsi="Times New Roman"/>
          <w:sz w:val="24"/>
          <w:szCs w:val="24"/>
        </w:rPr>
      </w:pPr>
    </w:p>
    <w:p w:rsidR="00D323C0" w:rsidRDefault="00D323C0" w:rsidP="00D323C0">
      <w:pPr>
        <w:spacing w:line="276" w:lineRule="auto"/>
        <w:rPr>
          <w:rFonts w:ascii="Times New Roman" w:hAnsi="Times New Roman"/>
          <w:sz w:val="24"/>
          <w:szCs w:val="24"/>
        </w:rPr>
      </w:pPr>
      <w:r>
        <w:rPr>
          <w:rFonts w:ascii="Times New Roman" w:hAnsi="Times New Roman"/>
          <w:sz w:val="24"/>
          <w:szCs w:val="24"/>
        </w:rPr>
        <w:t xml:space="preserve">Ce panier mérite donc d’être revisité pour assurer une meilleure appréciation du seuil de pauvreté basée sur </w:t>
      </w:r>
      <w:r w:rsidRPr="007B43D0">
        <w:rPr>
          <w:rFonts w:ascii="Times New Roman" w:hAnsi="Times New Roman"/>
          <w:sz w:val="24"/>
          <w:szCs w:val="24"/>
        </w:rPr>
        <w:t>le coût des besoins essentiels</w:t>
      </w:r>
      <w:r>
        <w:rPr>
          <w:rFonts w:ascii="Times New Roman" w:hAnsi="Times New Roman"/>
          <w:sz w:val="24"/>
          <w:szCs w:val="24"/>
        </w:rPr>
        <w:t xml:space="preserve"> au Bénin. </w:t>
      </w:r>
    </w:p>
    <w:p w:rsidR="00B200B1" w:rsidRDefault="00B200B1" w:rsidP="00DE0355">
      <w:pPr>
        <w:spacing w:line="276" w:lineRule="auto"/>
        <w:rPr>
          <w:rFonts w:ascii="Times New Roman" w:hAnsi="Times New Roman"/>
          <w:sz w:val="24"/>
          <w:szCs w:val="24"/>
        </w:rPr>
        <w:sectPr w:rsidR="00B200B1" w:rsidSect="00977A02">
          <w:pgSz w:w="11906" w:h="16838"/>
          <w:pgMar w:top="1219" w:right="1418" w:bottom="1418" w:left="1418" w:header="284" w:footer="708" w:gutter="0"/>
          <w:cols w:space="708"/>
          <w:docGrid w:linePitch="360"/>
        </w:sectPr>
      </w:pPr>
    </w:p>
    <w:p w:rsidR="00AB31DC" w:rsidRDefault="00AB31DC"/>
    <w:tbl>
      <w:tblPr>
        <w:tblW w:w="0" w:type="auto"/>
        <w:jc w:val="center"/>
        <w:tblCellMar>
          <w:left w:w="70" w:type="dxa"/>
          <w:right w:w="70" w:type="dxa"/>
        </w:tblCellMar>
        <w:tblLook w:val="04A0" w:firstRow="1" w:lastRow="0" w:firstColumn="1" w:lastColumn="0" w:noHBand="0" w:noVBand="1"/>
      </w:tblPr>
      <w:tblGrid>
        <w:gridCol w:w="3337"/>
        <w:gridCol w:w="601"/>
        <w:gridCol w:w="827"/>
        <w:gridCol w:w="570"/>
        <w:gridCol w:w="728"/>
        <w:gridCol w:w="728"/>
        <w:gridCol w:w="785"/>
        <w:gridCol w:w="598"/>
        <w:gridCol w:w="765"/>
        <w:gridCol w:w="765"/>
        <w:gridCol w:w="825"/>
        <w:gridCol w:w="378"/>
        <w:gridCol w:w="499"/>
        <w:gridCol w:w="499"/>
        <w:gridCol w:w="530"/>
        <w:gridCol w:w="378"/>
        <w:gridCol w:w="499"/>
        <w:gridCol w:w="499"/>
        <w:gridCol w:w="530"/>
      </w:tblGrid>
      <w:tr w:rsidR="00AB31DC" w:rsidRPr="00AB31DC" w:rsidTr="00C27264">
        <w:trPr>
          <w:trHeight w:val="293"/>
          <w:jc w:val="center"/>
        </w:trPr>
        <w:tc>
          <w:tcPr>
            <w:tcW w:w="0" w:type="auto"/>
            <w:gridSpan w:val="19"/>
            <w:tcBorders>
              <w:bottom w:val="double" w:sz="4" w:space="0" w:color="auto"/>
            </w:tcBorders>
            <w:shd w:val="clear" w:color="auto" w:fill="92CDDC" w:themeFill="accent5" w:themeFillTint="99"/>
            <w:hideMark/>
          </w:tcPr>
          <w:p w:rsidR="00832112" w:rsidRDefault="00AB31DC" w:rsidP="00832112">
            <w:pPr>
              <w:spacing w:line="240" w:lineRule="auto"/>
              <w:jc w:val="left"/>
              <w:rPr>
                <w:rFonts w:ascii="Times New Roman" w:eastAsia="Times New Roman" w:hAnsi="Times New Roman"/>
                <w:color w:val="000000"/>
                <w:sz w:val="24"/>
                <w:szCs w:val="24"/>
                <w:lang w:eastAsia="fr-FR"/>
              </w:rPr>
            </w:pPr>
            <w:r w:rsidRPr="00AB31DC">
              <w:rPr>
                <w:rFonts w:ascii="Times New Roman" w:hAnsi="Times New Roman"/>
                <w:sz w:val="24"/>
                <w:szCs w:val="24"/>
              </w:rPr>
              <w:t>Tableau</w:t>
            </w:r>
            <w:r w:rsidR="00832112" w:rsidRPr="00832112">
              <w:rPr>
                <w:rFonts w:ascii="Times New Roman" w:hAnsi="Times New Roman"/>
                <w:sz w:val="24"/>
                <w:szCs w:val="24"/>
              </w:rPr>
              <w:t xml:space="preserve"> A1. </w:t>
            </w:r>
            <w:r w:rsidR="00182C97" w:rsidRPr="00832112">
              <w:rPr>
                <w:rFonts w:ascii="Times New Roman" w:hAnsi="Times New Roman"/>
                <w:sz w:val="24"/>
                <w:szCs w:val="24"/>
              </w:rPr>
              <w:fldChar w:fldCharType="begin"/>
            </w:r>
            <w:r w:rsidR="00832112" w:rsidRPr="00832112">
              <w:rPr>
                <w:rFonts w:ascii="Times New Roman" w:eastAsia="Times New Roman" w:hAnsi="Times New Roman"/>
                <w:bCs/>
                <w:sz w:val="24"/>
                <w:szCs w:val="24"/>
              </w:rPr>
              <w:instrText xml:space="preserve"> SEQ Tableau_A1. \* ARABIC </w:instrText>
            </w:r>
            <w:r w:rsidR="00182C97" w:rsidRPr="00832112">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5</w:t>
            </w:r>
            <w:r w:rsidR="00182C97" w:rsidRPr="00832112">
              <w:rPr>
                <w:rFonts w:ascii="Times New Roman" w:eastAsia="Times New Roman" w:hAnsi="Times New Roman"/>
                <w:bCs/>
                <w:sz w:val="24"/>
                <w:szCs w:val="24"/>
              </w:rPr>
              <w:fldChar w:fldCharType="end"/>
            </w:r>
            <w:r w:rsidRPr="00AB31DC">
              <w:rPr>
                <w:rFonts w:ascii="Times New Roman" w:eastAsia="Times New Roman" w:hAnsi="Times New Roman"/>
                <w:bCs/>
                <w:sz w:val="24"/>
                <w:szCs w:val="24"/>
              </w:rPr>
              <w:t>: Comparaison de la périodicité des informations sur les dépenses des ménages entre 2003 et 2011</w:t>
            </w:r>
          </w:p>
        </w:tc>
      </w:tr>
      <w:tr w:rsidR="00AB31DC" w:rsidTr="00AB31DC">
        <w:trPr>
          <w:trHeight w:val="293"/>
          <w:jc w:val="center"/>
        </w:trPr>
        <w:tc>
          <w:tcPr>
            <w:tcW w:w="0" w:type="auto"/>
            <w:vMerge w:val="restart"/>
            <w:tcBorders>
              <w:top w:val="double" w:sz="4" w:space="0" w:color="auto"/>
              <w:left w:val="single" w:sz="4" w:space="0" w:color="auto"/>
              <w:bottom w:val="single" w:sz="4" w:space="0" w:color="000000"/>
              <w:right w:val="single" w:sz="4" w:space="0" w:color="auto"/>
            </w:tcBorders>
            <w:shd w:val="clear" w:color="auto" w:fill="DAEEF3" w:themeFill="accent5" w:themeFillTint="33"/>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Fonctions de consommation</w:t>
            </w:r>
          </w:p>
        </w:tc>
        <w:tc>
          <w:tcPr>
            <w:tcW w:w="0" w:type="auto"/>
            <w:gridSpan w:val="2"/>
            <w:tcBorders>
              <w:top w:val="double" w:sz="4" w:space="0" w:color="auto"/>
              <w:left w:val="nil"/>
              <w:bottom w:val="nil"/>
              <w:right w:val="single" w:sz="4" w:space="0" w:color="000000"/>
            </w:tcBorders>
            <w:shd w:val="clear" w:color="auto" w:fill="DAEEF3" w:themeFill="accent5" w:themeFillTint="33"/>
            <w:noWrap/>
            <w:vAlign w:val="center"/>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QUIBB 2003</w:t>
            </w:r>
          </w:p>
        </w:tc>
        <w:tc>
          <w:tcPr>
            <w:tcW w:w="0" w:type="auto"/>
            <w:gridSpan w:val="4"/>
            <w:tcBorders>
              <w:top w:val="double" w:sz="4" w:space="0" w:color="auto"/>
              <w:left w:val="nil"/>
              <w:bottom w:val="single" w:sz="4" w:space="0" w:color="auto"/>
              <w:right w:val="single" w:sz="4" w:space="0" w:color="auto"/>
            </w:tcBorders>
            <w:shd w:val="clear" w:color="auto" w:fill="DAEEF3" w:themeFill="accent5" w:themeFillTint="33"/>
            <w:noWrap/>
            <w:vAlign w:val="bottom"/>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2006 : 1</w:t>
            </w:r>
            <w:r>
              <w:rPr>
                <w:rFonts w:ascii="Times New Roman" w:eastAsia="Times New Roman" w:hAnsi="Times New Roman"/>
                <w:color w:val="000000"/>
                <w:sz w:val="24"/>
                <w:szCs w:val="24"/>
                <w:vertAlign w:val="superscript"/>
                <w:lang w:eastAsia="fr-FR"/>
              </w:rPr>
              <w:t>er</w:t>
            </w:r>
            <w:r>
              <w:rPr>
                <w:rFonts w:ascii="Times New Roman" w:eastAsia="Times New Roman" w:hAnsi="Times New Roman"/>
                <w:color w:val="000000"/>
                <w:sz w:val="24"/>
                <w:szCs w:val="24"/>
                <w:lang w:eastAsia="fr-FR"/>
              </w:rPr>
              <w:t xml:space="preserve"> passage</w:t>
            </w:r>
          </w:p>
        </w:tc>
        <w:tc>
          <w:tcPr>
            <w:tcW w:w="0" w:type="auto"/>
            <w:gridSpan w:val="4"/>
            <w:tcBorders>
              <w:top w:val="double" w:sz="4" w:space="0" w:color="auto"/>
              <w:left w:val="nil"/>
              <w:bottom w:val="single" w:sz="4" w:space="0" w:color="auto"/>
              <w:right w:val="single" w:sz="4" w:space="0" w:color="auto"/>
            </w:tcBorders>
            <w:shd w:val="clear" w:color="auto" w:fill="DAEEF3" w:themeFill="accent5" w:themeFillTint="33"/>
            <w:noWrap/>
            <w:vAlign w:val="bottom"/>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2007 : 4</w:t>
            </w:r>
            <w:r>
              <w:rPr>
                <w:rFonts w:ascii="Times New Roman" w:eastAsia="Times New Roman" w:hAnsi="Times New Roman"/>
                <w:color w:val="000000"/>
                <w:sz w:val="24"/>
                <w:szCs w:val="24"/>
                <w:vertAlign w:val="superscript"/>
                <w:lang w:eastAsia="fr-FR"/>
              </w:rPr>
              <w:t>ème</w:t>
            </w:r>
            <w:r>
              <w:rPr>
                <w:rFonts w:ascii="Times New Roman" w:eastAsia="Times New Roman" w:hAnsi="Times New Roman"/>
                <w:color w:val="000000"/>
                <w:sz w:val="24"/>
                <w:szCs w:val="24"/>
                <w:lang w:eastAsia="fr-FR"/>
              </w:rPr>
              <w:t xml:space="preserve"> passage</w:t>
            </w:r>
          </w:p>
        </w:tc>
        <w:tc>
          <w:tcPr>
            <w:tcW w:w="0" w:type="auto"/>
            <w:gridSpan w:val="4"/>
            <w:tcBorders>
              <w:top w:val="double" w:sz="4" w:space="0" w:color="auto"/>
              <w:left w:val="nil"/>
              <w:bottom w:val="single" w:sz="4" w:space="0" w:color="auto"/>
              <w:right w:val="single" w:sz="4" w:space="0" w:color="auto"/>
            </w:tcBorders>
            <w:shd w:val="clear" w:color="auto" w:fill="DAEEF3" w:themeFill="accent5" w:themeFillTint="33"/>
            <w:noWrap/>
            <w:vAlign w:val="bottom"/>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2010</w:t>
            </w:r>
          </w:p>
        </w:tc>
        <w:tc>
          <w:tcPr>
            <w:tcW w:w="0" w:type="auto"/>
            <w:gridSpan w:val="4"/>
            <w:tcBorders>
              <w:top w:val="double" w:sz="4" w:space="0" w:color="auto"/>
              <w:left w:val="nil"/>
              <w:bottom w:val="single" w:sz="4" w:space="0" w:color="auto"/>
              <w:right w:val="single" w:sz="4" w:space="0" w:color="auto"/>
            </w:tcBorders>
            <w:shd w:val="clear" w:color="auto" w:fill="DAEEF3" w:themeFill="accent5" w:themeFillTint="33"/>
            <w:noWrap/>
            <w:vAlign w:val="bottom"/>
            <w:hideMark/>
          </w:tcPr>
          <w:p w:rsidR="00CE1899" w:rsidRDefault="00CE1899">
            <w:pPr>
              <w:spacing w:line="240" w:lineRule="auto"/>
              <w:jc w:val="center"/>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EMICoV 2011</w:t>
            </w:r>
          </w:p>
        </w:tc>
      </w:tr>
      <w:tr w:rsidR="00AB31DC" w:rsidTr="00CE1899">
        <w:trPr>
          <w:trHeight w:val="363"/>
          <w:jc w:val="center"/>
        </w:trPr>
        <w:tc>
          <w:tcPr>
            <w:tcW w:w="0" w:type="auto"/>
            <w:vMerge/>
            <w:tcBorders>
              <w:top w:val="double" w:sz="4" w:space="0" w:color="auto"/>
              <w:left w:val="single" w:sz="4" w:space="0" w:color="auto"/>
              <w:bottom w:val="single" w:sz="4" w:space="0" w:color="000000"/>
              <w:right w:val="single" w:sz="4" w:space="0" w:color="auto"/>
            </w:tcBorders>
            <w:vAlign w:val="center"/>
            <w:hideMark/>
          </w:tcPr>
          <w:p w:rsidR="00CE1899" w:rsidRDefault="00CE1899">
            <w:pPr>
              <w:spacing w:line="240" w:lineRule="auto"/>
              <w:jc w:val="left"/>
              <w:rPr>
                <w:rFonts w:ascii="Times New Roman" w:eastAsia="Times New Roman" w:hAnsi="Times New Roman"/>
                <w:color w:val="000000"/>
                <w:sz w:val="24"/>
                <w:szCs w:val="24"/>
                <w:lang w:eastAsia="fr-FR"/>
              </w:rPr>
            </w:pP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15 jrs</w:t>
            </w:r>
          </w:p>
        </w:tc>
        <w:tc>
          <w:tcPr>
            <w:tcW w:w="0" w:type="auto"/>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12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15 jrs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3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6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12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15 jrs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3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6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12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15 jrs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3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6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12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15 jrs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3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6 mois</w:t>
            </w:r>
          </w:p>
        </w:tc>
        <w:tc>
          <w:tcPr>
            <w:tcW w:w="0" w:type="auto"/>
            <w:tcBorders>
              <w:top w:val="nil"/>
              <w:left w:val="nil"/>
              <w:bottom w:val="single" w:sz="4" w:space="0" w:color="auto"/>
              <w:right w:val="single" w:sz="4" w:space="0" w:color="auto"/>
            </w:tcBorders>
            <w:shd w:val="clear" w:color="auto" w:fill="DAEEF3" w:themeFill="accent5" w:themeFillTint="33"/>
            <w:vAlign w:val="center"/>
            <w:hideMark/>
          </w:tcPr>
          <w:p w:rsidR="00CE1899" w:rsidRDefault="00CE1899" w:rsidP="00CE1899">
            <w:pPr>
              <w:spacing w:line="240" w:lineRule="auto"/>
              <w:jc w:val="center"/>
              <w:rPr>
                <w:rFonts w:ascii="Times New Roman" w:eastAsia="Times New Roman" w:hAnsi="Times New Roman"/>
                <w:color w:val="000000"/>
                <w:sz w:val="16"/>
                <w:szCs w:val="16"/>
                <w:lang w:eastAsia="fr-FR"/>
              </w:rPr>
            </w:pPr>
            <w:r>
              <w:rPr>
                <w:rFonts w:ascii="Times New Roman" w:eastAsia="Times New Roman" w:hAnsi="Times New Roman"/>
                <w:color w:val="000000"/>
                <w:sz w:val="16"/>
                <w:szCs w:val="16"/>
                <w:lang w:eastAsia="fr-FR"/>
              </w:rPr>
              <w:t>12 mois</w:t>
            </w:r>
          </w:p>
        </w:tc>
      </w:tr>
      <w:tr w:rsidR="00AB31DC" w:rsidTr="00CE1899">
        <w:trPr>
          <w:trHeight w:val="418"/>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Alimentation et boisson non alcoolisées</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418"/>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Boissons alcoolisées, tabac et stupéfiant</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418"/>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Articles d'habillement et chaussures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418"/>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Logement, eau, électricité, gaz et autres combustibles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628"/>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Meubles, articles de ménages et entretien courant du foyer</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Santé</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Transports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Communications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Loisirs et cultures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Enseignements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Restaurants et hôtels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Biens et services divers</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418"/>
          <w:jc w:val="center"/>
        </w:trPr>
        <w:tc>
          <w:tcPr>
            <w:tcW w:w="0" w:type="auto"/>
            <w:tcBorders>
              <w:top w:val="nil"/>
              <w:left w:val="single" w:sz="4" w:space="0" w:color="auto"/>
              <w:bottom w:val="sing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Dépenses de biens et services de  construction</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sing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tcBorders>
              <w:top w:val="nil"/>
              <w:left w:val="single" w:sz="4" w:space="0" w:color="auto"/>
              <w:bottom w:val="double" w:sz="4" w:space="0" w:color="auto"/>
              <w:right w:val="single" w:sz="4" w:space="0" w:color="auto"/>
            </w:tcBorders>
            <w:shd w:val="clear" w:color="auto" w:fill="DAEEF3" w:themeFill="accent5" w:themeFillTint="33"/>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Module fêtes et cérémonies</w:t>
            </w:r>
          </w:p>
        </w:tc>
        <w:tc>
          <w:tcPr>
            <w:tcW w:w="0" w:type="auto"/>
            <w:tcBorders>
              <w:top w:val="nil"/>
              <w:left w:val="nil"/>
              <w:bottom w:val="double" w:sz="4" w:space="0" w:color="auto"/>
              <w:right w:val="single" w:sz="4" w:space="0" w:color="auto"/>
            </w:tcBorders>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shd w:val="clear" w:color="auto" w:fill="D8D8D8"/>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c>
          <w:tcPr>
            <w:tcW w:w="0" w:type="auto"/>
            <w:tcBorders>
              <w:top w:val="nil"/>
              <w:left w:val="nil"/>
              <w:bottom w:val="double" w:sz="4" w:space="0" w:color="auto"/>
              <w:right w:val="single" w:sz="4" w:space="0" w:color="auto"/>
            </w:tcBorders>
            <w:shd w:val="clear" w:color="auto" w:fill="D8D8D8"/>
            <w:noWrap/>
            <w:vAlign w:val="bottom"/>
            <w:hideMark/>
          </w:tcPr>
          <w:p w:rsidR="00CE1899" w:rsidRDefault="00CE1899">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 </w:t>
            </w:r>
          </w:p>
        </w:tc>
      </w:tr>
      <w:tr w:rsidR="00AB31DC" w:rsidTr="00CE1899">
        <w:trPr>
          <w:trHeight w:val="279"/>
          <w:jc w:val="center"/>
        </w:trPr>
        <w:tc>
          <w:tcPr>
            <w:tcW w:w="0" w:type="auto"/>
            <w:gridSpan w:val="19"/>
            <w:tcBorders>
              <w:top w:val="double" w:sz="4" w:space="0" w:color="auto"/>
              <w:left w:val="nil"/>
              <w:bottom w:val="nil"/>
              <w:right w:val="nil"/>
            </w:tcBorders>
            <w:shd w:val="clear" w:color="auto" w:fill="DAEEF3" w:themeFill="accent5" w:themeFillTint="33"/>
            <w:hideMark/>
          </w:tcPr>
          <w:p w:rsidR="00CE1899" w:rsidRDefault="00CE1899" w:rsidP="00CE1899">
            <w:pPr>
              <w:spacing w:before="60" w:line="240" w:lineRule="auto"/>
              <w:rPr>
                <w:rFonts w:ascii="Times New Roman" w:hAnsi="Times New Roman"/>
                <w:sz w:val="24"/>
                <w:szCs w:val="24"/>
              </w:rPr>
            </w:pPr>
            <w:r>
              <w:rPr>
                <w:rFonts w:ascii="Times New Roman" w:hAnsi="Times New Roman"/>
                <w:sz w:val="24"/>
                <w:szCs w:val="24"/>
              </w:rPr>
              <w:t>Source : INSAE, 2013</w:t>
            </w:r>
          </w:p>
        </w:tc>
      </w:tr>
    </w:tbl>
    <w:p w:rsidR="00DE0355" w:rsidRDefault="00DE0355" w:rsidP="00DE0355">
      <w:pPr>
        <w:rPr>
          <w:rFonts w:ascii="Times New Roman" w:hAnsi="Times New Roman"/>
          <w:sz w:val="24"/>
          <w:szCs w:val="24"/>
        </w:rPr>
        <w:sectPr w:rsidR="00DE0355" w:rsidSect="00A27749">
          <w:headerReference w:type="default" r:id="rId86"/>
          <w:pgSz w:w="16838" w:h="11906" w:orient="landscape"/>
          <w:pgMar w:top="1418" w:right="1219" w:bottom="1418" w:left="1418" w:header="284" w:footer="708" w:gutter="0"/>
          <w:cols w:space="708"/>
          <w:docGrid w:linePitch="360"/>
        </w:sectPr>
      </w:pPr>
    </w:p>
    <w:p w:rsidR="00DE0355" w:rsidRDefault="00DE0355" w:rsidP="00DE0355">
      <w:pPr>
        <w:spacing w:line="276" w:lineRule="auto"/>
        <w:rPr>
          <w:rFonts w:ascii="Times New Roman" w:hAnsi="Times New Roman"/>
          <w:sz w:val="24"/>
          <w:szCs w:val="24"/>
        </w:rPr>
      </w:pPr>
    </w:p>
    <w:p w:rsidR="00DE0355" w:rsidRPr="00910784" w:rsidRDefault="00A87A4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w:t>
      </w:r>
      <w:r w:rsidR="00DE0355" w:rsidRPr="00910784">
        <w:rPr>
          <w:rFonts w:ascii="Times New Roman" w:hAnsi="Times New Roman"/>
          <w:color w:val="auto"/>
          <w:sz w:val="28"/>
          <w:szCs w:val="28"/>
        </w:rPr>
        <w:t>1.6</w:t>
      </w:r>
      <w:r w:rsidR="00F733A7">
        <w:rPr>
          <w:rFonts w:ascii="Times New Roman" w:hAnsi="Times New Roman"/>
          <w:color w:val="auto"/>
          <w:sz w:val="28"/>
          <w:szCs w:val="28"/>
        </w:rPr>
        <w:t xml:space="preserve"> </w:t>
      </w:r>
      <w:r w:rsidR="00DE0355" w:rsidRPr="00910784">
        <w:rPr>
          <w:rFonts w:ascii="Times New Roman" w:hAnsi="Times New Roman"/>
          <w:color w:val="auto"/>
          <w:sz w:val="28"/>
          <w:szCs w:val="28"/>
        </w:rPr>
        <w:t>Ajustement des données</w:t>
      </w:r>
    </w:p>
    <w:p w:rsidR="00DE0355" w:rsidRDefault="00DE0355" w:rsidP="00DE0355">
      <w:pPr>
        <w:spacing w:line="276" w:lineRule="auto"/>
        <w:rPr>
          <w:rFonts w:ascii="Times New Roman" w:hAnsi="Times New Roman"/>
          <w:sz w:val="24"/>
          <w:szCs w:val="24"/>
        </w:rPr>
      </w:pPr>
    </w:p>
    <w:p w:rsidR="00DE0355" w:rsidRPr="00531097" w:rsidRDefault="00DE0355" w:rsidP="00DE0355">
      <w:pPr>
        <w:spacing w:line="276" w:lineRule="auto"/>
        <w:rPr>
          <w:rFonts w:ascii="Times New Roman" w:hAnsi="Times New Roman"/>
          <w:sz w:val="24"/>
          <w:szCs w:val="24"/>
          <w:highlight w:val="yellow"/>
        </w:rPr>
      </w:pPr>
      <w:r>
        <w:rPr>
          <w:rFonts w:ascii="Times New Roman" w:hAnsi="Times New Roman"/>
          <w:sz w:val="24"/>
          <w:szCs w:val="24"/>
        </w:rPr>
        <w:t>L</w:t>
      </w:r>
      <w:r w:rsidRPr="007B43D0">
        <w:rPr>
          <w:rFonts w:ascii="Times New Roman" w:hAnsi="Times New Roman"/>
          <w:sz w:val="24"/>
          <w:szCs w:val="24"/>
        </w:rPr>
        <w:t xml:space="preserve">’indicateur monétaire de bien-être </w:t>
      </w:r>
      <w:r>
        <w:rPr>
          <w:rFonts w:ascii="Times New Roman" w:hAnsi="Times New Roman"/>
          <w:sz w:val="24"/>
          <w:szCs w:val="24"/>
        </w:rPr>
        <w:t xml:space="preserve">utilisé au </w:t>
      </w:r>
      <w:r w:rsidRPr="007B43D0">
        <w:rPr>
          <w:rFonts w:ascii="Times New Roman" w:hAnsi="Times New Roman"/>
          <w:sz w:val="24"/>
          <w:szCs w:val="24"/>
        </w:rPr>
        <w:t xml:space="preserve">Bénin </w:t>
      </w:r>
      <w:r>
        <w:rPr>
          <w:rFonts w:ascii="Times New Roman" w:hAnsi="Times New Roman"/>
          <w:sz w:val="24"/>
          <w:szCs w:val="24"/>
        </w:rPr>
        <w:t xml:space="preserve">est la </w:t>
      </w:r>
      <w:r w:rsidRPr="007B43D0">
        <w:rPr>
          <w:rFonts w:ascii="Times New Roman" w:hAnsi="Times New Roman"/>
          <w:sz w:val="24"/>
          <w:szCs w:val="24"/>
        </w:rPr>
        <w:t>dépense de consommation</w:t>
      </w:r>
      <w:r>
        <w:rPr>
          <w:rFonts w:ascii="Times New Roman" w:hAnsi="Times New Roman"/>
          <w:sz w:val="24"/>
          <w:szCs w:val="24"/>
        </w:rPr>
        <w:t xml:space="preserve"> par tête</w:t>
      </w:r>
      <w:r w:rsidRPr="007B43D0">
        <w:rPr>
          <w:rFonts w:ascii="Times New Roman" w:hAnsi="Times New Roman"/>
          <w:sz w:val="24"/>
          <w:szCs w:val="24"/>
        </w:rPr>
        <w:t xml:space="preserve">. </w:t>
      </w:r>
      <w:r>
        <w:rPr>
          <w:rFonts w:ascii="Times New Roman" w:hAnsi="Times New Roman"/>
          <w:sz w:val="24"/>
          <w:szCs w:val="24"/>
        </w:rPr>
        <w:t xml:space="preserve">Cet indicateur a été </w:t>
      </w:r>
      <w:r w:rsidRPr="007B43D0">
        <w:rPr>
          <w:rFonts w:ascii="Times New Roman" w:hAnsi="Times New Roman"/>
          <w:sz w:val="24"/>
          <w:szCs w:val="24"/>
        </w:rPr>
        <w:t>déflat</w:t>
      </w:r>
      <w:r>
        <w:rPr>
          <w:rFonts w:ascii="Times New Roman" w:hAnsi="Times New Roman"/>
          <w:sz w:val="24"/>
          <w:szCs w:val="24"/>
        </w:rPr>
        <w:t xml:space="preserve">é par un indice des prix équivalent </w:t>
      </w:r>
      <w:r w:rsidRPr="004E1E8E">
        <w:rPr>
          <w:rFonts w:ascii="Times New Roman" w:hAnsi="Times New Roman"/>
          <w:sz w:val="24"/>
          <w:szCs w:val="24"/>
        </w:rPr>
        <w:t>au rapport des seuils de pauvreté</w:t>
      </w:r>
      <w:r>
        <w:rPr>
          <w:rFonts w:ascii="Times New Roman" w:hAnsi="Times New Roman"/>
          <w:sz w:val="24"/>
          <w:szCs w:val="24"/>
        </w:rPr>
        <w:t xml:space="preserve">. En effet, </w:t>
      </w:r>
      <w:r w:rsidRPr="007B43D0">
        <w:rPr>
          <w:rFonts w:ascii="Times New Roman" w:hAnsi="Times New Roman"/>
          <w:sz w:val="24"/>
          <w:szCs w:val="24"/>
        </w:rPr>
        <w:t xml:space="preserve">un relevé de prix est effectué </w:t>
      </w:r>
      <w:r>
        <w:rPr>
          <w:rFonts w:ascii="Times New Roman" w:hAnsi="Times New Roman"/>
          <w:sz w:val="24"/>
          <w:szCs w:val="24"/>
        </w:rPr>
        <w:t xml:space="preserve">au cours de la collecte des données relatives aux </w:t>
      </w:r>
      <w:r w:rsidRPr="007B43D0">
        <w:rPr>
          <w:rFonts w:ascii="Times New Roman" w:hAnsi="Times New Roman"/>
          <w:sz w:val="24"/>
          <w:szCs w:val="24"/>
        </w:rPr>
        <w:t>dépenses de consommation des ménages</w:t>
      </w:r>
      <w:r>
        <w:rPr>
          <w:rFonts w:ascii="Times New Roman" w:hAnsi="Times New Roman"/>
          <w:sz w:val="24"/>
          <w:szCs w:val="24"/>
        </w:rPr>
        <w:t xml:space="preserve"> mais, le traitement n’a pas été exhaustif pour pouvoir permettre de disposer d’un déflateur par strate qui prenne en compte les quantités et les prix des biens consommés au cours de la période de l’étude. En conséquence, </w:t>
      </w:r>
      <w:r w:rsidRPr="007B43D0">
        <w:rPr>
          <w:rFonts w:ascii="Times New Roman" w:hAnsi="Times New Roman"/>
          <w:sz w:val="24"/>
          <w:szCs w:val="24"/>
        </w:rPr>
        <w:t xml:space="preserve">le </w:t>
      </w:r>
      <w:r>
        <w:rPr>
          <w:rFonts w:ascii="Times New Roman" w:hAnsi="Times New Roman"/>
          <w:sz w:val="24"/>
          <w:szCs w:val="24"/>
        </w:rPr>
        <w:t xml:space="preserve">rapport des seuils de </w:t>
      </w:r>
      <w:r w:rsidRPr="007B43D0">
        <w:rPr>
          <w:rFonts w:ascii="Times New Roman" w:hAnsi="Times New Roman"/>
          <w:sz w:val="24"/>
          <w:szCs w:val="24"/>
        </w:rPr>
        <w:t>pauvreté contemporain</w:t>
      </w:r>
      <w:r>
        <w:rPr>
          <w:rFonts w:ascii="Times New Roman" w:hAnsi="Times New Roman"/>
          <w:sz w:val="24"/>
          <w:szCs w:val="24"/>
        </w:rPr>
        <w:t>s</w:t>
      </w:r>
      <w:r w:rsidRPr="007B43D0">
        <w:rPr>
          <w:rFonts w:ascii="Times New Roman" w:hAnsi="Times New Roman"/>
          <w:sz w:val="24"/>
          <w:szCs w:val="24"/>
        </w:rPr>
        <w:t xml:space="preserve"> aux dépenses</w:t>
      </w:r>
      <w:r>
        <w:rPr>
          <w:rFonts w:ascii="Times New Roman" w:hAnsi="Times New Roman"/>
          <w:sz w:val="24"/>
          <w:szCs w:val="24"/>
        </w:rPr>
        <w:t xml:space="preserve"> est utilisé comme </w:t>
      </w:r>
      <w:r w:rsidRPr="007B43D0">
        <w:rPr>
          <w:rFonts w:ascii="Times New Roman" w:hAnsi="Times New Roman"/>
          <w:sz w:val="24"/>
          <w:szCs w:val="24"/>
        </w:rPr>
        <w:t>un</w:t>
      </w:r>
      <w:r>
        <w:rPr>
          <w:rFonts w:ascii="Times New Roman" w:hAnsi="Times New Roman"/>
          <w:sz w:val="24"/>
          <w:szCs w:val="24"/>
        </w:rPr>
        <w:t xml:space="preserve"> bon</w:t>
      </w:r>
      <w:r w:rsidRPr="007B43D0">
        <w:rPr>
          <w:rFonts w:ascii="Times New Roman" w:hAnsi="Times New Roman"/>
          <w:sz w:val="24"/>
          <w:szCs w:val="24"/>
        </w:rPr>
        <w:t xml:space="preserve"> indicateu</w:t>
      </w:r>
      <w:r>
        <w:rPr>
          <w:rFonts w:ascii="Times New Roman" w:hAnsi="Times New Roman"/>
          <w:sz w:val="24"/>
          <w:szCs w:val="24"/>
        </w:rPr>
        <w:t xml:space="preserve">r du </w:t>
      </w:r>
      <w:r w:rsidRPr="007B43D0">
        <w:rPr>
          <w:rFonts w:ascii="Times New Roman" w:hAnsi="Times New Roman"/>
          <w:sz w:val="24"/>
          <w:szCs w:val="24"/>
        </w:rPr>
        <w:t xml:space="preserve">niveau général des prix. </w:t>
      </w:r>
      <w:r>
        <w:rPr>
          <w:rFonts w:ascii="Times New Roman" w:hAnsi="Times New Roman"/>
          <w:sz w:val="24"/>
          <w:szCs w:val="24"/>
        </w:rPr>
        <w:t>En effet</w:t>
      </w:r>
      <w:r w:rsidRPr="009A047F">
        <w:rPr>
          <w:rFonts w:ascii="Times New Roman" w:hAnsi="Times New Roman"/>
          <w:sz w:val="24"/>
          <w:szCs w:val="24"/>
        </w:rPr>
        <w:t>, les paniers alimentaires étant  maintenus constants, les changements constatés dans le niveau des dépenses seront donc exclusivement liés aux prix des produits alimentaires sur les marchés.</w:t>
      </w:r>
    </w:p>
    <w:p w:rsidR="00DE0355" w:rsidRPr="00573BFA" w:rsidRDefault="00DE0355" w:rsidP="00DE0355">
      <w:pPr>
        <w:spacing w:line="276" w:lineRule="auto"/>
        <w:rPr>
          <w:rFonts w:ascii="Times New Roman" w:hAnsi="Times New Roman"/>
          <w:sz w:val="24"/>
          <w:szCs w:val="24"/>
        </w:rPr>
      </w:pPr>
    </w:p>
    <w:p w:rsidR="00DE0355" w:rsidRPr="00F87593" w:rsidRDefault="00DE0355" w:rsidP="00DE0355">
      <w:pPr>
        <w:spacing w:line="276" w:lineRule="auto"/>
        <w:rPr>
          <w:rFonts w:ascii="Times New Roman" w:hAnsi="Times New Roman"/>
          <w:sz w:val="24"/>
          <w:szCs w:val="24"/>
        </w:rPr>
      </w:pPr>
      <w:r w:rsidRPr="00F87593">
        <w:rPr>
          <w:rFonts w:ascii="Times New Roman" w:hAnsi="Times New Roman"/>
          <w:sz w:val="24"/>
          <w:szCs w:val="24"/>
        </w:rPr>
        <w:t>Si on désigne par s1 et s2 respectivement les seuils de pauvreté respectifs les deux années retenu</w:t>
      </w:r>
      <w:r w:rsidR="00060C7A">
        <w:rPr>
          <w:rFonts w:ascii="Times New Roman" w:hAnsi="Times New Roman"/>
          <w:sz w:val="24"/>
          <w:szCs w:val="24"/>
        </w:rPr>
        <w:t>e</w:t>
      </w:r>
      <w:r w:rsidRPr="00F87593">
        <w:rPr>
          <w:rFonts w:ascii="Times New Roman" w:hAnsi="Times New Roman"/>
          <w:sz w:val="24"/>
          <w:szCs w:val="24"/>
        </w:rPr>
        <w:t>s pour l’analyse de la dynamique de la pauvreté, le coefficient d=s1/s2 est un déflateur</w:t>
      </w:r>
      <w:r>
        <w:rPr>
          <w:rStyle w:val="Appelnotedebasdep"/>
          <w:rFonts w:ascii="Times New Roman" w:hAnsi="Times New Roman"/>
          <w:sz w:val="24"/>
          <w:szCs w:val="24"/>
        </w:rPr>
        <w:footnoteReference w:id="98"/>
      </w:r>
      <w:r w:rsidRPr="00F87593">
        <w:rPr>
          <w:rFonts w:ascii="Times New Roman" w:hAnsi="Times New Roman"/>
          <w:sz w:val="24"/>
          <w:szCs w:val="24"/>
        </w:rPr>
        <w:t xml:space="preserve"> pour les données dépenses et de seuils de l’année 2. Ainsi, les dépenses de consommation des ménages de l’EMICoV 2010 ont été déflatées par ce coefficient.</w:t>
      </w:r>
    </w:p>
    <w:p w:rsidR="00910784" w:rsidRDefault="00910784" w:rsidP="00910784">
      <w:pPr>
        <w:pStyle w:val="Titre3"/>
        <w:spacing w:before="0"/>
        <w:rPr>
          <w:rFonts w:ascii="Times New Roman" w:hAnsi="Times New Roman"/>
          <w:color w:val="auto"/>
          <w:sz w:val="28"/>
          <w:szCs w:val="28"/>
        </w:rPr>
      </w:pPr>
    </w:p>
    <w:p w:rsidR="00DE0355" w:rsidRPr="00910784" w:rsidRDefault="00A87A41" w:rsidP="00910784">
      <w:pPr>
        <w:pStyle w:val="Titre3"/>
        <w:spacing w:before="0"/>
        <w:rPr>
          <w:rFonts w:ascii="Times New Roman" w:hAnsi="Times New Roman"/>
          <w:color w:val="auto"/>
          <w:sz w:val="28"/>
          <w:szCs w:val="28"/>
        </w:rPr>
      </w:pPr>
      <w:r w:rsidRPr="00910784">
        <w:rPr>
          <w:rFonts w:ascii="Times New Roman" w:hAnsi="Times New Roman"/>
          <w:color w:val="auto"/>
          <w:sz w:val="28"/>
          <w:szCs w:val="28"/>
        </w:rPr>
        <w:t>A.</w:t>
      </w:r>
      <w:r w:rsidR="00DE0355" w:rsidRPr="00910784">
        <w:rPr>
          <w:rFonts w:ascii="Times New Roman" w:hAnsi="Times New Roman"/>
          <w:color w:val="auto"/>
          <w:sz w:val="28"/>
          <w:szCs w:val="28"/>
        </w:rPr>
        <w:t>1.7 Conclusion et implications</w:t>
      </w:r>
    </w:p>
    <w:p w:rsidR="00910784" w:rsidRDefault="00910784"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B76D0A">
        <w:rPr>
          <w:rFonts w:ascii="Times New Roman" w:hAnsi="Times New Roman"/>
          <w:sz w:val="24"/>
          <w:szCs w:val="24"/>
        </w:rPr>
        <w:t xml:space="preserve">Ce chapitre est consacré à la revue des données d’enquêtes réalisées au Bénin </w:t>
      </w:r>
      <w:r>
        <w:rPr>
          <w:rFonts w:ascii="Times New Roman" w:hAnsi="Times New Roman"/>
          <w:sz w:val="24"/>
          <w:szCs w:val="24"/>
        </w:rPr>
        <w:t xml:space="preserve">et qui ont dans une certaine mesure contribué à l’appréciation des conditions de vie des ménages. L’objectif visé est de pouvoir retenir des données adaptées à une évaluation conséquente de la pauvreté au Bénin. Au regard des analyses effectuées sur l’architecture des données disponibles, les éditions des enquêtes EMICoV de 2006 et de 2010 ont été retenues. En outre, elles couvrent le premier quinquennat du président en exercice, ce qui permet d’apprécier l’impact des reformes et mesures engagées pour améliorer les conditions de vie de la population, en particulier les plus pauvres.  </w:t>
      </w:r>
    </w:p>
    <w:p w:rsidR="00DE0355" w:rsidRDefault="00DE0355" w:rsidP="00DE0355">
      <w:pPr>
        <w:spacing w:line="276" w:lineRule="auto"/>
        <w:rPr>
          <w:rFonts w:ascii="Times New Roman" w:hAnsi="Times New Roman"/>
          <w:sz w:val="24"/>
          <w:szCs w:val="24"/>
        </w:rPr>
      </w:pPr>
    </w:p>
    <w:p w:rsidR="00DE0355" w:rsidRDefault="00DE0355" w:rsidP="00DE0355">
      <w:pPr>
        <w:spacing w:line="276" w:lineRule="auto"/>
        <w:rPr>
          <w:rFonts w:ascii="Times New Roman" w:hAnsi="Times New Roman"/>
          <w:sz w:val="24"/>
          <w:szCs w:val="24"/>
        </w:rPr>
      </w:pPr>
      <w:r w:rsidRPr="00D4034B">
        <w:rPr>
          <w:rFonts w:ascii="Times New Roman" w:hAnsi="Times New Roman"/>
          <w:sz w:val="24"/>
          <w:szCs w:val="24"/>
        </w:rPr>
        <w:t xml:space="preserve">Par ailleurs, </w:t>
      </w:r>
      <w:r>
        <w:rPr>
          <w:rFonts w:ascii="Times New Roman" w:hAnsi="Times New Roman"/>
          <w:sz w:val="24"/>
          <w:szCs w:val="24"/>
        </w:rPr>
        <w:t xml:space="preserve">la comparabilité des indicateurs de niveau de vie pour les deux enquêtes retenues a été assurée à travers un indice des prix équivalent </w:t>
      </w:r>
      <w:r w:rsidRPr="00D4034B">
        <w:rPr>
          <w:rFonts w:ascii="Times New Roman" w:hAnsi="Times New Roman"/>
          <w:sz w:val="24"/>
          <w:szCs w:val="24"/>
        </w:rPr>
        <w:t>au rapport des seuils de pauvreté</w:t>
      </w:r>
      <w:r>
        <w:rPr>
          <w:rFonts w:ascii="Times New Roman" w:hAnsi="Times New Roman"/>
          <w:sz w:val="24"/>
          <w:szCs w:val="24"/>
        </w:rPr>
        <w:t xml:space="preserve">.  Toutefois, il </w:t>
      </w:r>
      <w:r w:rsidRPr="00880CC7">
        <w:rPr>
          <w:rFonts w:ascii="Times New Roman" w:hAnsi="Times New Roman"/>
          <w:sz w:val="24"/>
          <w:szCs w:val="24"/>
        </w:rPr>
        <w:t xml:space="preserve">convient de préciser </w:t>
      </w:r>
      <w:r>
        <w:rPr>
          <w:rFonts w:ascii="Times New Roman" w:hAnsi="Times New Roman"/>
          <w:sz w:val="24"/>
          <w:szCs w:val="24"/>
        </w:rPr>
        <w:t xml:space="preserve">que, </w:t>
      </w:r>
      <w:r w:rsidRPr="00880CC7">
        <w:rPr>
          <w:rFonts w:ascii="Times New Roman" w:hAnsi="Times New Roman"/>
          <w:sz w:val="24"/>
          <w:szCs w:val="24"/>
        </w:rPr>
        <w:t>du fait que le seuil</w:t>
      </w:r>
      <w:r>
        <w:rPr>
          <w:rFonts w:ascii="Times New Roman" w:hAnsi="Times New Roman"/>
          <w:sz w:val="24"/>
          <w:szCs w:val="24"/>
        </w:rPr>
        <w:t xml:space="preserve"> de pauvreté est déterminé à partir de la méthode du</w:t>
      </w:r>
      <w:r w:rsidRPr="007B43D0">
        <w:rPr>
          <w:rFonts w:ascii="Times New Roman" w:hAnsi="Times New Roman"/>
          <w:sz w:val="24"/>
          <w:szCs w:val="24"/>
        </w:rPr>
        <w:t xml:space="preserve"> coût des besoins essentiels</w:t>
      </w:r>
      <w:r>
        <w:rPr>
          <w:rFonts w:ascii="Times New Roman" w:hAnsi="Times New Roman"/>
          <w:sz w:val="24"/>
          <w:szCs w:val="24"/>
        </w:rPr>
        <w:t xml:space="preserve"> avec un </w:t>
      </w:r>
      <w:r w:rsidRPr="007B43D0">
        <w:rPr>
          <w:rFonts w:ascii="Times New Roman" w:hAnsi="Times New Roman"/>
          <w:sz w:val="24"/>
          <w:szCs w:val="24"/>
        </w:rPr>
        <w:t xml:space="preserve">panier de biens alimentaire </w:t>
      </w:r>
      <w:r>
        <w:rPr>
          <w:rFonts w:ascii="Times New Roman" w:hAnsi="Times New Roman"/>
          <w:sz w:val="24"/>
          <w:szCs w:val="24"/>
        </w:rPr>
        <w:t xml:space="preserve">qui date </w:t>
      </w:r>
      <w:r w:rsidRPr="007B43D0">
        <w:rPr>
          <w:rFonts w:ascii="Times New Roman" w:hAnsi="Times New Roman"/>
          <w:sz w:val="24"/>
          <w:szCs w:val="24"/>
        </w:rPr>
        <w:t>de l’enquête budget-consommation de 1989</w:t>
      </w:r>
      <w:r>
        <w:rPr>
          <w:rFonts w:ascii="Times New Roman" w:hAnsi="Times New Roman"/>
          <w:sz w:val="24"/>
          <w:szCs w:val="24"/>
        </w:rPr>
        <w:t>pourrait constituer une source potentielle de biais dans l’évaluation du seuil et par conséquent du niveau de  pauvreté. La non prise en compte de ce facteur pourrait</w:t>
      </w:r>
      <w:r w:rsidR="00060C7A">
        <w:rPr>
          <w:rFonts w:ascii="Times New Roman" w:hAnsi="Times New Roman"/>
          <w:sz w:val="24"/>
          <w:szCs w:val="24"/>
        </w:rPr>
        <w:t>,</w:t>
      </w:r>
      <w:r>
        <w:rPr>
          <w:rFonts w:ascii="Times New Roman" w:hAnsi="Times New Roman"/>
          <w:sz w:val="24"/>
          <w:szCs w:val="24"/>
        </w:rPr>
        <w:t xml:space="preserve"> en plus des problèmes d’ordre méthodologique soulevés dans la littérature empirique, </w:t>
      </w:r>
      <w:r w:rsidR="00060C7A">
        <w:rPr>
          <w:rFonts w:ascii="Times New Roman" w:hAnsi="Times New Roman"/>
          <w:sz w:val="24"/>
          <w:szCs w:val="24"/>
        </w:rPr>
        <w:t xml:space="preserve">conduire </w:t>
      </w:r>
      <w:r>
        <w:rPr>
          <w:rFonts w:ascii="Times New Roman" w:hAnsi="Times New Roman"/>
          <w:sz w:val="24"/>
          <w:szCs w:val="24"/>
        </w:rPr>
        <w:t>à une estimation imprécise du niveau de pauvreté (</w:t>
      </w:r>
      <w:r w:rsidRPr="00D37A81">
        <w:rPr>
          <w:rFonts w:ascii="Times New Roman" w:hAnsi="Times New Roman"/>
          <w:sz w:val="24"/>
          <w:szCs w:val="24"/>
        </w:rPr>
        <w:t>Pinkovskiy,M et Sala</w:t>
      </w:r>
      <w:r>
        <w:rPr>
          <w:rFonts w:ascii="Times New Roman" w:hAnsi="Times New Roman"/>
          <w:sz w:val="24"/>
          <w:szCs w:val="24"/>
        </w:rPr>
        <w:t>-</w:t>
      </w:r>
      <w:r w:rsidRPr="00D37A81">
        <w:rPr>
          <w:rFonts w:ascii="Times New Roman" w:hAnsi="Times New Roman"/>
          <w:sz w:val="24"/>
          <w:szCs w:val="24"/>
        </w:rPr>
        <w:t>i</w:t>
      </w:r>
      <w:r>
        <w:rPr>
          <w:rFonts w:ascii="Times New Roman" w:hAnsi="Times New Roman"/>
          <w:sz w:val="24"/>
          <w:szCs w:val="24"/>
        </w:rPr>
        <w:t>-</w:t>
      </w:r>
      <w:r w:rsidRPr="00D37A81">
        <w:rPr>
          <w:rFonts w:ascii="Times New Roman" w:hAnsi="Times New Roman"/>
          <w:sz w:val="24"/>
          <w:szCs w:val="24"/>
        </w:rPr>
        <w:t>Martin,</w:t>
      </w:r>
      <w:r w:rsidR="00AB31DC">
        <w:rPr>
          <w:rFonts w:ascii="Times New Roman" w:hAnsi="Times New Roman"/>
          <w:sz w:val="24"/>
          <w:szCs w:val="24"/>
        </w:rPr>
        <w:t xml:space="preserve"> </w:t>
      </w:r>
      <w:r w:rsidRPr="00D37A81">
        <w:rPr>
          <w:rFonts w:ascii="Times New Roman" w:hAnsi="Times New Roman"/>
          <w:sz w:val="24"/>
          <w:szCs w:val="24"/>
        </w:rPr>
        <w:t>M</w:t>
      </w:r>
      <w:r>
        <w:rPr>
          <w:rFonts w:ascii="Times New Roman" w:hAnsi="Times New Roman"/>
          <w:sz w:val="24"/>
          <w:szCs w:val="24"/>
        </w:rPr>
        <w:t xml:space="preserve">, 2010 ; </w:t>
      </w:r>
      <w:r w:rsidRPr="00D37A81">
        <w:rPr>
          <w:rFonts w:ascii="Times New Roman" w:hAnsi="Times New Roman"/>
          <w:sz w:val="24"/>
          <w:szCs w:val="24"/>
        </w:rPr>
        <w:t>Young</w:t>
      </w:r>
      <w:r>
        <w:rPr>
          <w:rFonts w:ascii="Times New Roman" w:hAnsi="Times New Roman"/>
          <w:sz w:val="24"/>
          <w:szCs w:val="24"/>
        </w:rPr>
        <w:t>, A, 2009).</w:t>
      </w:r>
    </w:p>
    <w:p w:rsidR="00A35BCF" w:rsidRDefault="00A35BCF" w:rsidP="00D3713A">
      <w:pPr>
        <w:rPr>
          <w:rFonts w:ascii="Times New Roman" w:hAnsi="Times New Roman"/>
          <w:sz w:val="24"/>
          <w:szCs w:val="24"/>
        </w:rPr>
      </w:pPr>
    </w:p>
    <w:p w:rsidR="00A87A41" w:rsidRDefault="00A87A41" w:rsidP="003B44B5">
      <w:pPr>
        <w:spacing w:line="276" w:lineRule="auto"/>
        <w:rPr>
          <w:rFonts w:ascii="Times New Roman" w:hAnsi="Times New Roman"/>
          <w:b/>
          <w:sz w:val="24"/>
          <w:szCs w:val="24"/>
        </w:rPr>
        <w:sectPr w:rsidR="00A87A41" w:rsidSect="00A27749">
          <w:pgSz w:w="11906" w:h="16838"/>
          <w:pgMar w:top="1219" w:right="1418" w:bottom="1418" w:left="1418" w:header="284" w:footer="708" w:gutter="0"/>
          <w:cols w:space="708"/>
          <w:docGrid w:linePitch="360"/>
        </w:sectPr>
      </w:pPr>
    </w:p>
    <w:p w:rsidR="0031347F" w:rsidRDefault="0031347F" w:rsidP="00910784">
      <w:pPr>
        <w:pStyle w:val="Titre2"/>
        <w:spacing w:before="0" w:after="0" w:line="240" w:lineRule="auto"/>
        <w:rPr>
          <w:rFonts w:ascii="Times New Roman" w:hAnsi="Times New Roman" w:cs="Times New Roman"/>
          <w:i w:val="0"/>
        </w:rPr>
      </w:pPr>
      <w:bookmarkStart w:id="218" w:name="_Toc382322971"/>
      <w:r w:rsidRPr="00910784">
        <w:rPr>
          <w:rFonts w:ascii="Times New Roman" w:hAnsi="Times New Roman" w:cs="Times New Roman"/>
          <w:i w:val="0"/>
        </w:rPr>
        <w:t>A2</w:t>
      </w:r>
      <w:r w:rsidR="002A3B41" w:rsidRPr="00910784">
        <w:rPr>
          <w:rFonts w:ascii="Times New Roman" w:hAnsi="Times New Roman" w:cs="Times New Roman"/>
          <w:i w:val="0"/>
        </w:rPr>
        <w:t> :</w:t>
      </w:r>
      <w:r w:rsidR="00F733A7">
        <w:rPr>
          <w:rFonts w:ascii="Times New Roman" w:hAnsi="Times New Roman" w:cs="Times New Roman"/>
          <w:i w:val="0"/>
        </w:rPr>
        <w:t xml:space="preserve"> </w:t>
      </w:r>
      <w:r w:rsidRPr="00910784">
        <w:rPr>
          <w:rFonts w:ascii="Times New Roman" w:hAnsi="Times New Roman" w:cs="Times New Roman"/>
          <w:i w:val="0"/>
        </w:rPr>
        <w:t xml:space="preserve">Tableaux </w:t>
      </w:r>
      <w:r w:rsidR="0032176D">
        <w:rPr>
          <w:rFonts w:ascii="Times New Roman" w:hAnsi="Times New Roman" w:cs="Times New Roman"/>
          <w:i w:val="0"/>
        </w:rPr>
        <w:t xml:space="preserve">et graphiques </w:t>
      </w:r>
      <w:r w:rsidRPr="00910784">
        <w:rPr>
          <w:rFonts w:ascii="Times New Roman" w:hAnsi="Times New Roman" w:cs="Times New Roman"/>
          <w:i w:val="0"/>
        </w:rPr>
        <w:t>complémentaires du chapitre 1</w:t>
      </w:r>
      <w:bookmarkEnd w:id="218"/>
    </w:p>
    <w:p w:rsidR="00AB31DC" w:rsidRPr="00AB31DC" w:rsidRDefault="00AB31DC" w:rsidP="00AB31DC"/>
    <w:tbl>
      <w:tblPr>
        <w:tblW w:w="14470" w:type="dxa"/>
        <w:tblInd w:w="-356" w:type="dxa"/>
        <w:tblBorders>
          <w:top w:val="double" w:sz="4" w:space="0" w:color="auto"/>
          <w:bottom w:val="double" w:sz="4" w:space="0" w:color="auto"/>
        </w:tblBorders>
        <w:tblLayout w:type="fixed"/>
        <w:tblCellMar>
          <w:left w:w="0" w:type="dxa"/>
          <w:right w:w="0" w:type="dxa"/>
        </w:tblCellMar>
        <w:tblLook w:val="0000" w:firstRow="0" w:lastRow="0" w:firstColumn="0" w:lastColumn="0" w:noHBand="0" w:noVBand="0"/>
      </w:tblPr>
      <w:tblGrid>
        <w:gridCol w:w="2409"/>
        <w:gridCol w:w="566"/>
        <w:gridCol w:w="566"/>
        <w:gridCol w:w="713"/>
        <w:gridCol w:w="20"/>
        <w:gridCol w:w="688"/>
        <w:gridCol w:w="563"/>
        <w:gridCol w:w="713"/>
        <w:gridCol w:w="52"/>
        <w:gridCol w:w="633"/>
        <w:gridCol w:w="709"/>
        <w:gridCol w:w="732"/>
        <w:gridCol w:w="20"/>
        <w:gridCol w:w="689"/>
        <w:gridCol w:w="709"/>
        <w:gridCol w:w="598"/>
        <w:gridCol w:w="90"/>
        <w:gridCol w:w="585"/>
        <w:gridCol w:w="600"/>
        <w:gridCol w:w="805"/>
        <w:gridCol w:w="20"/>
        <w:gridCol w:w="570"/>
        <w:gridCol w:w="690"/>
        <w:gridCol w:w="720"/>
        <w:gridCol w:w="10"/>
      </w:tblGrid>
      <w:tr w:rsidR="00AB31DC" w:rsidRPr="00AB31DC" w:rsidTr="00AB31DC">
        <w:trPr>
          <w:trHeight w:val="254"/>
        </w:trPr>
        <w:tc>
          <w:tcPr>
            <w:tcW w:w="14470" w:type="dxa"/>
            <w:gridSpan w:val="25"/>
            <w:tcBorders>
              <w:top w:val="nil"/>
              <w:bottom w:val="double" w:sz="4" w:space="0" w:color="auto"/>
            </w:tcBorders>
            <w:shd w:val="clear" w:color="auto" w:fill="92CDDC" w:themeFill="accent5" w:themeFillTint="99"/>
            <w:noWrap/>
            <w:tcMar>
              <w:top w:w="20" w:type="dxa"/>
              <w:left w:w="20" w:type="dxa"/>
              <w:bottom w:w="0" w:type="dxa"/>
              <w:right w:w="20" w:type="dxa"/>
            </w:tcMar>
            <w:vAlign w:val="bottom"/>
          </w:tcPr>
          <w:p w:rsidR="00832112" w:rsidRDefault="00832112" w:rsidP="00832112">
            <w:pPr>
              <w:spacing w:line="240" w:lineRule="auto"/>
              <w:jc w:val="left"/>
              <w:rPr>
                <w:rFonts w:ascii="Times New Roman" w:eastAsia="Arial Unicode MS" w:hAnsi="Times New Roman"/>
                <w:sz w:val="24"/>
                <w:szCs w:val="24"/>
              </w:rPr>
            </w:pPr>
            <w:bookmarkStart w:id="219" w:name="_Toc373430319"/>
            <w:r w:rsidRPr="00832112">
              <w:rPr>
                <w:rFonts w:ascii="Times New Roman" w:hAnsi="Times New Roman"/>
                <w:sz w:val="24"/>
                <w:szCs w:val="24"/>
              </w:rPr>
              <w:t xml:space="preserve">Tableau A2. </w:t>
            </w:r>
            <w:r w:rsidR="00182C97" w:rsidRPr="00832112">
              <w:rPr>
                <w:rFonts w:ascii="Times New Roman" w:hAnsi="Times New Roman"/>
                <w:sz w:val="24"/>
                <w:szCs w:val="24"/>
              </w:rPr>
              <w:fldChar w:fldCharType="begin"/>
            </w:r>
            <w:r w:rsidRPr="00832112">
              <w:rPr>
                <w:rFonts w:ascii="Times New Roman" w:eastAsia="Times New Roman" w:hAnsi="Times New Roman"/>
                <w:bCs/>
                <w:sz w:val="24"/>
                <w:szCs w:val="24"/>
              </w:rPr>
              <w:instrText xml:space="preserve"> SEQ Tableau_A2. \* ARABIC </w:instrText>
            </w:r>
            <w:r w:rsidR="00182C97" w:rsidRPr="00832112">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1</w:t>
            </w:r>
            <w:r w:rsidR="00182C97" w:rsidRPr="00832112">
              <w:rPr>
                <w:rFonts w:ascii="Times New Roman" w:eastAsia="Times New Roman" w:hAnsi="Times New Roman"/>
                <w:bCs/>
                <w:sz w:val="24"/>
                <w:szCs w:val="24"/>
              </w:rPr>
              <w:fldChar w:fldCharType="end"/>
            </w:r>
            <w:r w:rsidR="00AB31DC" w:rsidRPr="00AB31DC">
              <w:rPr>
                <w:rFonts w:ascii="Times New Roman" w:eastAsia="Arial Unicode MS" w:hAnsi="Times New Roman"/>
                <w:bCs/>
                <w:sz w:val="24"/>
                <w:szCs w:val="24"/>
              </w:rPr>
              <w:t xml:space="preserve">: Répartition des ménages en pourcentage suivant la </w:t>
            </w:r>
            <w:r w:rsidR="00AB31DC" w:rsidRPr="00AB31DC">
              <w:rPr>
                <w:rFonts w:ascii="Times New Roman" w:eastAsia="Times New Roman" w:hAnsi="Times New Roman"/>
                <w:bCs/>
                <w:sz w:val="24"/>
                <w:szCs w:val="24"/>
              </w:rPr>
              <w:t>pauvreté monétaire, la</w:t>
            </w:r>
            <w:r w:rsidR="00AB31DC" w:rsidRPr="00AB31DC">
              <w:rPr>
                <w:rFonts w:ascii="Times New Roman" w:eastAsia="Arial Unicode MS" w:hAnsi="Times New Roman"/>
                <w:bCs/>
                <w:sz w:val="24"/>
                <w:szCs w:val="24"/>
              </w:rPr>
              <w:t xml:space="preserve"> p</w:t>
            </w:r>
            <w:r w:rsidR="00AB31DC" w:rsidRPr="00AB31DC">
              <w:rPr>
                <w:rFonts w:ascii="Times New Roman" w:eastAsia="Times New Roman" w:hAnsi="Times New Roman"/>
                <w:bCs/>
                <w:sz w:val="24"/>
                <w:szCs w:val="24"/>
              </w:rPr>
              <w:t xml:space="preserve">auvreté non monétaire </w:t>
            </w:r>
            <w:r w:rsidR="00AB31DC" w:rsidRPr="00AB31DC">
              <w:rPr>
                <w:rFonts w:ascii="Times New Roman" w:eastAsia="Arial Unicode MS" w:hAnsi="Times New Roman"/>
                <w:bCs/>
                <w:sz w:val="24"/>
                <w:szCs w:val="24"/>
              </w:rPr>
              <w:t xml:space="preserve"> suivant le département et le milieu de résidence des  ménages sur la période 2006-2011</w:t>
            </w:r>
            <w:bookmarkEnd w:id="219"/>
          </w:p>
        </w:tc>
      </w:tr>
      <w:tr w:rsidR="000E1BB7" w:rsidRPr="007B43D0" w:rsidTr="00AB31DC">
        <w:trPr>
          <w:trHeight w:val="254"/>
        </w:trPr>
        <w:tc>
          <w:tcPr>
            <w:tcW w:w="2409" w:type="dxa"/>
            <w:tcBorders>
              <w:top w:val="double" w:sz="4" w:space="0" w:color="auto"/>
            </w:tcBorders>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p>
        </w:tc>
        <w:tc>
          <w:tcPr>
            <w:tcW w:w="3829" w:type="dxa"/>
            <w:gridSpan w:val="7"/>
            <w:tcBorders>
              <w:top w:val="doub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2006</w:t>
            </w:r>
          </w:p>
        </w:tc>
        <w:tc>
          <w:tcPr>
            <w:tcW w:w="52" w:type="dxa"/>
            <w:tcBorders>
              <w:top w:val="double" w:sz="4" w:space="0" w:color="auto"/>
              <w:bottom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4090" w:type="dxa"/>
            <w:gridSpan w:val="7"/>
            <w:tcBorders>
              <w:top w:val="double" w:sz="4" w:space="0" w:color="auto"/>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2009</w:t>
            </w:r>
          </w:p>
        </w:tc>
        <w:tc>
          <w:tcPr>
            <w:tcW w:w="90" w:type="dxa"/>
            <w:tcBorders>
              <w:top w:val="doub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4000" w:type="dxa"/>
            <w:gridSpan w:val="8"/>
            <w:tcBorders>
              <w:top w:val="double" w:sz="4" w:space="0" w:color="auto"/>
              <w:left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2011</w:t>
            </w:r>
          </w:p>
        </w:tc>
      </w:tr>
      <w:tr w:rsidR="000E1BB7" w:rsidRPr="007B43D0" w:rsidTr="00AD3072">
        <w:trPr>
          <w:trHeight w:val="254"/>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p>
        </w:tc>
        <w:tc>
          <w:tcPr>
            <w:tcW w:w="1845" w:type="dxa"/>
            <w:gridSpan w:val="3"/>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Pauvreté monétaire</w:t>
            </w:r>
          </w:p>
        </w:tc>
        <w:tc>
          <w:tcPr>
            <w:tcW w:w="20" w:type="dxa"/>
            <w:tcBorders>
              <w:top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1964" w:type="dxa"/>
            <w:gridSpan w:val="3"/>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Pauvreté non monétaire</w:t>
            </w:r>
          </w:p>
        </w:tc>
        <w:tc>
          <w:tcPr>
            <w:tcW w:w="52" w:type="dxa"/>
            <w:tcBorders>
              <w:top w:val="nil"/>
              <w:bottom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2074" w:type="dxa"/>
            <w:gridSpan w:val="3"/>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Pauvreté monétaire</w:t>
            </w:r>
          </w:p>
        </w:tc>
        <w:tc>
          <w:tcPr>
            <w:tcW w:w="20" w:type="dxa"/>
            <w:tcBorders>
              <w:top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1996" w:type="dxa"/>
            <w:gridSpan w:val="3"/>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Pauvreté non monétaire</w:t>
            </w:r>
          </w:p>
        </w:tc>
        <w:tc>
          <w:tcPr>
            <w:tcW w:w="90" w:type="dxa"/>
            <w:tcBorders>
              <w:top w:val="single" w:sz="4" w:space="0" w:color="auto"/>
              <w:bottom w:val="nil"/>
              <w:right w:val="nil"/>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p>
        </w:tc>
        <w:tc>
          <w:tcPr>
            <w:tcW w:w="1990" w:type="dxa"/>
            <w:gridSpan w:val="3"/>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Pauvreté monétaire</w:t>
            </w:r>
          </w:p>
        </w:tc>
        <w:tc>
          <w:tcPr>
            <w:tcW w:w="20" w:type="dxa"/>
            <w:tcBorders>
              <w:top w:val="single" w:sz="4" w:space="0" w:color="auto"/>
              <w:left w:val="nil"/>
              <w:bottom w:val="nil"/>
              <w:right w:val="nil"/>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p>
        </w:tc>
        <w:tc>
          <w:tcPr>
            <w:tcW w:w="1990" w:type="dxa"/>
            <w:gridSpan w:val="4"/>
            <w:tcBorders>
              <w:top w:val="single" w:sz="4" w:space="0" w:color="auto"/>
              <w:left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Pauvreté non monétaire</w:t>
            </w:r>
          </w:p>
        </w:tc>
      </w:tr>
      <w:tr w:rsidR="000E1BB7" w:rsidRPr="007B43D0" w:rsidTr="00AD3072">
        <w:trPr>
          <w:trHeight w:val="254"/>
        </w:trPr>
        <w:tc>
          <w:tcPr>
            <w:tcW w:w="2409" w:type="dxa"/>
            <w:tcBorders>
              <w:bottom w:val="single" w:sz="4" w:space="0" w:color="auto"/>
            </w:tcBorders>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p>
        </w:tc>
        <w:tc>
          <w:tcPr>
            <w:tcW w:w="566"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566"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13"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20"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p>
        </w:tc>
        <w:tc>
          <w:tcPr>
            <w:tcW w:w="688"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563"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13"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52" w:type="dxa"/>
            <w:tcBorders>
              <w:top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p>
        </w:tc>
        <w:tc>
          <w:tcPr>
            <w:tcW w:w="633"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709"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32"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20"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689"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709"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598" w:type="dxa"/>
            <w:tcBorders>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90" w:type="dxa"/>
            <w:tcBorders>
              <w:top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585"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P0</w:t>
            </w:r>
          </w:p>
        </w:tc>
        <w:tc>
          <w:tcPr>
            <w:tcW w:w="600"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805"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20" w:type="dxa"/>
            <w:tcBorders>
              <w:top w:val="nil"/>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570"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P0</w:t>
            </w:r>
          </w:p>
        </w:tc>
        <w:tc>
          <w:tcPr>
            <w:tcW w:w="690"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30" w:type="dxa"/>
            <w:gridSpan w:val="2"/>
            <w:tcBorders>
              <w:top w:val="single" w:sz="4" w:space="0" w:color="auto"/>
              <w:left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r>
      <w:tr w:rsidR="000E1BB7" w:rsidRPr="007B43D0" w:rsidTr="00AD3072">
        <w:trPr>
          <w:trHeight w:val="169"/>
        </w:trPr>
        <w:tc>
          <w:tcPr>
            <w:tcW w:w="2409" w:type="dxa"/>
            <w:tcBorders>
              <w:top w:val="single" w:sz="4" w:space="0" w:color="auto"/>
            </w:tcBorders>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pStyle w:val="Objetducommentaire"/>
              <w:spacing w:after="0"/>
              <w:rPr>
                <w:rFonts w:ascii="Times New Roman" w:eastAsia="Arial Unicode MS" w:hAnsi="Times New Roman"/>
                <w:sz w:val="24"/>
                <w:szCs w:val="24"/>
              </w:rPr>
            </w:pPr>
            <w:r w:rsidRPr="007B43D0">
              <w:rPr>
                <w:rFonts w:ascii="Times New Roman" w:hAnsi="Times New Roman"/>
                <w:sz w:val="24"/>
                <w:szCs w:val="24"/>
              </w:rPr>
              <w:t>Milieu de résidence</w:t>
            </w:r>
          </w:p>
        </w:tc>
        <w:tc>
          <w:tcPr>
            <w:tcW w:w="566"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566"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713"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20"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688"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563"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713"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52"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633"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709"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732"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20"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689"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709" w:type="dxa"/>
            <w:tcBorders>
              <w:top w:val="single" w:sz="4" w:space="0" w:color="auto"/>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598"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90" w:type="dxa"/>
            <w:tcBorders>
              <w:top w:val="single" w:sz="4" w:space="0" w:color="auto"/>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585" w:type="dxa"/>
            <w:tcBorders>
              <w:top w:val="single" w:sz="4" w:space="0" w:color="auto"/>
              <w:left w:val="nil"/>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600" w:type="dxa"/>
            <w:tcBorders>
              <w:top w:val="single" w:sz="4" w:space="0" w:color="auto"/>
              <w:left w:val="nil"/>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805" w:type="dxa"/>
            <w:tcBorders>
              <w:top w:val="single" w:sz="4" w:space="0" w:color="auto"/>
              <w:left w:val="nil"/>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20" w:type="dxa"/>
            <w:tcBorders>
              <w:top w:val="single" w:sz="4" w:space="0" w:color="auto"/>
              <w:left w:val="nil"/>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570" w:type="dxa"/>
            <w:tcBorders>
              <w:top w:val="single" w:sz="4" w:space="0" w:color="auto"/>
              <w:left w:val="nil"/>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690" w:type="dxa"/>
            <w:tcBorders>
              <w:top w:val="single" w:sz="4" w:space="0" w:color="auto"/>
              <w:left w:val="nil"/>
              <w:righ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c>
          <w:tcPr>
            <w:tcW w:w="730" w:type="dxa"/>
            <w:gridSpan w:val="2"/>
            <w:tcBorders>
              <w:top w:val="single" w:sz="4" w:space="0" w:color="auto"/>
              <w:left w:val="nil"/>
            </w:tcBorders>
            <w:shd w:val="clear" w:color="auto" w:fill="DAEEF3" w:themeFill="accent5" w:themeFillTint="33"/>
            <w:vAlign w:val="center"/>
          </w:tcPr>
          <w:p w:rsidR="000E1BB7" w:rsidRPr="00F3363B" w:rsidRDefault="000E1BB7" w:rsidP="0058465E">
            <w:pPr>
              <w:spacing w:line="240" w:lineRule="auto"/>
              <w:jc w:val="right"/>
              <w:rPr>
                <w:rFonts w:ascii="Times New Roman" w:hAnsi="Times New Roman"/>
                <w:color w:val="000000"/>
                <w:sz w:val="20"/>
                <w:szCs w:val="20"/>
              </w:rPr>
            </w:pP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Cotonou</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0,303</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0,104</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0,052</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0,305</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0,138</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0,081</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0,239</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0,059</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0,022</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0,193</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0,083</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0,047</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0,259</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0,072</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0,031</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0,189</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0,051</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Autre urbain</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0,363</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0,112</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0,051</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0,413</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0,197</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0,128</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0,315</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0,092</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0,040</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0,321</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0,146</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0,091</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0,335</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0,094</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0,039</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0,278</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0,123</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0,078</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Ensemble urbain</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0,351</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0,110</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0,051</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0,389</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0,184</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0,117</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0,298</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0,085</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0,036</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0,291</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0,131</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0,081</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0,314</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0,088</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0,036</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0,253</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0,113</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0,071</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hAnsi="Times New Roman"/>
                <w:sz w:val="24"/>
                <w:szCs w:val="24"/>
              </w:rPr>
            </w:pPr>
            <w:r w:rsidRPr="007B43D0">
              <w:rPr>
                <w:rFonts w:ascii="Times New Roman" w:hAnsi="Times New Roman"/>
                <w:sz w:val="24"/>
                <w:szCs w:val="24"/>
              </w:rPr>
              <w:t>Rural</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0,389</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0,120</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0,055</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0,472</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0,249</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0,174</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0,384</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0,116</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0,050</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0,383</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0,184</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0,125</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0,397</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0,105</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0,040</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0,325</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0,102</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pStyle w:val="Objetducommentaire"/>
              <w:spacing w:after="0"/>
              <w:rPr>
                <w:rFonts w:ascii="Times New Roman" w:eastAsia="Arial Unicode MS" w:hAnsi="Times New Roman"/>
                <w:sz w:val="24"/>
                <w:szCs w:val="24"/>
              </w:rPr>
            </w:pPr>
            <w:r w:rsidRPr="007B43D0">
              <w:rPr>
                <w:rFonts w:ascii="Times New Roman" w:hAnsi="Times New Roman"/>
                <w:sz w:val="24"/>
                <w:szCs w:val="24"/>
              </w:rPr>
              <w:t>Département</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Alibori</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0,429</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0,156</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0,082</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0,494</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0,278</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0,203</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0,357</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0,111</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0,050</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0,425</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0,222</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0,161</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0,363</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0,092</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0,033</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0,411</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0,176</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0,115</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Atacora</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0,323</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0,081</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0,030</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0,753</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0,463</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0,346</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0,360</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0,107</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0,046</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0,743</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0,402</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0,279</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0,397</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0,096</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0,034</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0,582</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0,294</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0,215</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Atlantique</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0,396</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0,111</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0,046</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0,370</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0,198</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0,140</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0,369</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0,111</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0,048</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0,287</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0,125</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0,081</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0,390</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0,115</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0,048</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0,233</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0,074</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Borgou</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0,391</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0,172</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0,106</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0,490</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0,235</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0,148</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0,289</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0,095</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0,045</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0,360</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0,154</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0,090</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0,315</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0,079</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0,028</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0,293</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0,121</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0,077</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Collines</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0,361</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0,099</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0,040</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0,404</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0,164</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0,101</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0,442</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0,142</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0,064</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0,240</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0,085</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0,050</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0,461</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0,122</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0,047</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0,220</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0,056</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Couffo</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0,405</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0,114</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0,047</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0,460</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0,222</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0,139</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0,465</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0,136</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0,055</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0,416</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0,182</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0,106</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0,466</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0,133</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0,056</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0,367</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0,164</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0,108</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Donga</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0,359</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0,100</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0,039</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0,480</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0,217</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0,138</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0,313</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0,088</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0,037</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0,227</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0,090</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0,055</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0,366</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0,095</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0,034</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0,234</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0,051</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Littoral</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0,303</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0,104</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0,052</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0,305</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0,138</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0,081</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0,239</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0,059</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0,022</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0,193</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0,083</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0,047</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0,259</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0,072</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0,031</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0,189</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0,051</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Mono</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0,372</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0,096</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0,037</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0,603</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0,364</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0,277</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0,465</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0,143</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0,059</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0,519</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0,322</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0,263</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0,435</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0,113</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0,042</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0,409</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0,215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0,164</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Ouémé</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0,368</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0,110</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0,047</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0,268</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0,132</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0,090</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0,243</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0,057</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0,020</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0,208</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0,092</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0,061</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0,254</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0,061</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0,023</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0,195</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0,075</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0,050</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Plateau</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0,404</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0,128</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0,059</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0,471</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0,239</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0,163</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0,327</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0,088</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0,037</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0,300</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0,140</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0,089</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0,360</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0,108</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0,047</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0,274</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0,111</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0,075</w:t>
            </w:r>
          </w:p>
        </w:tc>
      </w:tr>
      <w:tr w:rsidR="000E1BB7" w:rsidRPr="007B43D0" w:rsidTr="00AD3072">
        <w:trPr>
          <w:trHeight w:val="169"/>
        </w:trPr>
        <w:tc>
          <w:tcPr>
            <w:tcW w:w="2409"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r w:rsidRPr="007B43D0">
              <w:rPr>
                <w:rFonts w:ascii="Times New Roman" w:hAnsi="Times New Roman"/>
                <w:sz w:val="24"/>
                <w:szCs w:val="24"/>
              </w:rPr>
              <w:t>Zou</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0,376</w:t>
            </w:r>
          </w:p>
        </w:tc>
        <w:tc>
          <w:tcPr>
            <w:tcW w:w="566"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0,106</w:t>
            </w:r>
          </w:p>
        </w:tc>
        <w:tc>
          <w:tcPr>
            <w:tcW w:w="713"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0,045</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0,425</w:t>
            </w:r>
          </w:p>
        </w:tc>
        <w:tc>
          <w:tcPr>
            <w:tcW w:w="56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0,191</w:t>
            </w:r>
          </w:p>
        </w:tc>
        <w:tc>
          <w:tcPr>
            <w:tcW w:w="71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0,118</w:t>
            </w:r>
          </w:p>
        </w:tc>
        <w:tc>
          <w:tcPr>
            <w:tcW w:w="5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0,412</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0,128</w:t>
            </w:r>
          </w:p>
        </w:tc>
        <w:tc>
          <w:tcPr>
            <w:tcW w:w="732"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0,057</w:t>
            </w:r>
          </w:p>
        </w:tc>
        <w:tc>
          <w:tcPr>
            <w:tcW w:w="20"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0,386</w:t>
            </w:r>
          </w:p>
        </w:tc>
        <w:tc>
          <w:tcPr>
            <w:tcW w:w="709" w:type="dxa"/>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0,164</w:t>
            </w:r>
          </w:p>
        </w:tc>
        <w:tc>
          <w:tcPr>
            <w:tcW w:w="598" w:type="dxa"/>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0,102</w:t>
            </w:r>
          </w:p>
        </w:tc>
        <w:tc>
          <w:tcPr>
            <w:tcW w:w="90" w:type="dxa"/>
            <w:tcBorders>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0,415</w:t>
            </w:r>
          </w:p>
        </w:tc>
        <w:tc>
          <w:tcPr>
            <w:tcW w:w="60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0,126</w:t>
            </w:r>
          </w:p>
        </w:tc>
        <w:tc>
          <w:tcPr>
            <w:tcW w:w="805"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0,054</w:t>
            </w:r>
          </w:p>
        </w:tc>
        <w:tc>
          <w:tcPr>
            <w:tcW w:w="2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0,268</w:t>
            </w:r>
          </w:p>
        </w:tc>
        <w:tc>
          <w:tcPr>
            <w:tcW w:w="690" w:type="dxa"/>
            <w:tcBorders>
              <w:left w:val="nil"/>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0,117</w:t>
            </w:r>
          </w:p>
        </w:tc>
        <w:tc>
          <w:tcPr>
            <w:tcW w:w="730" w:type="dxa"/>
            <w:gridSpan w:val="2"/>
            <w:tcBorders>
              <w:lef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0,076</w:t>
            </w:r>
          </w:p>
        </w:tc>
      </w:tr>
      <w:tr w:rsidR="000E1BB7" w:rsidRPr="007B43D0" w:rsidTr="00AD3072">
        <w:trPr>
          <w:trHeight w:val="169"/>
        </w:trPr>
        <w:tc>
          <w:tcPr>
            <w:tcW w:w="2409"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rPr>
                <w:rFonts w:ascii="Times New Roman" w:hAnsi="Times New Roman"/>
                <w:b/>
                <w:sz w:val="24"/>
                <w:szCs w:val="24"/>
              </w:rPr>
            </w:pPr>
            <w:r w:rsidRPr="007B43D0">
              <w:rPr>
                <w:rFonts w:ascii="Times New Roman" w:hAnsi="Times New Roman"/>
                <w:b/>
                <w:sz w:val="24"/>
                <w:szCs w:val="24"/>
              </w:rPr>
              <w:t>Ensemble</w:t>
            </w:r>
          </w:p>
        </w:tc>
        <w:tc>
          <w:tcPr>
            <w:tcW w:w="566"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0,375</w:t>
            </w:r>
          </w:p>
        </w:tc>
        <w:tc>
          <w:tcPr>
            <w:tcW w:w="566"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0,116</w:t>
            </w:r>
          </w:p>
        </w:tc>
        <w:tc>
          <w:tcPr>
            <w:tcW w:w="713"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0,054</w:t>
            </w:r>
          </w:p>
        </w:tc>
        <w:tc>
          <w:tcPr>
            <w:tcW w:w="20"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8"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0,441</w:t>
            </w:r>
          </w:p>
        </w:tc>
        <w:tc>
          <w:tcPr>
            <w:tcW w:w="563"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0,225</w:t>
            </w:r>
          </w:p>
        </w:tc>
        <w:tc>
          <w:tcPr>
            <w:tcW w:w="713"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0,153</w:t>
            </w:r>
          </w:p>
        </w:tc>
        <w:tc>
          <w:tcPr>
            <w:tcW w:w="52"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33"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0,352</w:t>
            </w:r>
          </w:p>
        </w:tc>
        <w:tc>
          <w:tcPr>
            <w:tcW w:w="709"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0,104</w:t>
            </w:r>
          </w:p>
        </w:tc>
        <w:tc>
          <w:tcPr>
            <w:tcW w:w="732"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0,045</w:t>
            </w:r>
          </w:p>
        </w:tc>
        <w:tc>
          <w:tcPr>
            <w:tcW w:w="20"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689"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0,350</w:t>
            </w:r>
          </w:p>
        </w:tc>
        <w:tc>
          <w:tcPr>
            <w:tcW w:w="709" w:type="dxa"/>
            <w:tcBorders>
              <w:top w:val="single" w:sz="4" w:space="0" w:color="auto"/>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0,165</w:t>
            </w:r>
          </w:p>
        </w:tc>
        <w:tc>
          <w:tcPr>
            <w:tcW w:w="598"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0,109</w:t>
            </w:r>
          </w:p>
        </w:tc>
        <w:tc>
          <w:tcPr>
            <w:tcW w:w="90" w:type="dxa"/>
            <w:tcBorders>
              <w:top w:val="single" w:sz="4" w:space="0" w:color="auto"/>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85" w:type="dxa"/>
            <w:tcBorders>
              <w:top w:val="single" w:sz="4" w:space="0" w:color="auto"/>
              <w:left w:val="nil"/>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0,362</w:t>
            </w:r>
          </w:p>
        </w:tc>
        <w:tc>
          <w:tcPr>
            <w:tcW w:w="600" w:type="dxa"/>
            <w:tcBorders>
              <w:top w:val="single" w:sz="4" w:space="0" w:color="auto"/>
              <w:left w:val="nil"/>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0,098</w:t>
            </w:r>
          </w:p>
        </w:tc>
        <w:tc>
          <w:tcPr>
            <w:tcW w:w="805" w:type="dxa"/>
            <w:tcBorders>
              <w:top w:val="single" w:sz="4" w:space="0" w:color="auto"/>
              <w:left w:val="nil"/>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0,039</w:t>
            </w:r>
          </w:p>
        </w:tc>
        <w:tc>
          <w:tcPr>
            <w:tcW w:w="20" w:type="dxa"/>
            <w:tcBorders>
              <w:top w:val="single" w:sz="4" w:space="0" w:color="auto"/>
              <w:left w:val="nil"/>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p>
        </w:tc>
        <w:tc>
          <w:tcPr>
            <w:tcW w:w="570" w:type="dxa"/>
            <w:tcBorders>
              <w:top w:val="single" w:sz="4" w:space="0" w:color="auto"/>
              <w:left w:val="nil"/>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0,295</w:t>
            </w:r>
          </w:p>
        </w:tc>
        <w:tc>
          <w:tcPr>
            <w:tcW w:w="690" w:type="dxa"/>
            <w:tcBorders>
              <w:top w:val="single" w:sz="4" w:space="0" w:color="auto"/>
              <w:left w:val="nil"/>
              <w:bottom w:val="double" w:sz="4" w:space="0" w:color="auto"/>
              <w:right w:val="nil"/>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0,131</w:t>
            </w:r>
          </w:p>
        </w:tc>
        <w:tc>
          <w:tcPr>
            <w:tcW w:w="730" w:type="dxa"/>
            <w:gridSpan w:val="2"/>
            <w:tcBorders>
              <w:top w:val="single" w:sz="4" w:space="0" w:color="auto"/>
              <w:left w:val="nil"/>
              <w:bottom w:val="double" w:sz="4" w:space="0" w:color="auto"/>
            </w:tcBorders>
            <w:shd w:val="clear" w:color="auto" w:fill="DAEEF3" w:themeFill="accent5" w:themeFillTint="33"/>
            <w:vAlign w:val="center"/>
          </w:tcPr>
          <w:p w:rsidR="000E1BB7" w:rsidRPr="00F3363B" w:rsidRDefault="000E1BB7" w:rsidP="0058465E">
            <w:pPr>
              <w:spacing w:line="240" w:lineRule="auto"/>
              <w:jc w:val="center"/>
              <w:rPr>
                <w:rFonts w:ascii="Times New Roman" w:hAnsi="Times New Roman"/>
                <w:color w:val="000000"/>
                <w:sz w:val="20"/>
                <w:szCs w:val="20"/>
              </w:rPr>
            </w:pPr>
            <w:r w:rsidRPr="00F3363B">
              <w:rPr>
                <w:rFonts w:ascii="Times New Roman" w:hAnsi="Times New Roman"/>
                <w:color w:val="000000"/>
                <w:sz w:val="20"/>
                <w:szCs w:val="20"/>
              </w:rPr>
              <w:t>0,089</w:t>
            </w:r>
          </w:p>
        </w:tc>
      </w:tr>
      <w:tr w:rsidR="00AD3072" w:rsidTr="00380F42">
        <w:tblPrEx>
          <w:tblCellMar>
            <w:left w:w="70" w:type="dxa"/>
            <w:right w:w="70" w:type="dxa"/>
          </w:tblCellMar>
          <w:tblLook w:val="04A0" w:firstRow="1" w:lastRow="0" w:firstColumn="1" w:lastColumn="0" w:noHBand="0" w:noVBand="1"/>
        </w:tblPrEx>
        <w:trPr>
          <w:gridAfter w:val="1"/>
          <w:wAfter w:w="10" w:type="dxa"/>
          <w:trHeight w:val="315"/>
        </w:trPr>
        <w:tc>
          <w:tcPr>
            <w:tcW w:w="14460" w:type="dxa"/>
            <w:gridSpan w:val="24"/>
            <w:tcBorders>
              <w:top w:val="double" w:sz="4" w:space="0" w:color="auto"/>
              <w:left w:val="nil"/>
              <w:bottom w:val="nil"/>
              <w:right w:val="nil"/>
            </w:tcBorders>
            <w:shd w:val="clear" w:color="auto" w:fill="DAEEF3" w:themeFill="accent5" w:themeFillTint="33"/>
            <w:noWrap/>
            <w:vAlign w:val="center"/>
            <w:hideMark/>
          </w:tcPr>
          <w:p w:rsidR="00AD3072" w:rsidRDefault="00AD3072" w:rsidP="00380F42">
            <w:pPr>
              <w:spacing w:line="240" w:lineRule="auto"/>
              <w:rPr>
                <w:rFonts w:ascii="Times New Roman" w:hAnsi="Times New Roman"/>
                <w:sz w:val="24"/>
                <w:szCs w:val="24"/>
              </w:rPr>
            </w:pPr>
            <w:r w:rsidRPr="007B43D0">
              <w:rPr>
                <w:rFonts w:ascii="Times New Roman" w:hAnsi="Times New Roman"/>
                <w:sz w:val="24"/>
                <w:szCs w:val="24"/>
              </w:rPr>
              <w:t>Source : INSAE, EMICoV (2006, 2009, 2011)</w:t>
            </w:r>
          </w:p>
        </w:tc>
      </w:tr>
    </w:tbl>
    <w:p w:rsidR="00AD3072" w:rsidRDefault="00AD3072" w:rsidP="000E1BB7">
      <w:pPr>
        <w:spacing w:line="240" w:lineRule="auto"/>
        <w:rPr>
          <w:rFonts w:ascii="Times New Roman" w:hAnsi="Times New Roman"/>
          <w:sz w:val="24"/>
          <w:szCs w:val="24"/>
        </w:rPr>
      </w:pPr>
    </w:p>
    <w:p w:rsidR="0032176D" w:rsidRDefault="0032176D" w:rsidP="000E1BB7">
      <w:pPr>
        <w:spacing w:line="240" w:lineRule="auto"/>
        <w:rPr>
          <w:rFonts w:ascii="Times New Roman" w:hAnsi="Times New Roman"/>
          <w:sz w:val="24"/>
          <w:szCs w:val="24"/>
        </w:rPr>
        <w:sectPr w:rsidR="0032176D" w:rsidSect="00B200B1">
          <w:headerReference w:type="default" r:id="rId87"/>
          <w:footerReference w:type="default" r:id="rId88"/>
          <w:pgSz w:w="16838" w:h="11906" w:orient="landscape"/>
          <w:pgMar w:top="1418" w:right="1219" w:bottom="1418" w:left="1418" w:header="284" w:footer="708" w:gutter="0"/>
          <w:cols w:space="708"/>
          <w:docGrid w:linePitch="360"/>
        </w:sectPr>
      </w:pPr>
    </w:p>
    <w:p w:rsidR="0032176D" w:rsidRPr="00471882" w:rsidRDefault="0032176D" w:rsidP="00750417">
      <w:pPr>
        <w:spacing w:line="240" w:lineRule="auto"/>
        <w:jc w:val="center"/>
        <w:rPr>
          <w:rFonts w:ascii="Times New Roman" w:hAnsi="Times New Roman"/>
          <w:sz w:val="10"/>
          <w:szCs w:val="1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6DDE8" w:themeFill="accent5" w:themeFillTint="66"/>
        <w:tblLayout w:type="fixed"/>
        <w:tblLook w:val="04A0" w:firstRow="1" w:lastRow="0" w:firstColumn="1" w:lastColumn="0" w:noHBand="0" w:noVBand="1"/>
      </w:tblPr>
      <w:tblGrid>
        <w:gridCol w:w="4537"/>
        <w:gridCol w:w="4536"/>
        <w:gridCol w:w="4536"/>
      </w:tblGrid>
      <w:tr w:rsidR="00471882" w:rsidTr="006C1236">
        <w:trPr>
          <w:trHeight w:val="340"/>
          <w:jc w:val="center"/>
        </w:trPr>
        <w:tc>
          <w:tcPr>
            <w:tcW w:w="13609" w:type="dxa"/>
            <w:gridSpan w:val="3"/>
            <w:shd w:val="clear" w:color="auto" w:fill="92CDDC" w:themeFill="accent5" w:themeFillTint="99"/>
          </w:tcPr>
          <w:p w:rsidR="00471882" w:rsidRDefault="00471882" w:rsidP="006E1B0E">
            <w:pPr>
              <w:spacing w:line="240" w:lineRule="auto"/>
              <w:jc w:val="left"/>
              <w:rPr>
                <w:rFonts w:ascii="Times New Roman" w:hAnsi="Times New Roman"/>
                <w:sz w:val="24"/>
                <w:szCs w:val="24"/>
              </w:rPr>
            </w:pPr>
            <w:bookmarkStart w:id="220" w:name="_Toc382043302"/>
            <w:r w:rsidRPr="003E6F2A">
              <w:rPr>
                <w:rFonts w:ascii="Times New Roman" w:hAnsi="Times New Roman"/>
                <w:sz w:val="24"/>
                <w:szCs w:val="24"/>
              </w:rPr>
              <w:t>Figure 1.</w:t>
            </w:r>
            <w:r w:rsidR="00182C97" w:rsidRPr="003E6F2A">
              <w:rPr>
                <w:rFonts w:ascii="Times New Roman" w:hAnsi="Times New Roman"/>
                <w:sz w:val="24"/>
                <w:szCs w:val="24"/>
              </w:rPr>
              <w:fldChar w:fldCharType="begin"/>
            </w:r>
            <w:r w:rsidRPr="003E6F2A">
              <w:rPr>
                <w:rFonts w:ascii="Times New Roman" w:hAnsi="Times New Roman"/>
                <w:sz w:val="24"/>
                <w:szCs w:val="24"/>
              </w:rPr>
              <w:instrText xml:space="preserve"> SEQ Figure_2. \* ARABIC </w:instrText>
            </w:r>
            <w:r w:rsidR="00182C97" w:rsidRPr="003E6F2A">
              <w:rPr>
                <w:rFonts w:ascii="Times New Roman" w:hAnsi="Times New Roman"/>
                <w:sz w:val="24"/>
                <w:szCs w:val="24"/>
              </w:rPr>
              <w:fldChar w:fldCharType="separate"/>
            </w:r>
            <w:r w:rsidR="00AB1967">
              <w:rPr>
                <w:rFonts w:ascii="Times New Roman" w:hAnsi="Times New Roman"/>
                <w:noProof/>
                <w:sz w:val="24"/>
                <w:szCs w:val="24"/>
              </w:rPr>
              <w:t>3</w:t>
            </w:r>
            <w:r w:rsidR="00182C97" w:rsidRPr="003E6F2A">
              <w:rPr>
                <w:rFonts w:ascii="Times New Roman" w:hAnsi="Times New Roman"/>
                <w:sz w:val="24"/>
                <w:szCs w:val="24"/>
              </w:rPr>
              <w:fldChar w:fldCharType="end"/>
            </w:r>
            <w:r w:rsidRPr="003E6F2A">
              <w:rPr>
                <w:rFonts w:ascii="Times New Roman" w:hAnsi="Times New Roman"/>
                <w:sz w:val="24"/>
                <w:szCs w:val="24"/>
              </w:rPr>
              <w:t xml:space="preserve">: </w:t>
            </w:r>
            <w:r w:rsidR="006E1B0E">
              <w:rPr>
                <w:rFonts w:ascii="Times New Roman" w:hAnsi="Times New Roman"/>
                <w:sz w:val="24"/>
                <w:szCs w:val="24"/>
              </w:rPr>
              <w:t>Carte de l’inc</w:t>
            </w:r>
            <w:r>
              <w:rPr>
                <w:rFonts w:ascii="Times New Roman" w:hAnsi="Times New Roman"/>
                <w:sz w:val="24"/>
                <w:szCs w:val="24"/>
              </w:rPr>
              <w:t>idence des différentes formes de pauvreté en 2011</w:t>
            </w:r>
            <w:bookmarkEnd w:id="220"/>
          </w:p>
        </w:tc>
      </w:tr>
      <w:tr w:rsidR="004E41B3" w:rsidTr="006C1236">
        <w:trPr>
          <w:jc w:val="center"/>
        </w:trPr>
        <w:tc>
          <w:tcPr>
            <w:tcW w:w="4537" w:type="dxa"/>
            <w:shd w:val="clear" w:color="auto" w:fill="B6DDE8" w:themeFill="accent5" w:themeFillTint="66"/>
          </w:tcPr>
          <w:p w:rsidR="009A17DD" w:rsidRDefault="00750417" w:rsidP="00750417">
            <w:pPr>
              <w:spacing w:line="240" w:lineRule="auto"/>
              <w:jc w:val="center"/>
              <w:rPr>
                <w:rFonts w:ascii="Times New Roman" w:hAnsi="Times New Roman"/>
                <w:sz w:val="24"/>
                <w:szCs w:val="24"/>
              </w:rPr>
            </w:pPr>
            <w:r>
              <w:rPr>
                <w:rFonts w:ascii="Times New Roman" w:hAnsi="Times New Roman"/>
                <w:sz w:val="24"/>
                <w:szCs w:val="24"/>
              </w:rPr>
              <w:t>Incidence de pauvreté monétaire</w:t>
            </w:r>
          </w:p>
        </w:tc>
        <w:tc>
          <w:tcPr>
            <w:tcW w:w="4536" w:type="dxa"/>
            <w:shd w:val="clear" w:color="auto" w:fill="B6DDE8" w:themeFill="accent5" w:themeFillTint="66"/>
          </w:tcPr>
          <w:p w:rsidR="009A17DD" w:rsidRDefault="00750417" w:rsidP="00750417">
            <w:pPr>
              <w:spacing w:line="240" w:lineRule="auto"/>
              <w:jc w:val="center"/>
              <w:rPr>
                <w:rFonts w:ascii="Times New Roman" w:hAnsi="Times New Roman"/>
                <w:sz w:val="24"/>
                <w:szCs w:val="24"/>
              </w:rPr>
            </w:pPr>
            <w:r>
              <w:rPr>
                <w:rFonts w:ascii="Times New Roman" w:hAnsi="Times New Roman"/>
                <w:sz w:val="24"/>
                <w:szCs w:val="24"/>
              </w:rPr>
              <w:t>Incidence de pauvreté non monétaire</w:t>
            </w:r>
          </w:p>
        </w:tc>
        <w:tc>
          <w:tcPr>
            <w:tcW w:w="4536" w:type="dxa"/>
            <w:shd w:val="clear" w:color="auto" w:fill="B6DDE8" w:themeFill="accent5" w:themeFillTint="66"/>
          </w:tcPr>
          <w:p w:rsidR="009A17DD" w:rsidRDefault="00750417" w:rsidP="00750417">
            <w:pPr>
              <w:spacing w:line="240" w:lineRule="auto"/>
              <w:jc w:val="center"/>
              <w:rPr>
                <w:rFonts w:ascii="Times New Roman" w:hAnsi="Times New Roman"/>
                <w:sz w:val="24"/>
                <w:szCs w:val="24"/>
              </w:rPr>
            </w:pPr>
            <w:r>
              <w:rPr>
                <w:rFonts w:ascii="Times New Roman" w:hAnsi="Times New Roman"/>
                <w:sz w:val="24"/>
                <w:szCs w:val="24"/>
              </w:rPr>
              <w:t xml:space="preserve">Incidence de </w:t>
            </w:r>
            <w:r w:rsidR="00544EB5">
              <w:rPr>
                <w:rFonts w:ascii="Times New Roman" w:hAnsi="Times New Roman"/>
                <w:sz w:val="24"/>
                <w:szCs w:val="24"/>
              </w:rPr>
              <w:t>extrême pauvreté</w:t>
            </w:r>
          </w:p>
        </w:tc>
      </w:tr>
      <w:tr w:rsidR="004E41B3" w:rsidTr="006C1236">
        <w:trPr>
          <w:jc w:val="center"/>
        </w:trPr>
        <w:tc>
          <w:tcPr>
            <w:tcW w:w="4537" w:type="dxa"/>
            <w:shd w:val="clear" w:color="auto" w:fill="B6DDE8" w:themeFill="accent5" w:themeFillTint="66"/>
          </w:tcPr>
          <w:p w:rsidR="009A17DD" w:rsidRDefault="00750417" w:rsidP="000E1BB7">
            <w:pPr>
              <w:spacing w:line="240" w:lineRule="auto"/>
              <w:rPr>
                <w:rFonts w:ascii="Times New Roman" w:hAnsi="Times New Roman"/>
                <w:sz w:val="24"/>
                <w:szCs w:val="24"/>
              </w:rPr>
            </w:pPr>
            <w:r w:rsidRPr="00750417">
              <w:rPr>
                <w:rFonts w:ascii="Times New Roman" w:hAnsi="Times New Roman"/>
                <w:noProof/>
                <w:sz w:val="24"/>
                <w:szCs w:val="24"/>
                <w:lang w:eastAsia="fr-FR"/>
              </w:rPr>
              <w:drawing>
                <wp:inline distT="0" distB="0" distL="0" distR="0" wp14:anchorId="0699F6FE" wp14:editId="5BA5190E">
                  <wp:extent cx="2781300" cy="4791075"/>
                  <wp:effectExtent l="19050" t="0" r="0" b="0"/>
                  <wp:docPr id="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srcRect l="27170" r="27548"/>
                          <a:stretch>
                            <a:fillRect/>
                          </a:stretch>
                        </pic:blipFill>
                        <pic:spPr bwMode="auto">
                          <a:xfrm>
                            <a:off x="0" y="0"/>
                            <a:ext cx="2785847" cy="4798908"/>
                          </a:xfrm>
                          <a:prstGeom prst="rect">
                            <a:avLst/>
                          </a:prstGeom>
                          <a:solidFill>
                            <a:schemeClr val="bg1"/>
                          </a:solidFill>
                          <a:ln w="9525">
                            <a:noFill/>
                            <a:miter lim="800000"/>
                            <a:headEnd/>
                            <a:tailEnd/>
                          </a:ln>
                        </pic:spPr>
                      </pic:pic>
                    </a:graphicData>
                  </a:graphic>
                </wp:inline>
              </w:drawing>
            </w:r>
          </w:p>
        </w:tc>
        <w:tc>
          <w:tcPr>
            <w:tcW w:w="4536" w:type="dxa"/>
            <w:shd w:val="clear" w:color="auto" w:fill="B6DDE8" w:themeFill="accent5" w:themeFillTint="66"/>
          </w:tcPr>
          <w:p w:rsidR="009A17DD" w:rsidRDefault="00750417" w:rsidP="000E1BB7">
            <w:pPr>
              <w:spacing w:line="240" w:lineRule="auto"/>
              <w:rPr>
                <w:rFonts w:ascii="Times New Roman" w:hAnsi="Times New Roman"/>
                <w:sz w:val="24"/>
                <w:szCs w:val="24"/>
              </w:rPr>
            </w:pPr>
            <w:r w:rsidRPr="00750417">
              <w:rPr>
                <w:rFonts w:ascii="Times New Roman" w:hAnsi="Times New Roman"/>
                <w:noProof/>
                <w:sz w:val="24"/>
                <w:szCs w:val="24"/>
                <w:lang w:eastAsia="fr-FR"/>
              </w:rPr>
              <w:drawing>
                <wp:inline distT="0" distB="0" distL="0" distR="0" wp14:anchorId="67BF236C" wp14:editId="2ABED14F">
                  <wp:extent cx="2781300" cy="4791075"/>
                  <wp:effectExtent l="19050" t="0" r="0" b="0"/>
                  <wp:docPr id="2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srcRect l="27170" r="27548"/>
                          <a:stretch>
                            <a:fillRect/>
                          </a:stretch>
                        </pic:blipFill>
                        <pic:spPr bwMode="auto">
                          <a:xfrm>
                            <a:off x="0" y="0"/>
                            <a:ext cx="2785847" cy="4798908"/>
                          </a:xfrm>
                          <a:prstGeom prst="rect">
                            <a:avLst/>
                          </a:prstGeom>
                          <a:solidFill>
                            <a:schemeClr val="bg1"/>
                          </a:solidFill>
                          <a:ln w="9525">
                            <a:noFill/>
                            <a:miter lim="800000"/>
                            <a:headEnd/>
                            <a:tailEnd/>
                          </a:ln>
                        </pic:spPr>
                      </pic:pic>
                    </a:graphicData>
                  </a:graphic>
                </wp:inline>
              </w:drawing>
            </w:r>
          </w:p>
        </w:tc>
        <w:tc>
          <w:tcPr>
            <w:tcW w:w="4536" w:type="dxa"/>
            <w:shd w:val="clear" w:color="auto" w:fill="B6DDE8" w:themeFill="accent5" w:themeFillTint="66"/>
          </w:tcPr>
          <w:p w:rsidR="009A17DD" w:rsidRDefault="00750417" w:rsidP="000E1BB7">
            <w:pPr>
              <w:spacing w:line="240" w:lineRule="auto"/>
              <w:rPr>
                <w:rFonts w:ascii="Times New Roman" w:hAnsi="Times New Roman"/>
                <w:sz w:val="24"/>
                <w:szCs w:val="24"/>
              </w:rPr>
            </w:pPr>
            <w:r w:rsidRPr="00750417">
              <w:rPr>
                <w:rFonts w:ascii="Times New Roman" w:hAnsi="Times New Roman"/>
                <w:noProof/>
                <w:sz w:val="24"/>
                <w:szCs w:val="24"/>
                <w:lang w:eastAsia="fr-FR"/>
              </w:rPr>
              <w:drawing>
                <wp:inline distT="0" distB="0" distL="0" distR="0" wp14:anchorId="75708CD4" wp14:editId="79D785A4">
                  <wp:extent cx="2714625" cy="4791075"/>
                  <wp:effectExtent l="19050" t="0" r="9525" b="0"/>
                  <wp:docPr id="2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srcRect l="27170" r="27548"/>
                          <a:stretch>
                            <a:fillRect/>
                          </a:stretch>
                        </pic:blipFill>
                        <pic:spPr bwMode="auto">
                          <a:xfrm>
                            <a:off x="0" y="0"/>
                            <a:ext cx="2716537" cy="4794450"/>
                          </a:xfrm>
                          <a:prstGeom prst="rect">
                            <a:avLst/>
                          </a:prstGeom>
                          <a:solidFill>
                            <a:schemeClr val="bg1"/>
                          </a:solidFill>
                          <a:ln w="9525">
                            <a:noFill/>
                            <a:miter lim="800000"/>
                            <a:headEnd/>
                            <a:tailEnd/>
                          </a:ln>
                        </pic:spPr>
                      </pic:pic>
                    </a:graphicData>
                  </a:graphic>
                </wp:inline>
              </w:drawing>
            </w:r>
          </w:p>
        </w:tc>
      </w:tr>
      <w:tr w:rsidR="004E41B3" w:rsidTr="006C1236">
        <w:trPr>
          <w:jc w:val="center"/>
        </w:trPr>
        <w:tc>
          <w:tcPr>
            <w:tcW w:w="13609" w:type="dxa"/>
            <w:gridSpan w:val="3"/>
            <w:shd w:val="clear" w:color="auto" w:fill="B6DDE8" w:themeFill="accent5" w:themeFillTint="66"/>
          </w:tcPr>
          <w:p w:rsidR="004E41B3" w:rsidRPr="00750417" w:rsidRDefault="004E41B3" w:rsidP="004E41B3">
            <w:pPr>
              <w:spacing w:line="240" w:lineRule="auto"/>
              <w:rPr>
                <w:rFonts w:ascii="Times New Roman" w:hAnsi="Times New Roman"/>
                <w:sz w:val="24"/>
                <w:szCs w:val="24"/>
              </w:rPr>
            </w:pPr>
            <w:r w:rsidRPr="007B43D0">
              <w:rPr>
                <w:rFonts w:ascii="Times New Roman" w:hAnsi="Times New Roman"/>
                <w:sz w:val="24"/>
                <w:szCs w:val="24"/>
              </w:rPr>
              <w:t>Source : INSAE, EMICoV 2011</w:t>
            </w:r>
          </w:p>
        </w:tc>
      </w:tr>
    </w:tbl>
    <w:p w:rsidR="0032176D" w:rsidRDefault="0032176D" w:rsidP="000E1BB7">
      <w:pPr>
        <w:spacing w:line="240" w:lineRule="auto"/>
        <w:rPr>
          <w:rFonts w:ascii="Times New Roman" w:hAnsi="Times New Roman"/>
          <w:sz w:val="24"/>
          <w:szCs w:val="24"/>
        </w:rPr>
      </w:pPr>
    </w:p>
    <w:p w:rsidR="0032176D" w:rsidRDefault="0032176D" w:rsidP="000E1BB7">
      <w:pPr>
        <w:spacing w:line="240" w:lineRule="auto"/>
        <w:rPr>
          <w:rFonts w:ascii="Times New Roman" w:hAnsi="Times New Roman"/>
          <w:sz w:val="24"/>
          <w:szCs w:val="24"/>
        </w:rPr>
        <w:sectPr w:rsidR="0032176D" w:rsidSect="00B200B1">
          <w:pgSz w:w="16838" w:h="11906" w:orient="landscape"/>
          <w:pgMar w:top="1418" w:right="1219" w:bottom="1418" w:left="1418" w:header="284" w:footer="708" w:gutter="0"/>
          <w:cols w:space="708"/>
          <w:docGrid w:linePitch="360"/>
        </w:sectPr>
      </w:pPr>
    </w:p>
    <w:p w:rsidR="0032176D" w:rsidRDefault="0032176D" w:rsidP="000E1BB7">
      <w:pPr>
        <w:spacing w:line="240" w:lineRule="auto"/>
        <w:rPr>
          <w:rFonts w:ascii="Times New Roman" w:hAnsi="Times New Roman"/>
          <w:sz w:val="24"/>
          <w:szCs w:val="24"/>
        </w:rPr>
      </w:pPr>
    </w:p>
    <w:tbl>
      <w:tblPr>
        <w:tblW w:w="14470" w:type="dxa"/>
        <w:tblInd w:w="-356" w:type="dxa"/>
        <w:tblBorders>
          <w:top w:val="double" w:sz="4" w:space="0" w:color="auto"/>
          <w:bottom w:val="double" w:sz="4" w:space="0" w:color="auto"/>
        </w:tblBorders>
        <w:tblLayout w:type="fixed"/>
        <w:tblCellMar>
          <w:left w:w="70" w:type="dxa"/>
          <w:right w:w="70" w:type="dxa"/>
        </w:tblCellMar>
        <w:tblLook w:val="04A0" w:firstRow="1" w:lastRow="0" w:firstColumn="1" w:lastColumn="0" w:noHBand="0" w:noVBand="1"/>
      </w:tblPr>
      <w:tblGrid>
        <w:gridCol w:w="2409"/>
        <w:gridCol w:w="566"/>
        <w:gridCol w:w="566"/>
        <w:gridCol w:w="713"/>
        <w:gridCol w:w="20"/>
        <w:gridCol w:w="542"/>
        <w:gridCol w:w="709"/>
        <w:gridCol w:w="713"/>
        <w:gridCol w:w="52"/>
        <w:gridCol w:w="633"/>
        <w:gridCol w:w="709"/>
        <w:gridCol w:w="732"/>
        <w:gridCol w:w="20"/>
        <w:gridCol w:w="689"/>
        <w:gridCol w:w="709"/>
        <w:gridCol w:w="598"/>
        <w:gridCol w:w="90"/>
        <w:gridCol w:w="585"/>
        <w:gridCol w:w="570"/>
        <w:gridCol w:w="780"/>
        <w:gridCol w:w="70"/>
        <w:gridCol w:w="575"/>
        <w:gridCol w:w="690"/>
        <w:gridCol w:w="720"/>
        <w:gridCol w:w="10"/>
      </w:tblGrid>
      <w:tr w:rsidR="005926BA" w:rsidRPr="005926BA" w:rsidTr="00AD3072">
        <w:trPr>
          <w:gridAfter w:val="1"/>
          <w:wAfter w:w="10" w:type="dxa"/>
          <w:trHeight w:val="367"/>
          <w:tblHeader/>
        </w:trPr>
        <w:tc>
          <w:tcPr>
            <w:tcW w:w="14460" w:type="dxa"/>
            <w:gridSpan w:val="24"/>
            <w:tcBorders>
              <w:top w:val="nil"/>
              <w:left w:val="nil"/>
              <w:bottom w:val="double" w:sz="4" w:space="0" w:color="auto"/>
              <w:right w:val="nil"/>
            </w:tcBorders>
            <w:shd w:val="clear" w:color="auto" w:fill="92CDDC" w:themeFill="accent5" w:themeFillTint="99"/>
            <w:noWrap/>
            <w:vAlign w:val="bottom"/>
            <w:hideMark/>
          </w:tcPr>
          <w:p w:rsidR="005926BA" w:rsidRPr="005926BA" w:rsidRDefault="005926BA" w:rsidP="00380F42">
            <w:pPr>
              <w:spacing w:line="240" w:lineRule="auto"/>
              <w:rPr>
                <w:rFonts w:ascii="Times New Roman" w:eastAsia="Times New Roman" w:hAnsi="Times New Roman"/>
                <w:color w:val="000000"/>
                <w:sz w:val="24"/>
                <w:szCs w:val="24"/>
                <w:lang w:eastAsia="fr-FR"/>
              </w:rPr>
            </w:pPr>
            <w:bookmarkStart w:id="221" w:name="_Toc373430320"/>
            <w:r w:rsidRPr="005926BA">
              <w:rPr>
                <w:rFonts w:ascii="Times New Roman" w:hAnsi="Times New Roman"/>
                <w:sz w:val="24"/>
                <w:szCs w:val="24"/>
              </w:rPr>
              <w:t xml:space="preserve">Tableau A2. </w:t>
            </w:r>
            <w:r w:rsidR="00182C97" w:rsidRPr="005926BA">
              <w:rPr>
                <w:rFonts w:ascii="Times New Roman" w:hAnsi="Times New Roman"/>
                <w:sz w:val="24"/>
                <w:szCs w:val="24"/>
              </w:rPr>
              <w:fldChar w:fldCharType="begin"/>
            </w:r>
            <w:r w:rsidRPr="005926BA">
              <w:rPr>
                <w:rFonts w:ascii="Times New Roman" w:hAnsi="Times New Roman"/>
                <w:sz w:val="24"/>
                <w:szCs w:val="24"/>
              </w:rPr>
              <w:instrText xml:space="preserve"> SEQ Tableau_A2. \* ARABIC </w:instrText>
            </w:r>
            <w:r w:rsidR="00182C97" w:rsidRPr="005926BA">
              <w:rPr>
                <w:rFonts w:ascii="Times New Roman" w:hAnsi="Times New Roman"/>
                <w:sz w:val="24"/>
                <w:szCs w:val="24"/>
              </w:rPr>
              <w:fldChar w:fldCharType="separate"/>
            </w:r>
            <w:r w:rsidR="00AB1967">
              <w:rPr>
                <w:rFonts w:ascii="Times New Roman" w:hAnsi="Times New Roman"/>
                <w:noProof/>
                <w:sz w:val="24"/>
                <w:szCs w:val="24"/>
              </w:rPr>
              <w:t>2</w:t>
            </w:r>
            <w:r w:rsidR="00182C97" w:rsidRPr="005926BA">
              <w:rPr>
                <w:rFonts w:ascii="Times New Roman" w:hAnsi="Times New Roman"/>
                <w:sz w:val="24"/>
                <w:szCs w:val="24"/>
              </w:rPr>
              <w:fldChar w:fldCharType="end"/>
            </w:r>
            <w:r w:rsidRPr="005926BA">
              <w:rPr>
                <w:rFonts w:ascii="Times New Roman" w:eastAsia="Arial Unicode MS" w:hAnsi="Times New Roman"/>
                <w:sz w:val="24"/>
                <w:szCs w:val="24"/>
              </w:rPr>
              <w:t xml:space="preserve">: Répartition des ménages en pourcentage suivant la </w:t>
            </w:r>
            <w:r w:rsidRPr="005926BA">
              <w:rPr>
                <w:rFonts w:ascii="Times New Roman" w:hAnsi="Times New Roman"/>
                <w:sz w:val="24"/>
                <w:szCs w:val="24"/>
              </w:rPr>
              <w:t>pauvreté monétaire, la</w:t>
            </w:r>
            <w:r w:rsidRPr="005926BA">
              <w:rPr>
                <w:rFonts w:ascii="Times New Roman" w:eastAsia="Arial Unicode MS" w:hAnsi="Times New Roman"/>
                <w:sz w:val="24"/>
                <w:szCs w:val="24"/>
              </w:rPr>
              <w:t xml:space="preserve"> p</w:t>
            </w:r>
            <w:r w:rsidRPr="005926BA">
              <w:rPr>
                <w:rFonts w:ascii="Times New Roman" w:hAnsi="Times New Roman"/>
                <w:sz w:val="24"/>
                <w:szCs w:val="24"/>
              </w:rPr>
              <w:t xml:space="preserve">auvreté non monétaire </w:t>
            </w:r>
            <w:r w:rsidRPr="005926BA">
              <w:rPr>
                <w:rFonts w:ascii="Times New Roman" w:eastAsia="Arial Unicode MS" w:hAnsi="Times New Roman"/>
                <w:sz w:val="24"/>
                <w:szCs w:val="24"/>
              </w:rPr>
              <w:t xml:space="preserve"> suivant les caractéristiques socio-démographiques des chefs de ménages  sur la période 2006-2011</w:t>
            </w:r>
            <w:bookmarkEnd w:id="221"/>
          </w:p>
        </w:tc>
      </w:tr>
      <w:tr w:rsidR="000E1BB7" w:rsidRPr="00242C96" w:rsidTr="00AD3072">
        <w:tblPrEx>
          <w:tblCellMar>
            <w:left w:w="0" w:type="dxa"/>
            <w:right w:w="0" w:type="dxa"/>
          </w:tblCellMar>
          <w:tblLook w:val="0000" w:firstRow="0" w:lastRow="0" w:firstColumn="0" w:lastColumn="0" w:noHBand="0" w:noVBand="0"/>
        </w:tblPrEx>
        <w:trPr>
          <w:trHeight w:val="254"/>
        </w:trPr>
        <w:tc>
          <w:tcPr>
            <w:tcW w:w="2409" w:type="dxa"/>
            <w:tcBorders>
              <w:top w:val="double" w:sz="4" w:space="0" w:color="auto"/>
            </w:tcBorders>
            <w:shd w:val="clear" w:color="auto" w:fill="DAEEF3" w:themeFill="accent5" w:themeFillTint="33"/>
            <w:noWrap/>
            <w:tcMar>
              <w:top w:w="20" w:type="dxa"/>
              <w:left w:w="20" w:type="dxa"/>
              <w:bottom w:w="0" w:type="dxa"/>
              <w:right w:w="20" w:type="dxa"/>
            </w:tcMar>
            <w:vAlign w:val="bottom"/>
          </w:tcPr>
          <w:p w:rsidR="000E1BB7" w:rsidRDefault="000E1BB7" w:rsidP="0058465E">
            <w:pPr>
              <w:spacing w:line="240" w:lineRule="auto"/>
              <w:jc w:val="center"/>
              <w:rPr>
                <w:rFonts w:ascii="Times New Roman" w:eastAsia="Arial Unicode MS" w:hAnsi="Times New Roman" w:cs="Arial"/>
                <w:b/>
                <w:bCs/>
                <w:i/>
                <w:iCs/>
                <w:sz w:val="24"/>
                <w:szCs w:val="24"/>
              </w:rPr>
            </w:pPr>
          </w:p>
        </w:tc>
        <w:tc>
          <w:tcPr>
            <w:tcW w:w="3829" w:type="dxa"/>
            <w:gridSpan w:val="7"/>
            <w:tcBorders>
              <w:top w:val="doub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2006</w:t>
            </w:r>
          </w:p>
        </w:tc>
        <w:tc>
          <w:tcPr>
            <w:tcW w:w="52" w:type="dxa"/>
            <w:tcBorders>
              <w:top w:val="double" w:sz="4" w:space="0" w:color="auto"/>
              <w:bottom w:val="nil"/>
            </w:tcBorders>
            <w:shd w:val="clear" w:color="auto" w:fill="DAEEF3" w:themeFill="accent5" w:themeFillTint="33"/>
          </w:tcPr>
          <w:p w:rsidR="000E1BB7" w:rsidRDefault="000E1BB7" w:rsidP="0058465E">
            <w:pPr>
              <w:spacing w:line="240" w:lineRule="auto"/>
              <w:jc w:val="center"/>
              <w:rPr>
                <w:rFonts w:ascii="Times New Roman" w:eastAsia="Arial Unicode MS" w:hAnsi="Times New Roman" w:cs="Arial"/>
                <w:b/>
                <w:bCs/>
                <w:kern w:val="32"/>
                <w:sz w:val="24"/>
                <w:szCs w:val="24"/>
              </w:rPr>
            </w:pPr>
          </w:p>
        </w:tc>
        <w:tc>
          <w:tcPr>
            <w:tcW w:w="4090" w:type="dxa"/>
            <w:gridSpan w:val="7"/>
            <w:tcBorders>
              <w:top w:val="double" w:sz="4" w:space="0" w:color="auto"/>
              <w:bottom w:val="single" w:sz="4" w:space="0" w:color="auto"/>
              <w:right w:val="nil"/>
            </w:tcBorders>
            <w:shd w:val="clear" w:color="auto" w:fill="DAEEF3" w:themeFill="accent5" w:themeFillTint="33"/>
          </w:tcPr>
          <w:p w:rsidR="000E1BB7"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2009</w:t>
            </w:r>
          </w:p>
        </w:tc>
        <w:tc>
          <w:tcPr>
            <w:tcW w:w="90" w:type="dxa"/>
            <w:tcBorders>
              <w:top w:val="double" w:sz="4" w:space="0" w:color="auto"/>
              <w:left w:val="nil"/>
              <w:bottom w:val="nil"/>
              <w:right w:val="nil"/>
            </w:tcBorders>
            <w:shd w:val="clear" w:color="auto" w:fill="DAEEF3" w:themeFill="accent5" w:themeFillTint="33"/>
          </w:tcPr>
          <w:p w:rsidR="000E1BB7" w:rsidRDefault="000E1BB7" w:rsidP="0058465E">
            <w:pPr>
              <w:spacing w:line="240" w:lineRule="auto"/>
              <w:jc w:val="center"/>
              <w:rPr>
                <w:rFonts w:ascii="Times New Roman" w:eastAsia="Arial Unicode MS" w:hAnsi="Times New Roman" w:cs="Arial"/>
                <w:b/>
                <w:bCs/>
                <w:kern w:val="32"/>
                <w:sz w:val="24"/>
                <w:szCs w:val="24"/>
              </w:rPr>
            </w:pPr>
          </w:p>
        </w:tc>
        <w:tc>
          <w:tcPr>
            <w:tcW w:w="4000" w:type="dxa"/>
            <w:gridSpan w:val="8"/>
            <w:tcBorders>
              <w:top w:val="double" w:sz="4" w:space="0" w:color="auto"/>
              <w:left w:val="nil"/>
              <w:bottom w:val="single" w:sz="4" w:space="0" w:color="auto"/>
            </w:tcBorders>
            <w:shd w:val="clear" w:color="auto" w:fill="DAEEF3" w:themeFill="accent5" w:themeFillTint="33"/>
          </w:tcPr>
          <w:p w:rsidR="000E1BB7"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2011</w:t>
            </w:r>
          </w:p>
        </w:tc>
      </w:tr>
      <w:tr w:rsidR="000E1BB7" w:rsidRPr="00F63ED4" w:rsidTr="00AD3072">
        <w:tblPrEx>
          <w:tblCellMar>
            <w:left w:w="0" w:type="dxa"/>
            <w:right w:w="0" w:type="dxa"/>
          </w:tblCellMar>
          <w:tblLook w:val="0000" w:firstRow="0" w:lastRow="0" w:firstColumn="0" w:lastColumn="0" w:noHBand="0" w:noVBand="0"/>
        </w:tblPrEx>
        <w:trPr>
          <w:trHeight w:val="254"/>
        </w:trPr>
        <w:tc>
          <w:tcPr>
            <w:tcW w:w="2409" w:type="dxa"/>
            <w:shd w:val="clear" w:color="auto" w:fill="DAEEF3" w:themeFill="accent5" w:themeFillTint="33"/>
            <w:noWrap/>
            <w:tcMar>
              <w:top w:w="20" w:type="dxa"/>
              <w:left w:w="20" w:type="dxa"/>
              <w:bottom w:w="0" w:type="dxa"/>
              <w:right w:w="20" w:type="dxa"/>
            </w:tcMar>
            <w:vAlign w:val="bottom"/>
          </w:tcPr>
          <w:p w:rsidR="000E1BB7" w:rsidRPr="00F63ED4" w:rsidRDefault="000E1BB7" w:rsidP="0058465E">
            <w:pPr>
              <w:spacing w:line="240" w:lineRule="auto"/>
              <w:rPr>
                <w:rFonts w:ascii="Times New Roman" w:eastAsia="Arial Unicode MS" w:hAnsi="Times New Roman"/>
              </w:rPr>
            </w:pPr>
          </w:p>
        </w:tc>
        <w:tc>
          <w:tcPr>
            <w:tcW w:w="1845" w:type="dxa"/>
            <w:gridSpan w:val="3"/>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monétaire</w:t>
            </w:r>
          </w:p>
        </w:tc>
        <w:tc>
          <w:tcPr>
            <w:tcW w:w="20" w:type="dxa"/>
            <w:tcBorders>
              <w:top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p>
        </w:tc>
        <w:tc>
          <w:tcPr>
            <w:tcW w:w="1964" w:type="dxa"/>
            <w:gridSpan w:val="3"/>
            <w:tcBorders>
              <w:top w:val="single" w:sz="4" w:space="0" w:color="auto"/>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non monétaire</w:t>
            </w:r>
          </w:p>
        </w:tc>
        <w:tc>
          <w:tcPr>
            <w:tcW w:w="52" w:type="dxa"/>
            <w:tcBorders>
              <w:top w:val="nil"/>
              <w:bottom w:val="nil"/>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p>
        </w:tc>
        <w:tc>
          <w:tcPr>
            <w:tcW w:w="2074" w:type="dxa"/>
            <w:gridSpan w:val="3"/>
            <w:tcBorders>
              <w:top w:val="single" w:sz="4" w:space="0" w:color="auto"/>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monétaire</w:t>
            </w:r>
          </w:p>
        </w:tc>
        <w:tc>
          <w:tcPr>
            <w:tcW w:w="20" w:type="dxa"/>
            <w:tcBorders>
              <w:top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p>
        </w:tc>
        <w:tc>
          <w:tcPr>
            <w:tcW w:w="1996" w:type="dxa"/>
            <w:gridSpan w:val="3"/>
            <w:tcBorders>
              <w:top w:val="single" w:sz="4" w:space="0" w:color="auto"/>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non monétaire</w:t>
            </w:r>
          </w:p>
        </w:tc>
        <w:tc>
          <w:tcPr>
            <w:tcW w:w="90" w:type="dxa"/>
            <w:tcBorders>
              <w:top w:val="nil"/>
              <w:bottom w:val="nil"/>
              <w:right w:val="nil"/>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p>
        </w:tc>
        <w:tc>
          <w:tcPr>
            <w:tcW w:w="1935" w:type="dxa"/>
            <w:gridSpan w:val="3"/>
            <w:tcBorders>
              <w:top w:val="single" w:sz="4" w:space="0" w:color="auto"/>
              <w:left w:val="nil"/>
              <w:bottom w:val="single" w:sz="4" w:space="0" w:color="auto"/>
              <w:right w:val="nil"/>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r w:rsidRPr="00F63ED4">
              <w:rPr>
                <w:rFonts w:ascii="Times New Roman" w:hAnsi="Times New Roman"/>
              </w:rPr>
              <w:t>Pauvreté monétaire</w:t>
            </w:r>
          </w:p>
        </w:tc>
        <w:tc>
          <w:tcPr>
            <w:tcW w:w="70" w:type="dxa"/>
            <w:tcBorders>
              <w:top w:val="single" w:sz="4" w:space="0" w:color="auto"/>
              <w:left w:val="nil"/>
              <w:bottom w:val="nil"/>
              <w:right w:val="nil"/>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p>
        </w:tc>
        <w:tc>
          <w:tcPr>
            <w:tcW w:w="1995" w:type="dxa"/>
            <w:gridSpan w:val="4"/>
            <w:tcBorders>
              <w:top w:val="single" w:sz="4" w:space="0" w:color="auto"/>
              <w:left w:val="nil"/>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r w:rsidRPr="00F63ED4">
              <w:rPr>
                <w:rFonts w:ascii="Times New Roman" w:hAnsi="Times New Roman"/>
              </w:rPr>
              <w:t>Pauvreté non monétaire</w:t>
            </w:r>
          </w:p>
        </w:tc>
      </w:tr>
      <w:tr w:rsidR="000E1BB7" w:rsidRPr="00242C96" w:rsidTr="00AD3072">
        <w:tblPrEx>
          <w:tblCellMar>
            <w:left w:w="0" w:type="dxa"/>
            <w:right w:w="0" w:type="dxa"/>
          </w:tblCellMar>
          <w:tblLook w:val="0000" w:firstRow="0" w:lastRow="0" w:firstColumn="0" w:lastColumn="0" w:noHBand="0" w:noVBand="0"/>
        </w:tblPrEx>
        <w:trPr>
          <w:trHeight w:val="254"/>
        </w:trPr>
        <w:tc>
          <w:tcPr>
            <w:tcW w:w="2409" w:type="dxa"/>
            <w:tcBorders>
              <w:bottom w:val="single" w:sz="4" w:space="0" w:color="auto"/>
            </w:tcBorders>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eastAsia="Arial Unicode MS" w:hAnsi="Times New Roman"/>
                <w:sz w:val="24"/>
                <w:szCs w:val="24"/>
              </w:rPr>
            </w:pPr>
          </w:p>
        </w:tc>
        <w:tc>
          <w:tcPr>
            <w:tcW w:w="566"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jc w:val="center"/>
              <w:rPr>
                <w:rFonts w:ascii="Times New Roman" w:hAnsi="Times New Roman"/>
                <w:sz w:val="24"/>
                <w:szCs w:val="24"/>
              </w:rPr>
            </w:pPr>
            <w:r>
              <w:rPr>
                <w:rFonts w:ascii="Times New Roman" w:hAnsi="Times New Roman"/>
                <w:sz w:val="24"/>
                <w:szCs w:val="24"/>
              </w:rPr>
              <w:t>P0</w:t>
            </w:r>
          </w:p>
        </w:tc>
        <w:tc>
          <w:tcPr>
            <w:tcW w:w="566"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P1</w:t>
            </w:r>
          </w:p>
        </w:tc>
        <w:tc>
          <w:tcPr>
            <w:tcW w:w="713"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P2</w:t>
            </w:r>
          </w:p>
        </w:tc>
        <w:tc>
          <w:tcPr>
            <w:tcW w:w="20" w:type="dxa"/>
            <w:tcBorders>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hAnsi="Times New Roman"/>
                <w:sz w:val="24"/>
                <w:szCs w:val="24"/>
              </w:rPr>
            </w:pPr>
          </w:p>
        </w:tc>
        <w:tc>
          <w:tcPr>
            <w:tcW w:w="542" w:type="dxa"/>
            <w:tcBorders>
              <w:top w:val="single" w:sz="4" w:space="0" w:color="auto"/>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hAnsi="Times New Roman"/>
                <w:sz w:val="24"/>
                <w:szCs w:val="24"/>
              </w:rPr>
            </w:pPr>
            <w:r>
              <w:rPr>
                <w:rFonts w:ascii="Times New Roman" w:hAnsi="Times New Roman"/>
                <w:sz w:val="24"/>
                <w:szCs w:val="24"/>
              </w:rPr>
              <w:t>P0</w:t>
            </w:r>
          </w:p>
        </w:tc>
        <w:tc>
          <w:tcPr>
            <w:tcW w:w="709" w:type="dxa"/>
            <w:tcBorders>
              <w:top w:val="single" w:sz="4" w:space="0" w:color="auto"/>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P1</w:t>
            </w:r>
          </w:p>
        </w:tc>
        <w:tc>
          <w:tcPr>
            <w:tcW w:w="713" w:type="dxa"/>
            <w:tcBorders>
              <w:top w:val="single" w:sz="4" w:space="0" w:color="auto"/>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P2</w:t>
            </w:r>
          </w:p>
        </w:tc>
        <w:tc>
          <w:tcPr>
            <w:tcW w:w="52" w:type="dxa"/>
            <w:tcBorders>
              <w:top w:val="nil"/>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hAnsi="Times New Roman"/>
                <w:sz w:val="24"/>
                <w:szCs w:val="24"/>
              </w:rPr>
            </w:pPr>
          </w:p>
        </w:tc>
        <w:tc>
          <w:tcPr>
            <w:tcW w:w="633" w:type="dxa"/>
            <w:tcBorders>
              <w:top w:val="single" w:sz="4" w:space="0" w:color="auto"/>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hAnsi="Times New Roman"/>
                <w:sz w:val="24"/>
                <w:szCs w:val="24"/>
              </w:rPr>
            </w:pPr>
            <w:r>
              <w:rPr>
                <w:rFonts w:ascii="Times New Roman" w:hAnsi="Times New Roman"/>
                <w:sz w:val="24"/>
                <w:szCs w:val="24"/>
              </w:rPr>
              <w:t>P0</w:t>
            </w:r>
          </w:p>
        </w:tc>
        <w:tc>
          <w:tcPr>
            <w:tcW w:w="709" w:type="dxa"/>
            <w:tcBorders>
              <w:top w:val="single" w:sz="4" w:space="0" w:color="auto"/>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P1</w:t>
            </w:r>
          </w:p>
        </w:tc>
        <w:tc>
          <w:tcPr>
            <w:tcW w:w="732" w:type="dxa"/>
            <w:tcBorders>
              <w:top w:val="single" w:sz="4" w:space="0" w:color="auto"/>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P2</w:t>
            </w:r>
          </w:p>
        </w:tc>
        <w:tc>
          <w:tcPr>
            <w:tcW w:w="20" w:type="dxa"/>
            <w:tcBorders>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p>
        </w:tc>
        <w:tc>
          <w:tcPr>
            <w:tcW w:w="689" w:type="dxa"/>
            <w:tcBorders>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hAnsi="Times New Roman"/>
                <w:sz w:val="24"/>
                <w:szCs w:val="24"/>
              </w:rPr>
            </w:pPr>
            <w:r>
              <w:rPr>
                <w:rFonts w:ascii="Times New Roman" w:hAnsi="Times New Roman"/>
                <w:sz w:val="24"/>
                <w:szCs w:val="24"/>
              </w:rPr>
              <w:t>P0</w:t>
            </w:r>
          </w:p>
        </w:tc>
        <w:tc>
          <w:tcPr>
            <w:tcW w:w="709" w:type="dxa"/>
            <w:tcBorders>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P1</w:t>
            </w:r>
          </w:p>
        </w:tc>
        <w:tc>
          <w:tcPr>
            <w:tcW w:w="598" w:type="dxa"/>
            <w:tcBorders>
              <w:bottom w:val="single" w:sz="4" w:space="0" w:color="auto"/>
            </w:tcBorders>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P2</w:t>
            </w:r>
          </w:p>
        </w:tc>
        <w:tc>
          <w:tcPr>
            <w:tcW w:w="90" w:type="dxa"/>
            <w:tcBorders>
              <w:top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p>
        </w:tc>
        <w:tc>
          <w:tcPr>
            <w:tcW w:w="585" w:type="dxa"/>
            <w:tcBorders>
              <w:top w:val="single" w:sz="4" w:space="0" w:color="auto"/>
              <w:left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hAnsi="Times New Roman"/>
                <w:sz w:val="24"/>
                <w:szCs w:val="24"/>
              </w:rPr>
              <w:t>P0</w:t>
            </w:r>
          </w:p>
        </w:tc>
        <w:tc>
          <w:tcPr>
            <w:tcW w:w="570" w:type="dxa"/>
            <w:tcBorders>
              <w:top w:val="single" w:sz="4" w:space="0" w:color="auto"/>
              <w:left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P1</w:t>
            </w:r>
          </w:p>
        </w:tc>
        <w:tc>
          <w:tcPr>
            <w:tcW w:w="780" w:type="dxa"/>
            <w:tcBorders>
              <w:top w:val="single" w:sz="4" w:space="0" w:color="auto"/>
              <w:left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P2</w:t>
            </w:r>
          </w:p>
        </w:tc>
        <w:tc>
          <w:tcPr>
            <w:tcW w:w="70" w:type="dxa"/>
            <w:tcBorders>
              <w:top w:val="nil"/>
              <w:left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p>
        </w:tc>
        <w:tc>
          <w:tcPr>
            <w:tcW w:w="575" w:type="dxa"/>
            <w:tcBorders>
              <w:top w:val="single" w:sz="4" w:space="0" w:color="auto"/>
              <w:left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hAnsi="Times New Roman"/>
                <w:sz w:val="24"/>
                <w:szCs w:val="24"/>
              </w:rPr>
              <w:t>P0</w:t>
            </w:r>
          </w:p>
        </w:tc>
        <w:tc>
          <w:tcPr>
            <w:tcW w:w="690" w:type="dxa"/>
            <w:tcBorders>
              <w:top w:val="single" w:sz="4" w:space="0" w:color="auto"/>
              <w:left w:val="nil"/>
              <w:bottom w:val="single" w:sz="4" w:space="0" w:color="auto"/>
              <w:right w:val="nil"/>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P1</w:t>
            </w:r>
          </w:p>
        </w:tc>
        <w:tc>
          <w:tcPr>
            <w:tcW w:w="730" w:type="dxa"/>
            <w:gridSpan w:val="2"/>
            <w:tcBorders>
              <w:top w:val="single" w:sz="4" w:space="0" w:color="auto"/>
              <w:left w:val="nil"/>
              <w:bottom w:val="single" w:sz="4" w:space="0" w:color="auto"/>
            </w:tcBorders>
            <w:shd w:val="clear" w:color="auto" w:fill="DAEEF3" w:themeFill="accent5" w:themeFillTint="33"/>
          </w:tcPr>
          <w:p w:rsidR="000E1BB7" w:rsidRPr="00242C96" w:rsidRDefault="000E1BB7" w:rsidP="0058465E">
            <w:pPr>
              <w:spacing w:line="240" w:lineRule="auto"/>
              <w:jc w:val="center"/>
              <w:rPr>
                <w:rFonts w:ascii="Times New Roman" w:eastAsia="Arial Unicode MS" w:hAnsi="Times New Roman"/>
                <w:sz w:val="24"/>
                <w:szCs w:val="24"/>
              </w:rPr>
            </w:pPr>
            <w:r>
              <w:rPr>
                <w:rFonts w:ascii="Times New Roman" w:eastAsia="Arial Unicode MS" w:hAnsi="Times New Roman"/>
                <w:sz w:val="24"/>
                <w:szCs w:val="24"/>
              </w:rPr>
              <w:t>P2</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tcBorders>
              <w:top w:val="single" w:sz="4" w:space="0" w:color="auto"/>
            </w:tcBorders>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rPr>
            </w:pPr>
            <w:r w:rsidRPr="00B76D0A">
              <w:rPr>
                <w:rFonts w:ascii="Times New Roman" w:hAnsi="Times New Roman"/>
                <w:b/>
              </w:rPr>
              <w:t>Sexe du chef de ménage</w:t>
            </w:r>
          </w:p>
        </w:tc>
        <w:tc>
          <w:tcPr>
            <w:tcW w:w="566"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66"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13"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20"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42"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09"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13"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2"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633"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09"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32"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20"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689"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09" w:type="dxa"/>
            <w:tcBorders>
              <w:top w:val="single" w:sz="4" w:space="0" w:color="auto"/>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98" w:type="dxa"/>
            <w:tcBorders>
              <w:top w:val="sing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90" w:type="dxa"/>
            <w:tcBorders>
              <w:top w:val="single" w:sz="4" w:space="0" w:color="auto"/>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85" w:type="dxa"/>
            <w:tcBorders>
              <w:top w:val="single" w:sz="4" w:space="0" w:color="auto"/>
              <w:left w:val="nil"/>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70" w:type="dxa"/>
            <w:tcBorders>
              <w:top w:val="single" w:sz="4" w:space="0" w:color="auto"/>
              <w:left w:val="nil"/>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80" w:type="dxa"/>
            <w:tcBorders>
              <w:top w:val="single" w:sz="4" w:space="0" w:color="auto"/>
              <w:left w:val="nil"/>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0" w:type="dxa"/>
            <w:tcBorders>
              <w:top w:val="single" w:sz="4" w:space="0" w:color="auto"/>
              <w:left w:val="nil"/>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575" w:type="dxa"/>
            <w:tcBorders>
              <w:top w:val="single" w:sz="4" w:space="0" w:color="auto"/>
              <w:left w:val="nil"/>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690" w:type="dxa"/>
            <w:tcBorders>
              <w:top w:val="single" w:sz="4" w:space="0" w:color="auto"/>
              <w:left w:val="nil"/>
              <w:righ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c>
          <w:tcPr>
            <w:tcW w:w="730" w:type="dxa"/>
            <w:gridSpan w:val="2"/>
            <w:tcBorders>
              <w:top w:val="single" w:sz="4" w:space="0" w:color="auto"/>
              <w:left w:val="nil"/>
            </w:tcBorders>
            <w:shd w:val="clear" w:color="auto" w:fill="DAEEF3" w:themeFill="accent5" w:themeFillTint="33"/>
            <w:vAlign w:val="center"/>
          </w:tcPr>
          <w:p w:rsidR="000E1BB7" w:rsidRPr="00AC2507" w:rsidRDefault="000E1BB7" w:rsidP="0058465E">
            <w:pPr>
              <w:spacing w:line="240" w:lineRule="auto"/>
              <w:jc w:val="right"/>
              <w:rPr>
                <w:rFonts w:ascii="Times New Roman" w:hAnsi="Times New Roman"/>
                <w:color w:val="000000"/>
                <w:sz w:val="20"/>
                <w:szCs w:val="20"/>
              </w:rPr>
            </w:pP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hAnsi="Times New Roman"/>
              </w:rPr>
            </w:pPr>
            <w:r w:rsidRPr="00B76D0A">
              <w:rPr>
                <w:rFonts w:ascii="Times New Roman" w:hAnsi="Times New Roman"/>
              </w:rPr>
              <w:t>Masculin</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0,377</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0,117</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0,055</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0,432</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0,221</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0,149</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0,362</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0,108</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0,046</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0,333</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0,154</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0,101</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0,380</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0,104</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0,041</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0,277</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0,119</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0,079</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eastAsia="Arial Unicode MS" w:hAnsi="Times New Roman"/>
              </w:rPr>
            </w:pPr>
            <w:r w:rsidRPr="00B76D0A">
              <w:rPr>
                <w:rFonts w:ascii="Times New Roman" w:hAnsi="Times New Roman"/>
              </w:rPr>
              <w:t>Féminin</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0,364</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0,110</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0,049</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0,485</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0,244</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0,171</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0,304</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0,086</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0,036</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0,434</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0,216</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0,151</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0,276</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0,070</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0,027</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0,387</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0,193</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0,136</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eastAsia="Arial Unicode MS" w:hAnsi="Times New Roman"/>
                <w:b/>
                <w:bCs/>
              </w:rPr>
              <w:t>Niveau d’instruction</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eastAsia="Arial Unicode MS" w:hAnsi="Times New Roman"/>
              </w:rPr>
            </w:pPr>
            <w:r w:rsidRPr="00B76D0A">
              <w:rPr>
                <w:rFonts w:ascii="Times New Roman" w:hAnsi="Times New Roman"/>
              </w:rPr>
              <w:t>Aucun</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0,423</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0,136</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0,064</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0,568</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0,302</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0,210</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0,399</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0,121</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0,052</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0,446</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0,216</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0,146</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0,429</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0,119</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0,048</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0,413</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0,190</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0,131</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eastAsia="Arial Unicode MS" w:hAnsi="Times New Roman"/>
              </w:rPr>
            </w:pPr>
            <w:r w:rsidRPr="00B76D0A">
              <w:rPr>
                <w:rFonts w:ascii="Times New Roman" w:hAnsi="Times New Roman"/>
              </w:rPr>
              <w:t>Primaire</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0,352</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0,103</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0,046</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0,348</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0,161</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0,103</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0,315</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0,088</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0,036</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0,203</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0,080</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0,048</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0,329</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0,085</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0,032</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0,200</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0,077</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0,049</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hAnsi="Times New Roman"/>
              </w:rPr>
            </w:pPr>
            <w:r w:rsidRPr="00B76D0A">
              <w:rPr>
                <w:rFonts w:ascii="Times New Roman" w:hAnsi="Times New Roman"/>
              </w:rPr>
              <w:t xml:space="preserve">Secondaire </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0,264</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0,068</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0,028</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0,170</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0,066</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0,037</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0,210</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0,058</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0,023</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0,093</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0,032</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0,017</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0,241</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0,061</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0,023</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0,089</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0,034</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0,020</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spacing w:line="240" w:lineRule="auto"/>
              <w:rPr>
                <w:rFonts w:ascii="Times New Roman" w:eastAsia="Arial Unicode MS" w:hAnsi="Times New Roman"/>
              </w:rPr>
            </w:pPr>
            <w:r w:rsidRPr="00B76D0A">
              <w:rPr>
                <w:rFonts w:ascii="Times New Roman" w:hAnsi="Times New Roman"/>
              </w:rPr>
              <w:t>Supérieur</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0,111</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0,037</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0,020</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0,022</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0,006</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0,002</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0,068</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0,017</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0,006</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0,009</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0,003</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0,001</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0,105</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0,028</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0,013</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0,019</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0,007</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0,004</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eastAsia="Arial Unicode MS" w:hAnsi="Times New Roman"/>
                <w:b/>
                <w:bCs/>
              </w:rPr>
              <w:t>Tranche d’âge</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rPr>
                <w:rFonts w:ascii="Times New Roman" w:hAnsi="Times New Roman"/>
              </w:rPr>
            </w:pPr>
            <w:r w:rsidRPr="00B76D0A">
              <w:rPr>
                <w:rFonts w:ascii="Times New Roman" w:hAnsi="Times New Roman"/>
              </w:rPr>
              <w:t>Moins de 30 ans</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0,277</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0,080</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0,036</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0,440</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0,230</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0,161</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0,276</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0,078</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0,033</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0,379</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0,176</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0,119</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0,206</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0,052</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0,019</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0,281</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0,123</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0,082</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rPr>
                <w:rFonts w:ascii="Times New Roman" w:hAnsi="Times New Roman"/>
              </w:rPr>
            </w:pPr>
            <w:r w:rsidRPr="00B76D0A">
              <w:rPr>
                <w:rFonts w:ascii="Times New Roman" w:hAnsi="Times New Roman"/>
              </w:rPr>
              <w:t>30-59</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0,383</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0,119</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0,055</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0,427</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0,215</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0,145</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0,366</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0,110</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0,047</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0,337</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0,157</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0,103</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0,378</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0,102</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0,040</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0,274</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0,120</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0,081</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rPr>
                <w:rFonts w:ascii="Times New Roman" w:hAnsi="Times New Roman"/>
              </w:rPr>
            </w:pPr>
            <w:r w:rsidRPr="00B76D0A">
              <w:rPr>
                <w:rFonts w:ascii="Times New Roman" w:hAnsi="Times New Roman"/>
              </w:rPr>
              <w:t>60 et plus</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0,400</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0,128</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0,059</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0,492</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0,252</w:t>
            </w: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0,173</w:t>
            </w: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0,320</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0,091</w:t>
            </w: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0,039</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0,401</w:t>
            </w: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0,199</w:t>
            </w: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0,136</w:t>
            </w: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0,369</w:t>
            </w: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0,105</w:t>
            </w: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0,043</w:t>
            </w: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0,373</w:t>
            </w: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0,177</w:t>
            </w: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0,124</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eastAsia="Arial Unicode MS" w:hAnsi="Times New Roman"/>
                <w:b/>
                <w:bCs/>
              </w:rPr>
              <w:t>Taille du ménage</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1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32"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9"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98"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90" w:type="dxa"/>
            <w:tcBorders>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8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90" w:type="dxa"/>
            <w:tcBorders>
              <w:left w:val="nil"/>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730" w:type="dxa"/>
            <w:gridSpan w:val="2"/>
            <w:tcBorders>
              <w:lef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hAnsi="Times New Roman"/>
              </w:rPr>
              <w:t>Moins de 3 personnes</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0,088</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0,027</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0,013</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0,484</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0,255</w:t>
            </w:r>
          </w:p>
        </w:tc>
        <w:tc>
          <w:tcPr>
            <w:tcW w:w="71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0,180</w:t>
            </w:r>
          </w:p>
        </w:tc>
        <w:tc>
          <w:tcPr>
            <w:tcW w:w="52" w:type="dxa"/>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63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0,050</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0,011</w:t>
            </w:r>
          </w:p>
        </w:tc>
        <w:tc>
          <w:tcPr>
            <w:tcW w:w="73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0,004</w:t>
            </w:r>
          </w:p>
        </w:tc>
        <w:tc>
          <w:tcPr>
            <w:tcW w:w="20"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0,421</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0,209</w:t>
            </w:r>
          </w:p>
        </w:tc>
        <w:tc>
          <w:tcPr>
            <w:tcW w:w="598"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0,144</w:t>
            </w:r>
          </w:p>
        </w:tc>
        <w:tc>
          <w:tcPr>
            <w:tcW w:w="90" w:type="dxa"/>
            <w:tcBorders>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58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0,010</w:t>
            </w:r>
          </w:p>
        </w:tc>
        <w:tc>
          <w:tcPr>
            <w:tcW w:w="5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0,001</w:t>
            </w:r>
          </w:p>
        </w:tc>
        <w:tc>
          <w:tcPr>
            <w:tcW w:w="78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0,000</w:t>
            </w:r>
          </w:p>
        </w:tc>
        <w:tc>
          <w:tcPr>
            <w:tcW w:w="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0,384</w:t>
            </w:r>
          </w:p>
        </w:tc>
        <w:tc>
          <w:tcPr>
            <w:tcW w:w="69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0,195</w:t>
            </w:r>
          </w:p>
        </w:tc>
        <w:tc>
          <w:tcPr>
            <w:tcW w:w="730" w:type="dxa"/>
            <w:gridSpan w:val="2"/>
            <w:tcBorders>
              <w:lef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0,141</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hAnsi="Times New Roman"/>
              </w:rPr>
              <w:t>3 à 4 personnes</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0,228</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0,062</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0,027</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0,446</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0,229</w:t>
            </w:r>
          </w:p>
        </w:tc>
        <w:tc>
          <w:tcPr>
            <w:tcW w:w="71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0,159</w:t>
            </w:r>
          </w:p>
        </w:tc>
        <w:tc>
          <w:tcPr>
            <w:tcW w:w="52" w:type="dxa"/>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63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0,191</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0,045</w:t>
            </w:r>
          </w:p>
        </w:tc>
        <w:tc>
          <w:tcPr>
            <w:tcW w:w="73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0,017</w:t>
            </w:r>
          </w:p>
        </w:tc>
        <w:tc>
          <w:tcPr>
            <w:tcW w:w="20"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0,363</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0,177</w:t>
            </w:r>
          </w:p>
        </w:tc>
        <w:tc>
          <w:tcPr>
            <w:tcW w:w="598"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0,121</w:t>
            </w:r>
          </w:p>
        </w:tc>
        <w:tc>
          <w:tcPr>
            <w:tcW w:w="90" w:type="dxa"/>
            <w:tcBorders>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58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0,116</w:t>
            </w:r>
          </w:p>
        </w:tc>
        <w:tc>
          <w:tcPr>
            <w:tcW w:w="5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0,025</w:t>
            </w:r>
          </w:p>
        </w:tc>
        <w:tc>
          <w:tcPr>
            <w:tcW w:w="78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0,009</w:t>
            </w:r>
          </w:p>
        </w:tc>
        <w:tc>
          <w:tcPr>
            <w:tcW w:w="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0,309</w:t>
            </w:r>
          </w:p>
        </w:tc>
        <w:tc>
          <w:tcPr>
            <w:tcW w:w="69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0,149</w:t>
            </w:r>
          </w:p>
        </w:tc>
        <w:tc>
          <w:tcPr>
            <w:tcW w:w="730" w:type="dxa"/>
            <w:gridSpan w:val="2"/>
            <w:tcBorders>
              <w:lef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0,105</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hAnsi="Times New Roman"/>
              </w:rPr>
              <w:t>5 à 7 personnes</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0,380</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0,110</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0,047</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0,455</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0,232</w:t>
            </w:r>
          </w:p>
        </w:tc>
        <w:tc>
          <w:tcPr>
            <w:tcW w:w="71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0,159</w:t>
            </w:r>
          </w:p>
        </w:tc>
        <w:tc>
          <w:tcPr>
            <w:tcW w:w="52" w:type="dxa"/>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63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0,372</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0,106</w:t>
            </w:r>
          </w:p>
        </w:tc>
        <w:tc>
          <w:tcPr>
            <w:tcW w:w="73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0,044</w:t>
            </w:r>
          </w:p>
        </w:tc>
        <w:tc>
          <w:tcPr>
            <w:tcW w:w="20"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0,347</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0,165</w:t>
            </w:r>
          </w:p>
        </w:tc>
        <w:tc>
          <w:tcPr>
            <w:tcW w:w="598"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0,110</w:t>
            </w:r>
          </w:p>
        </w:tc>
        <w:tc>
          <w:tcPr>
            <w:tcW w:w="90" w:type="dxa"/>
            <w:tcBorders>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58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0,333</w:t>
            </w:r>
          </w:p>
        </w:tc>
        <w:tc>
          <w:tcPr>
            <w:tcW w:w="5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0,078</w:t>
            </w:r>
          </w:p>
        </w:tc>
        <w:tc>
          <w:tcPr>
            <w:tcW w:w="78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0,028</w:t>
            </w:r>
          </w:p>
        </w:tc>
        <w:tc>
          <w:tcPr>
            <w:tcW w:w="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0,303</w:t>
            </w:r>
          </w:p>
        </w:tc>
        <w:tc>
          <w:tcPr>
            <w:tcW w:w="69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0,140</w:t>
            </w:r>
          </w:p>
        </w:tc>
        <w:tc>
          <w:tcPr>
            <w:tcW w:w="730" w:type="dxa"/>
            <w:gridSpan w:val="2"/>
            <w:tcBorders>
              <w:lef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0,096</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shd w:val="clear" w:color="auto" w:fill="DAEEF3" w:themeFill="accent5" w:themeFillTint="33"/>
            <w:noWrap/>
            <w:tcMar>
              <w:top w:w="20" w:type="dxa"/>
              <w:left w:w="20" w:type="dxa"/>
              <w:bottom w:w="0" w:type="dxa"/>
              <w:right w:w="20" w:type="dxa"/>
            </w:tcMar>
            <w:vAlign w:val="bottom"/>
          </w:tcPr>
          <w:p w:rsidR="000E1BB7" w:rsidRPr="00242C96" w:rsidRDefault="000E1BB7" w:rsidP="0058465E">
            <w:pPr>
              <w:pStyle w:val="En-tte"/>
              <w:rPr>
                <w:rFonts w:ascii="Times New Roman" w:eastAsia="Arial Unicode MS" w:hAnsi="Times New Roman"/>
                <w:b/>
                <w:bCs/>
              </w:rPr>
            </w:pPr>
            <w:r w:rsidRPr="00B76D0A">
              <w:rPr>
                <w:rFonts w:ascii="Times New Roman" w:hAnsi="Times New Roman"/>
              </w:rPr>
              <w:t>8 personnes et plus</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0,491</w:t>
            </w:r>
          </w:p>
        </w:tc>
        <w:tc>
          <w:tcPr>
            <w:tcW w:w="566"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0,165</w:t>
            </w:r>
          </w:p>
        </w:tc>
        <w:tc>
          <w:tcPr>
            <w:tcW w:w="713" w:type="dxa"/>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0,081</w:t>
            </w:r>
          </w:p>
        </w:tc>
        <w:tc>
          <w:tcPr>
            <w:tcW w:w="20" w:type="dxa"/>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0,455</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0,233</w:t>
            </w:r>
          </w:p>
        </w:tc>
        <w:tc>
          <w:tcPr>
            <w:tcW w:w="71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0,161</w:t>
            </w:r>
          </w:p>
        </w:tc>
        <w:tc>
          <w:tcPr>
            <w:tcW w:w="52" w:type="dxa"/>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633"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0,504</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0,166</w:t>
            </w:r>
          </w:p>
        </w:tc>
        <w:tc>
          <w:tcPr>
            <w:tcW w:w="732"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0,075</w:t>
            </w:r>
          </w:p>
        </w:tc>
        <w:tc>
          <w:tcPr>
            <w:tcW w:w="20"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0,359</w:t>
            </w:r>
          </w:p>
        </w:tc>
        <w:tc>
          <w:tcPr>
            <w:tcW w:w="709" w:type="dxa"/>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0,173</w:t>
            </w:r>
          </w:p>
        </w:tc>
        <w:tc>
          <w:tcPr>
            <w:tcW w:w="598"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0,117</w:t>
            </w:r>
          </w:p>
        </w:tc>
        <w:tc>
          <w:tcPr>
            <w:tcW w:w="90" w:type="dxa"/>
            <w:tcBorders>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s="Arial"/>
                <w:b/>
                <w:bCs/>
                <w:color w:val="000000"/>
                <w:kern w:val="32"/>
                <w:sz w:val="20"/>
                <w:szCs w:val="20"/>
              </w:rPr>
            </w:pPr>
          </w:p>
        </w:tc>
        <w:tc>
          <w:tcPr>
            <w:tcW w:w="58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0,593</w:t>
            </w:r>
          </w:p>
        </w:tc>
        <w:tc>
          <w:tcPr>
            <w:tcW w:w="5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0,179</w:t>
            </w:r>
          </w:p>
        </w:tc>
        <w:tc>
          <w:tcPr>
            <w:tcW w:w="78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1857CE">
              <w:rPr>
                <w:rFonts w:ascii="Times New Roman" w:hAnsi="Times New Roman"/>
                <w:color w:val="000000"/>
                <w:sz w:val="20"/>
                <w:szCs w:val="20"/>
              </w:rPr>
              <w:t>0,075</w:t>
            </w:r>
          </w:p>
        </w:tc>
        <w:tc>
          <w:tcPr>
            <w:tcW w:w="7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p>
        </w:tc>
        <w:tc>
          <w:tcPr>
            <w:tcW w:w="575"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0,314</w:t>
            </w:r>
          </w:p>
        </w:tc>
        <w:tc>
          <w:tcPr>
            <w:tcW w:w="690" w:type="dxa"/>
            <w:tcBorders>
              <w:left w:val="nil"/>
              <w:righ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0,149</w:t>
            </w:r>
          </w:p>
        </w:tc>
        <w:tc>
          <w:tcPr>
            <w:tcW w:w="730" w:type="dxa"/>
            <w:gridSpan w:val="2"/>
            <w:tcBorders>
              <w:left w:val="nil"/>
            </w:tcBorders>
            <w:shd w:val="clear" w:color="auto" w:fill="DAEEF3" w:themeFill="accent5" w:themeFillTint="33"/>
            <w:vAlign w:val="center"/>
          </w:tcPr>
          <w:p w:rsidR="000E1BB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0,104</w:t>
            </w:r>
          </w:p>
        </w:tc>
      </w:tr>
      <w:tr w:rsidR="000E1BB7" w:rsidRPr="00242C96" w:rsidTr="00AD3072">
        <w:tblPrEx>
          <w:tblCellMar>
            <w:left w:w="0" w:type="dxa"/>
            <w:right w:w="0" w:type="dxa"/>
          </w:tblCellMar>
          <w:tblLook w:val="0000" w:firstRow="0" w:lastRow="0" w:firstColumn="0" w:lastColumn="0" w:noHBand="0" w:noVBand="0"/>
        </w:tblPrEx>
        <w:trPr>
          <w:trHeight w:val="284"/>
        </w:trPr>
        <w:tc>
          <w:tcPr>
            <w:tcW w:w="2409"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tcPr>
          <w:p w:rsidR="000E1BB7" w:rsidRPr="00242C96" w:rsidRDefault="000E1BB7" w:rsidP="0058465E">
            <w:pPr>
              <w:spacing w:line="240" w:lineRule="auto"/>
              <w:rPr>
                <w:rFonts w:ascii="Times New Roman" w:hAnsi="Times New Roman"/>
                <w:b/>
              </w:rPr>
            </w:pPr>
            <w:r w:rsidRPr="00B76D0A">
              <w:rPr>
                <w:rFonts w:ascii="Times New Roman" w:hAnsi="Times New Roman"/>
                <w:b/>
              </w:rPr>
              <w:t>Ensemble</w:t>
            </w:r>
          </w:p>
        </w:tc>
        <w:tc>
          <w:tcPr>
            <w:tcW w:w="566"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0,375</w:t>
            </w:r>
          </w:p>
        </w:tc>
        <w:tc>
          <w:tcPr>
            <w:tcW w:w="566"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0,116</w:t>
            </w:r>
          </w:p>
        </w:tc>
        <w:tc>
          <w:tcPr>
            <w:tcW w:w="713"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0,054</w:t>
            </w:r>
          </w:p>
        </w:tc>
        <w:tc>
          <w:tcPr>
            <w:tcW w:w="20"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42"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0,441</w:t>
            </w:r>
          </w:p>
        </w:tc>
        <w:tc>
          <w:tcPr>
            <w:tcW w:w="709"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0,225</w:t>
            </w:r>
          </w:p>
        </w:tc>
        <w:tc>
          <w:tcPr>
            <w:tcW w:w="713"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0,153</w:t>
            </w:r>
          </w:p>
        </w:tc>
        <w:tc>
          <w:tcPr>
            <w:tcW w:w="52"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33"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0,352</w:t>
            </w:r>
          </w:p>
        </w:tc>
        <w:tc>
          <w:tcPr>
            <w:tcW w:w="709"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0,104</w:t>
            </w:r>
          </w:p>
        </w:tc>
        <w:tc>
          <w:tcPr>
            <w:tcW w:w="732"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0,045</w:t>
            </w:r>
          </w:p>
        </w:tc>
        <w:tc>
          <w:tcPr>
            <w:tcW w:w="20"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689"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0,350</w:t>
            </w:r>
          </w:p>
        </w:tc>
        <w:tc>
          <w:tcPr>
            <w:tcW w:w="709" w:type="dxa"/>
            <w:tcBorders>
              <w:top w:val="single" w:sz="4" w:space="0" w:color="auto"/>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0,165</w:t>
            </w:r>
          </w:p>
        </w:tc>
        <w:tc>
          <w:tcPr>
            <w:tcW w:w="598"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0,109</w:t>
            </w:r>
          </w:p>
        </w:tc>
        <w:tc>
          <w:tcPr>
            <w:tcW w:w="90" w:type="dxa"/>
            <w:tcBorders>
              <w:top w:val="single" w:sz="4" w:space="0" w:color="auto"/>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85" w:type="dxa"/>
            <w:tcBorders>
              <w:top w:val="single" w:sz="4" w:space="0" w:color="auto"/>
              <w:left w:val="nil"/>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0,362</w:t>
            </w:r>
          </w:p>
        </w:tc>
        <w:tc>
          <w:tcPr>
            <w:tcW w:w="570" w:type="dxa"/>
            <w:tcBorders>
              <w:top w:val="single" w:sz="4" w:space="0" w:color="auto"/>
              <w:left w:val="nil"/>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0,098</w:t>
            </w:r>
          </w:p>
        </w:tc>
        <w:tc>
          <w:tcPr>
            <w:tcW w:w="780" w:type="dxa"/>
            <w:tcBorders>
              <w:top w:val="single" w:sz="4" w:space="0" w:color="auto"/>
              <w:left w:val="nil"/>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0,039</w:t>
            </w:r>
          </w:p>
        </w:tc>
        <w:tc>
          <w:tcPr>
            <w:tcW w:w="70" w:type="dxa"/>
            <w:tcBorders>
              <w:top w:val="single" w:sz="4" w:space="0" w:color="auto"/>
              <w:left w:val="nil"/>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p>
        </w:tc>
        <w:tc>
          <w:tcPr>
            <w:tcW w:w="575" w:type="dxa"/>
            <w:tcBorders>
              <w:top w:val="single" w:sz="4" w:space="0" w:color="auto"/>
              <w:left w:val="nil"/>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0,295</w:t>
            </w:r>
          </w:p>
        </w:tc>
        <w:tc>
          <w:tcPr>
            <w:tcW w:w="690" w:type="dxa"/>
            <w:tcBorders>
              <w:top w:val="single" w:sz="4" w:space="0" w:color="auto"/>
              <w:left w:val="nil"/>
              <w:bottom w:val="double" w:sz="4" w:space="0" w:color="auto"/>
              <w:right w:val="nil"/>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0,131</w:t>
            </w:r>
          </w:p>
        </w:tc>
        <w:tc>
          <w:tcPr>
            <w:tcW w:w="730" w:type="dxa"/>
            <w:gridSpan w:val="2"/>
            <w:tcBorders>
              <w:top w:val="single" w:sz="4" w:space="0" w:color="auto"/>
              <w:left w:val="nil"/>
              <w:bottom w:val="double" w:sz="4" w:space="0" w:color="auto"/>
            </w:tcBorders>
            <w:shd w:val="clear" w:color="auto" w:fill="DAEEF3" w:themeFill="accent5" w:themeFillTint="33"/>
            <w:vAlign w:val="center"/>
          </w:tcPr>
          <w:p w:rsidR="000E1BB7" w:rsidRPr="00AC2507" w:rsidRDefault="000E1BB7" w:rsidP="0058465E">
            <w:pPr>
              <w:spacing w:line="240" w:lineRule="auto"/>
              <w:jc w:val="center"/>
              <w:rPr>
                <w:rFonts w:ascii="Times New Roman" w:hAnsi="Times New Roman"/>
                <w:color w:val="000000"/>
                <w:sz w:val="20"/>
                <w:szCs w:val="20"/>
              </w:rPr>
            </w:pPr>
            <w:r w:rsidRPr="00AC2507">
              <w:rPr>
                <w:rFonts w:ascii="Times New Roman" w:hAnsi="Times New Roman"/>
                <w:color w:val="000000"/>
                <w:sz w:val="20"/>
                <w:szCs w:val="20"/>
              </w:rPr>
              <w:t>0,089</w:t>
            </w:r>
          </w:p>
        </w:tc>
      </w:tr>
      <w:tr w:rsidR="00AD3072" w:rsidTr="00AD3072">
        <w:trPr>
          <w:gridAfter w:val="1"/>
          <w:wAfter w:w="10" w:type="dxa"/>
          <w:trHeight w:val="315"/>
        </w:trPr>
        <w:tc>
          <w:tcPr>
            <w:tcW w:w="14460" w:type="dxa"/>
            <w:gridSpan w:val="24"/>
            <w:tcBorders>
              <w:top w:val="double" w:sz="4" w:space="0" w:color="auto"/>
              <w:left w:val="nil"/>
              <w:bottom w:val="nil"/>
              <w:right w:val="nil"/>
            </w:tcBorders>
            <w:shd w:val="clear" w:color="auto" w:fill="DAEEF3" w:themeFill="accent5" w:themeFillTint="33"/>
            <w:noWrap/>
            <w:vAlign w:val="center"/>
            <w:hideMark/>
          </w:tcPr>
          <w:p w:rsidR="00AD3072" w:rsidRDefault="00AD3072" w:rsidP="00AD3072">
            <w:pPr>
              <w:spacing w:line="240" w:lineRule="auto"/>
              <w:rPr>
                <w:rFonts w:ascii="Times New Roman" w:hAnsi="Times New Roman"/>
                <w:sz w:val="24"/>
                <w:szCs w:val="24"/>
              </w:rPr>
            </w:pPr>
            <w:r w:rsidRPr="007B43D0">
              <w:rPr>
                <w:rFonts w:ascii="Times New Roman" w:hAnsi="Times New Roman"/>
                <w:sz w:val="24"/>
                <w:szCs w:val="24"/>
              </w:rPr>
              <w:t>Source : INSAE, EMICoV (2006, 2009, 2011)</w:t>
            </w:r>
          </w:p>
        </w:tc>
      </w:tr>
    </w:tbl>
    <w:p w:rsidR="00AD3072" w:rsidRDefault="00AD3072" w:rsidP="000E1BB7">
      <w:pPr>
        <w:spacing w:line="240" w:lineRule="auto"/>
        <w:rPr>
          <w:rFonts w:ascii="Times New Roman" w:hAnsi="Times New Roman"/>
          <w:sz w:val="24"/>
          <w:szCs w:val="24"/>
        </w:rPr>
      </w:pPr>
    </w:p>
    <w:p w:rsidR="00F462A6" w:rsidRDefault="00F462A6" w:rsidP="000E1BB7">
      <w:pPr>
        <w:spacing w:line="240" w:lineRule="auto"/>
        <w:rPr>
          <w:rFonts w:ascii="Times New Roman" w:hAnsi="Times New Roman"/>
          <w:sz w:val="24"/>
          <w:szCs w:val="24"/>
        </w:rPr>
        <w:sectPr w:rsidR="00F462A6" w:rsidSect="00B200B1">
          <w:pgSz w:w="16838" w:h="11906" w:orient="landscape"/>
          <w:pgMar w:top="1418" w:right="1219" w:bottom="1418" w:left="1418" w:header="284" w:footer="708" w:gutter="0"/>
          <w:cols w:space="708"/>
          <w:docGrid w:linePitch="360"/>
        </w:sectPr>
      </w:pPr>
    </w:p>
    <w:p w:rsidR="00A354E4" w:rsidRDefault="00A354E4"/>
    <w:tbl>
      <w:tblPr>
        <w:tblW w:w="14611" w:type="dxa"/>
        <w:tblInd w:w="-497" w:type="dxa"/>
        <w:tblBorders>
          <w:top w:val="double" w:sz="4" w:space="0" w:color="auto"/>
          <w:bottom w:val="double" w:sz="4" w:space="0" w:color="auto"/>
        </w:tblBorders>
        <w:tblLayout w:type="fixed"/>
        <w:tblCellMar>
          <w:left w:w="0" w:type="dxa"/>
          <w:right w:w="0" w:type="dxa"/>
        </w:tblCellMar>
        <w:tblLook w:val="0000" w:firstRow="0" w:lastRow="0" w:firstColumn="0" w:lastColumn="0" w:noHBand="0" w:noVBand="0"/>
      </w:tblPr>
      <w:tblGrid>
        <w:gridCol w:w="2550"/>
        <w:gridCol w:w="566"/>
        <w:gridCol w:w="566"/>
        <w:gridCol w:w="713"/>
        <w:gridCol w:w="20"/>
        <w:gridCol w:w="542"/>
        <w:gridCol w:w="709"/>
        <w:gridCol w:w="713"/>
        <w:gridCol w:w="52"/>
        <w:gridCol w:w="633"/>
        <w:gridCol w:w="709"/>
        <w:gridCol w:w="732"/>
        <w:gridCol w:w="20"/>
        <w:gridCol w:w="689"/>
        <w:gridCol w:w="709"/>
        <w:gridCol w:w="598"/>
        <w:gridCol w:w="90"/>
        <w:gridCol w:w="585"/>
        <w:gridCol w:w="600"/>
        <w:gridCol w:w="805"/>
        <w:gridCol w:w="20"/>
        <w:gridCol w:w="570"/>
        <w:gridCol w:w="690"/>
        <w:gridCol w:w="720"/>
        <w:gridCol w:w="10"/>
      </w:tblGrid>
      <w:tr w:rsidR="00AB31DC" w:rsidRPr="00AB31DC" w:rsidTr="008D3D33">
        <w:trPr>
          <w:trHeight w:val="254"/>
        </w:trPr>
        <w:tc>
          <w:tcPr>
            <w:tcW w:w="14611" w:type="dxa"/>
            <w:gridSpan w:val="25"/>
            <w:tcBorders>
              <w:top w:val="nil"/>
              <w:bottom w:val="double" w:sz="4" w:space="0" w:color="auto"/>
            </w:tcBorders>
            <w:shd w:val="clear" w:color="auto" w:fill="92CDDC" w:themeFill="accent5" w:themeFillTint="99"/>
            <w:noWrap/>
            <w:tcMar>
              <w:top w:w="20" w:type="dxa"/>
              <w:left w:w="20" w:type="dxa"/>
              <w:bottom w:w="0" w:type="dxa"/>
              <w:right w:w="20" w:type="dxa"/>
            </w:tcMar>
            <w:vAlign w:val="bottom"/>
          </w:tcPr>
          <w:p w:rsidR="00832112" w:rsidRDefault="00832112" w:rsidP="00832112">
            <w:pPr>
              <w:spacing w:line="240" w:lineRule="auto"/>
              <w:jc w:val="left"/>
              <w:rPr>
                <w:rFonts w:ascii="Times New Roman" w:eastAsia="Arial Unicode MS" w:hAnsi="Times New Roman"/>
                <w:sz w:val="24"/>
                <w:szCs w:val="24"/>
              </w:rPr>
            </w:pPr>
            <w:bookmarkStart w:id="222" w:name="_Toc373430321"/>
            <w:r w:rsidRPr="00832112">
              <w:rPr>
                <w:rFonts w:ascii="Times New Roman" w:hAnsi="Times New Roman"/>
                <w:sz w:val="24"/>
                <w:szCs w:val="24"/>
              </w:rPr>
              <w:t xml:space="preserve">Tableau A2. </w:t>
            </w:r>
            <w:r w:rsidR="00182C97" w:rsidRPr="00832112">
              <w:rPr>
                <w:rFonts w:ascii="Times New Roman" w:hAnsi="Times New Roman"/>
                <w:sz w:val="24"/>
                <w:szCs w:val="24"/>
              </w:rPr>
              <w:fldChar w:fldCharType="begin"/>
            </w:r>
            <w:r w:rsidRPr="00832112">
              <w:rPr>
                <w:rFonts w:ascii="Times New Roman" w:eastAsia="Times New Roman" w:hAnsi="Times New Roman"/>
                <w:bCs/>
                <w:sz w:val="24"/>
                <w:szCs w:val="24"/>
              </w:rPr>
              <w:instrText xml:space="preserve"> SEQ Tableau_A2. \* ARABIC </w:instrText>
            </w:r>
            <w:r w:rsidR="00182C97" w:rsidRPr="00832112">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3</w:t>
            </w:r>
            <w:r w:rsidR="00182C97" w:rsidRPr="00832112">
              <w:rPr>
                <w:rFonts w:ascii="Times New Roman" w:eastAsia="Times New Roman" w:hAnsi="Times New Roman"/>
                <w:bCs/>
                <w:sz w:val="24"/>
                <w:szCs w:val="24"/>
              </w:rPr>
              <w:fldChar w:fldCharType="end"/>
            </w:r>
            <w:r w:rsidR="00AB31DC" w:rsidRPr="00AB31DC">
              <w:rPr>
                <w:rFonts w:ascii="Times New Roman" w:eastAsia="Arial Unicode MS" w:hAnsi="Times New Roman"/>
                <w:bCs/>
                <w:sz w:val="24"/>
                <w:szCs w:val="24"/>
              </w:rPr>
              <w:t xml:space="preserve">: Répartition des ménages en pourcentage suivant la </w:t>
            </w:r>
            <w:r w:rsidR="00AB31DC" w:rsidRPr="00AB31DC">
              <w:rPr>
                <w:rFonts w:ascii="Times New Roman" w:eastAsia="Times New Roman" w:hAnsi="Times New Roman"/>
                <w:bCs/>
                <w:sz w:val="24"/>
                <w:szCs w:val="24"/>
              </w:rPr>
              <w:t>pauvreté monétaire, la</w:t>
            </w:r>
            <w:r w:rsidR="00AB31DC" w:rsidRPr="00AB31DC">
              <w:rPr>
                <w:rFonts w:ascii="Times New Roman" w:eastAsia="Arial Unicode MS" w:hAnsi="Times New Roman"/>
                <w:bCs/>
                <w:sz w:val="24"/>
                <w:szCs w:val="24"/>
              </w:rPr>
              <w:t xml:space="preserve"> p</w:t>
            </w:r>
            <w:r w:rsidR="00AB31DC" w:rsidRPr="00AB31DC">
              <w:rPr>
                <w:rFonts w:ascii="Times New Roman" w:eastAsia="Times New Roman" w:hAnsi="Times New Roman"/>
                <w:bCs/>
                <w:sz w:val="24"/>
                <w:szCs w:val="24"/>
              </w:rPr>
              <w:t xml:space="preserve">auvreté non monétaire </w:t>
            </w:r>
            <w:r w:rsidR="00AB31DC" w:rsidRPr="00AB31DC">
              <w:rPr>
                <w:rFonts w:ascii="Times New Roman" w:eastAsia="Arial Unicode MS" w:hAnsi="Times New Roman"/>
                <w:bCs/>
                <w:sz w:val="24"/>
                <w:szCs w:val="24"/>
              </w:rPr>
              <w:t xml:space="preserve"> suivant les branches d’activité des chefs de ménages  sur la période 2006-2011</w:t>
            </w:r>
            <w:bookmarkEnd w:id="222"/>
          </w:p>
        </w:tc>
      </w:tr>
      <w:tr w:rsidR="000E1BB7" w:rsidRPr="007B43D0" w:rsidTr="008D3D33">
        <w:trPr>
          <w:trHeight w:val="254"/>
        </w:trPr>
        <w:tc>
          <w:tcPr>
            <w:tcW w:w="2550" w:type="dxa"/>
            <w:tcBorders>
              <w:top w:val="double" w:sz="4" w:space="0" w:color="auto"/>
            </w:tcBorders>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p>
        </w:tc>
        <w:tc>
          <w:tcPr>
            <w:tcW w:w="3829" w:type="dxa"/>
            <w:gridSpan w:val="7"/>
            <w:tcBorders>
              <w:top w:val="doub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2006</w:t>
            </w:r>
          </w:p>
        </w:tc>
        <w:tc>
          <w:tcPr>
            <w:tcW w:w="52" w:type="dxa"/>
            <w:tcBorders>
              <w:top w:val="double" w:sz="4" w:space="0" w:color="auto"/>
              <w:bottom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4090" w:type="dxa"/>
            <w:gridSpan w:val="7"/>
            <w:tcBorders>
              <w:top w:val="double" w:sz="4" w:space="0" w:color="auto"/>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2009</w:t>
            </w:r>
          </w:p>
        </w:tc>
        <w:tc>
          <w:tcPr>
            <w:tcW w:w="90" w:type="dxa"/>
            <w:tcBorders>
              <w:top w:val="double" w:sz="4" w:space="0" w:color="auto"/>
              <w:left w:val="nil"/>
              <w:bottom w:val="nil"/>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4000" w:type="dxa"/>
            <w:gridSpan w:val="8"/>
            <w:tcBorders>
              <w:top w:val="double" w:sz="4" w:space="0" w:color="auto"/>
              <w:left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2011</w:t>
            </w:r>
          </w:p>
        </w:tc>
      </w:tr>
      <w:tr w:rsidR="000E1BB7" w:rsidRPr="007B43D0" w:rsidTr="00AD3072">
        <w:trPr>
          <w:trHeight w:val="254"/>
        </w:trPr>
        <w:tc>
          <w:tcPr>
            <w:tcW w:w="2550" w:type="dxa"/>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p>
        </w:tc>
        <w:tc>
          <w:tcPr>
            <w:tcW w:w="1845" w:type="dxa"/>
            <w:gridSpan w:val="3"/>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monétaire</w:t>
            </w:r>
          </w:p>
        </w:tc>
        <w:tc>
          <w:tcPr>
            <w:tcW w:w="20" w:type="dxa"/>
            <w:tcBorders>
              <w:top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p>
        </w:tc>
        <w:tc>
          <w:tcPr>
            <w:tcW w:w="1964" w:type="dxa"/>
            <w:gridSpan w:val="3"/>
            <w:tcBorders>
              <w:top w:val="single" w:sz="4" w:space="0" w:color="auto"/>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non monétaire</w:t>
            </w:r>
          </w:p>
        </w:tc>
        <w:tc>
          <w:tcPr>
            <w:tcW w:w="52" w:type="dxa"/>
            <w:tcBorders>
              <w:top w:val="nil"/>
              <w:bottom w:val="nil"/>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p>
        </w:tc>
        <w:tc>
          <w:tcPr>
            <w:tcW w:w="2074" w:type="dxa"/>
            <w:gridSpan w:val="3"/>
            <w:tcBorders>
              <w:top w:val="single" w:sz="4" w:space="0" w:color="auto"/>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monétaire</w:t>
            </w:r>
          </w:p>
        </w:tc>
        <w:tc>
          <w:tcPr>
            <w:tcW w:w="20" w:type="dxa"/>
            <w:tcBorders>
              <w:top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p>
        </w:tc>
        <w:tc>
          <w:tcPr>
            <w:tcW w:w="1996" w:type="dxa"/>
            <w:gridSpan w:val="3"/>
            <w:tcBorders>
              <w:top w:val="single" w:sz="4" w:space="0" w:color="auto"/>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eastAsia="Arial Unicode MS" w:hAnsi="Times New Roman"/>
              </w:rPr>
            </w:pPr>
            <w:r w:rsidRPr="00F63ED4">
              <w:rPr>
                <w:rFonts w:ascii="Times New Roman" w:hAnsi="Times New Roman"/>
              </w:rPr>
              <w:t>Pauvreté non monétaire</w:t>
            </w:r>
          </w:p>
        </w:tc>
        <w:tc>
          <w:tcPr>
            <w:tcW w:w="90" w:type="dxa"/>
            <w:tcBorders>
              <w:top w:val="nil"/>
              <w:bottom w:val="nil"/>
              <w:right w:val="nil"/>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p>
        </w:tc>
        <w:tc>
          <w:tcPr>
            <w:tcW w:w="1990" w:type="dxa"/>
            <w:gridSpan w:val="3"/>
            <w:tcBorders>
              <w:top w:val="single" w:sz="4" w:space="0" w:color="auto"/>
              <w:left w:val="nil"/>
              <w:bottom w:val="single" w:sz="4" w:space="0" w:color="auto"/>
              <w:right w:val="nil"/>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r w:rsidRPr="00F63ED4">
              <w:rPr>
                <w:rFonts w:ascii="Times New Roman" w:hAnsi="Times New Roman"/>
              </w:rPr>
              <w:t>Pauvreté monétaire</w:t>
            </w:r>
          </w:p>
        </w:tc>
        <w:tc>
          <w:tcPr>
            <w:tcW w:w="20" w:type="dxa"/>
            <w:tcBorders>
              <w:top w:val="single" w:sz="4" w:space="0" w:color="auto"/>
              <w:left w:val="nil"/>
              <w:bottom w:val="nil"/>
              <w:right w:val="nil"/>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p>
        </w:tc>
        <w:tc>
          <w:tcPr>
            <w:tcW w:w="1990" w:type="dxa"/>
            <w:gridSpan w:val="4"/>
            <w:tcBorders>
              <w:top w:val="single" w:sz="4" w:space="0" w:color="auto"/>
              <w:left w:val="nil"/>
              <w:bottom w:val="single" w:sz="4" w:space="0" w:color="auto"/>
            </w:tcBorders>
            <w:shd w:val="clear" w:color="auto" w:fill="DAEEF3" w:themeFill="accent5" w:themeFillTint="33"/>
          </w:tcPr>
          <w:p w:rsidR="000E1BB7" w:rsidRPr="00F63ED4" w:rsidRDefault="000E1BB7" w:rsidP="0058465E">
            <w:pPr>
              <w:spacing w:line="240" w:lineRule="auto"/>
              <w:jc w:val="center"/>
              <w:rPr>
                <w:rFonts w:ascii="Times New Roman" w:hAnsi="Times New Roman"/>
              </w:rPr>
            </w:pPr>
            <w:r w:rsidRPr="00F63ED4">
              <w:rPr>
                <w:rFonts w:ascii="Times New Roman" w:hAnsi="Times New Roman"/>
              </w:rPr>
              <w:t>Pauvreté non monétaire</w:t>
            </w:r>
          </w:p>
        </w:tc>
      </w:tr>
      <w:tr w:rsidR="000E1BB7" w:rsidRPr="007B43D0" w:rsidTr="00AD3072">
        <w:trPr>
          <w:trHeight w:val="254"/>
        </w:trPr>
        <w:tc>
          <w:tcPr>
            <w:tcW w:w="2550" w:type="dxa"/>
            <w:tcBorders>
              <w:bottom w:val="single" w:sz="4" w:space="0" w:color="auto"/>
            </w:tcBorders>
            <w:shd w:val="clear" w:color="auto" w:fill="DAEEF3" w:themeFill="accent5" w:themeFillTint="33"/>
            <w:noWrap/>
            <w:tcMar>
              <w:top w:w="20" w:type="dxa"/>
              <w:left w:w="20" w:type="dxa"/>
              <w:bottom w:w="0" w:type="dxa"/>
              <w:right w:w="20" w:type="dxa"/>
            </w:tcMar>
            <w:vAlign w:val="bottom"/>
          </w:tcPr>
          <w:p w:rsidR="000E1BB7" w:rsidRPr="007B43D0" w:rsidRDefault="000E1BB7" w:rsidP="0058465E">
            <w:pPr>
              <w:spacing w:line="240" w:lineRule="auto"/>
              <w:rPr>
                <w:rFonts w:ascii="Times New Roman" w:eastAsia="Arial Unicode MS" w:hAnsi="Times New Roman"/>
                <w:sz w:val="24"/>
                <w:szCs w:val="24"/>
              </w:rPr>
            </w:pPr>
          </w:p>
        </w:tc>
        <w:tc>
          <w:tcPr>
            <w:tcW w:w="566"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566"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13" w:type="dxa"/>
            <w:tcBorders>
              <w:top w:val="single" w:sz="4" w:space="0" w:color="auto"/>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20"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p>
        </w:tc>
        <w:tc>
          <w:tcPr>
            <w:tcW w:w="542"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709"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13"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52" w:type="dxa"/>
            <w:tcBorders>
              <w:top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p>
        </w:tc>
        <w:tc>
          <w:tcPr>
            <w:tcW w:w="633"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709"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32" w:type="dxa"/>
            <w:tcBorders>
              <w:top w:val="single" w:sz="4" w:space="0" w:color="auto"/>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20"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689"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hAnsi="Times New Roman"/>
                <w:sz w:val="24"/>
                <w:szCs w:val="24"/>
              </w:rPr>
            </w:pPr>
            <w:r w:rsidRPr="007B43D0">
              <w:rPr>
                <w:rFonts w:ascii="Times New Roman" w:hAnsi="Times New Roman"/>
                <w:sz w:val="24"/>
                <w:szCs w:val="24"/>
              </w:rPr>
              <w:t>P0</w:t>
            </w:r>
          </w:p>
        </w:tc>
        <w:tc>
          <w:tcPr>
            <w:tcW w:w="709" w:type="dxa"/>
            <w:tcBorders>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598" w:type="dxa"/>
            <w:tcBorders>
              <w:bottom w:val="single" w:sz="4" w:space="0" w:color="auto"/>
            </w:tcBorders>
            <w:shd w:val="clear" w:color="auto" w:fill="DAEEF3" w:themeFill="accent5" w:themeFillTint="33"/>
            <w:noWrap/>
            <w:tcMar>
              <w:top w:w="20" w:type="dxa"/>
              <w:left w:w="20" w:type="dxa"/>
              <w:bottom w:w="0" w:type="dxa"/>
              <w:right w:w="20" w:type="dxa"/>
            </w:tcMar>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90" w:type="dxa"/>
            <w:tcBorders>
              <w:top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585"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P0</w:t>
            </w:r>
          </w:p>
        </w:tc>
        <w:tc>
          <w:tcPr>
            <w:tcW w:w="600"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805"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c>
          <w:tcPr>
            <w:tcW w:w="20" w:type="dxa"/>
            <w:tcBorders>
              <w:top w:val="nil"/>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p>
        </w:tc>
        <w:tc>
          <w:tcPr>
            <w:tcW w:w="570"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hAnsi="Times New Roman"/>
                <w:sz w:val="24"/>
                <w:szCs w:val="24"/>
              </w:rPr>
              <w:t>P0</w:t>
            </w:r>
          </w:p>
        </w:tc>
        <w:tc>
          <w:tcPr>
            <w:tcW w:w="690" w:type="dxa"/>
            <w:tcBorders>
              <w:top w:val="single" w:sz="4" w:space="0" w:color="auto"/>
              <w:left w:val="nil"/>
              <w:bottom w:val="single" w:sz="4" w:space="0" w:color="auto"/>
              <w:right w:val="nil"/>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P1</w:t>
            </w:r>
          </w:p>
        </w:tc>
        <w:tc>
          <w:tcPr>
            <w:tcW w:w="730" w:type="dxa"/>
            <w:gridSpan w:val="2"/>
            <w:tcBorders>
              <w:top w:val="single" w:sz="4" w:space="0" w:color="auto"/>
              <w:left w:val="nil"/>
              <w:bottom w:val="single" w:sz="4" w:space="0" w:color="auto"/>
            </w:tcBorders>
            <w:shd w:val="clear" w:color="auto" w:fill="DAEEF3" w:themeFill="accent5" w:themeFillTint="33"/>
          </w:tcPr>
          <w:p w:rsidR="000E1BB7" w:rsidRPr="007B43D0" w:rsidRDefault="000E1BB7" w:rsidP="0058465E">
            <w:pPr>
              <w:spacing w:line="240" w:lineRule="auto"/>
              <w:jc w:val="center"/>
              <w:rPr>
                <w:rFonts w:ascii="Times New Roman" w:eastAsia="Arial Unicode MS" w:hAnsi="Times New Roman"/>
                <w:sz w:val="24"/>
                <w:szCs w:val="24"/>
              </w:rPr>
            </w:pPr>
            <w:r w:rsidRPr="007B43D0">
              <w:rPr>
                <w:rFonts w:ascii="Times New Roman" w:eastAsia="Arial Unicode MS" w:hAnsi="Times New Roman"/>
                <w:sz w:val="24"/>
                <w:szCs w:val="24"/>
              </w:rPr>
              <w:t>P2</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rPr>
                <w:rFonts w:ascii="Times New Roman" w:eastAsia="Times New Roman" w:hAnsi="Times New Roman"/>
                <w:color w:val="000000"/>
                <w:lang w:eastAsia="fr-FR"/>
              </w:rPr>
            </w:pPr>
            <w:r w:rsidRPr="00433D87">
              <w:rPr>
                <w:rFonts w:ascii="Times New Roman" w:eastAsia="Times New Roman" w:hAnsi="Times New Roman"/>
                <w:color w:val="000000"/>
                <w:lang w:eastAsia="fr-FR"/>
              </w:rPr>
              <w:t>Agriculture hors coton</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0,409</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0,126</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0,057</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0,579</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0,314</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0,220</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0,431</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0,134</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0,058</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0,485</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0,236</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0,159</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0,453</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0,123</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0,048</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0,426</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0,197</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0,137</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rPr>
                <w:rFonts w:ascii="Times New Roman" w:eastAsia="Times New Roman" w:hAnsi="Times New Roman"/>
                <w:color w:val="000000"/>
                <w:lang w:eastAsia="fr-FR"/>
              </w:rPr>
            </w:pPr>
            <w:r w:rsidRPr="00433D87">
              <w:rPr>
                <w:rFonts w:ascii="Times New Roman" w:eastAsia="Times New Roman" w:hAnsi="Times New Roman"/>
                <w:color w:val="000000"/>
                <w:lang w:eastAsia="fr-FR"/>
              </w:rPr>
              <w:t>Coton-Textile</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0,453</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0,174</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0,491</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0,230</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0,141</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0,333</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0,095</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0,244</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0,091</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0,053</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0,326</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0,077</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0,027</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0,247</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0,098</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0,060</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rPr>
                <w:rFonts w:ascii="Times New Roman" w:eastAsia="Times New Roman" w:hAnsi="Times New Roman"/>
                <w:color w:val="000000"/>
                <w:lang w:eastAsia="fr-FR"/>
              </w:rPr>
            </w:pPr>
            <w:r w:rsidRPr="00433D87">
              <w:rPr>
                <w:rFonts w:ascii="Times New Roman" w:eastAsia="Times New Roman" w:hAnsi="Times New Roman"/>
                <w:color w:val="000000"/>
                <w:lang w:eastAsia="fr-FR"/>
              </w:rPr>
              <w:t>Commerce-logistique</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0,236</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0,068</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0,216</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0,078</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0,039</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0,267</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0,071</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0,028</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0,183</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0,071</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0,042</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0,274</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0,074</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0,030</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0,185</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0,075</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0,046</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rPr>
                <w:rFonts w:ascii="Times New Roman" w:eastAsia="Times New Roman" w:hAnsi="Times New Roman"/>
                <w:color w:val="000000"/>
                <w:lang w:eastAsia="fr-FR"/>
              </w:rPr>
            </w:pPr>
            <w:r w:rsidRPr="00433D87">
              <w:rPr>
                <w:rFonts w:ascii="Times New Roman" w:eastAsia="Times New Roman" w:hAnsi="Times New Roman"/>
                <w:color w:val="000000"/>
                <w:lang w:eastAsia="fr-FR"/>
              </w:rPr>
              <w:t>Agroalimentaire</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0,244</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0,047</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0,015</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0,378</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0,144</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0,088</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0,298</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0,077</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0,350</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0,177</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0,132</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0,325</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0,083</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0,030</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0,288</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0,120</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0,077</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contextualSpacing/>
              <w:jc w:val="left"/>
              <w:rPr>
                <w:rFonts w:ascii="Times New Roman" w:eastAsia="Times New Roman" w:hAnsi="Times New Roman"/>
                <w:color w:val="000000"/>
                <w:lang w:eastAsia="fr-FR"/>
              </w:rPr>
            </w:pPr>
            <w:r w:rsidRPr="00433D87">
              <w:rPr>
                <w:rFonts w:ascii="Times New Roman" w:eastAsia="Times New Roman" w:hAnsi="Times New Roman"/>
                <w:color w:val="000000"/>
                <w:lang w:eastAsia="fr-FR"/>
              </w:rPr>
              <w:t>BTP-matériaux de construction</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0,299</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0,088</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0,039</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0,208</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0,090</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0,053</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0,296</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0,067</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0,022</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0,147</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0,054</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0,032</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0,316</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0,090</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0,037</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0,136</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0,043</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0,024</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contextualSpacing/>
              <w:jc w:val="left"/>
              <w:rPr>
                <w:rFonts w:ascii="Times New Roman" w:eastAsia="Times New Roman" w:hAnsi="Times New Roman"/>
                <w:color w:val="000000"/>
                <w:lang w:eastAsia="fr-FR"/>
              </w:rPr>
            </w:pPr>
            <w:r w:rsidRPr="00433D87">
              <w:rPr>
                <w:rFonts w:ascii="Times New Roman" w:eastAsia="Times New Roman" w:hAnsi="Times New Roman"/>
                <w:color w:val="000000"/>
                <w:lang w:eastAsia="fr-FR"/>
              </w:rPr>
              <w:t>Mines et hydrocarbures</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0,302</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0,154</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0,100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0,621</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0,247</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0,168</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0,310</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0,066</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0,021</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0,155</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0,038</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0,010</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0,281</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0,047</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0,011</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0,245</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0,103</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0,071</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contextualSpacing/>
              <w:jc w:val="left"/>
              <w:rPr>
                <w:rFonts w:ascii="Times New Roman" w:eastAsia="Times New Roman" w:hAnsi="Times New Roman"/>
                <w:color w:val="000000"/>
                <w:lang w:eastAsia="fr-FR"/>
              </w:rPr>
            </w:pPr>
            <w:r w:rsidRPr="00433D87">
              <w:rPr>
                <w:rFonts w:ascii="Times New Roman" w:eastAsia="Times New Roman" w:hAnsi="Times New Roman"/>
                <w:color w:val="000000"/>
                <w:lang w:eastAsia="fr-FR"/>
              </w:rPr>
              <w:t>Electricité, gaz, eau</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0,166</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0,009</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0,710</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0,185</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0,075</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0,017</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0,061</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0,031</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0,017</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0,326</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0,080</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0,032</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0,087</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0,024</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0,008</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contextualSpacing/>
              <w:jc w:val="left"/>
              <w:rPr>
                <w:rFonts w:ascii="Times New Roman" w:eastAsia="Times New Roman" w:hAnsi="Times New Roman"/>
                <w:color w:val="000000"/>
                <w:lang w:eastAsia="fr-FR"/>
              </w:rPr>
            </w:pPr>
            <w:r w:rsidRPr="00433D87">
              <w:rPr>
                <w:rFonts w:ascii="Times New Roman" w:eastAsia="Times New Roman" w:hAnsi="Times New Roman"/>
                <w:color w:val="000000"/>
                <w:lang w:eastAsia="fr-FR"/>
              </w:rPr>
              <w:t>Autres activités industrielles et artisanales</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0,372</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0,113</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0,050</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0,211</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0,089</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0,056</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0,320</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0,086</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0,036</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0,133</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0,060</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0,036</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0,317</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0,092</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0,037</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0,172</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0,067</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0,043</w:t>
            </w:r>
          </w:p>
        </w:tc>
      </w:tr>
      <w:tr w:rsidR="000E1BB7" w:rsidRPr="007B43D0"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contextualSpacing/>
              <w:jc w:val="left"/>
              <w:rPr>
                <w:rFonts w:ascii="Times New Roman" w:eastAsia="Times New Roman" w:hAnsi="Times New Roman"/>
                <w:color w:val="000000"/>
                <w:lang w:eastAsia="fr-FR"/>
              </w:rPr>
            </w:pPr>
            <w:r w:rsidRPr="00433D87">
              <w:rPr>
                <w:rFonts w:ascii="Times New Roman" w:eastAsia="Times New Roman" w:hAnsi="Times New Roman"/>
                <w:color w:val="000000"/>
                <w:lang w:eastAsia="fr-FR"/>
              </w:rPr>
              <w:t>Services financiers</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0,292</w:t>
            </w:r>
          </w:p>
        </w:tc>
        <w:tc>
          <w:tcPr>
            <w:tcW w:w="566"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0,092</w:t>
            </w:r>
          </w:p>
        </w:tc>
        <w:tc>
          <w:tcPr>
            <w:tcW w:w="713"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0,041</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71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5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0,027</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0,004</w:t>
            </w:r>
          </w:p>
        </w:tc>
        <w:tc>
          <w:tcPr>
            <w:tcW w:w="732"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0,001</w:t>
            </w:r>
          </w:p>
        </w:tc>
        <w:tc>
          <w:tcPr>
            <w:tcW w:w="20"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709" w:type="dxa"/>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598" w:type="dxa"/>
            <w:shd w:val="clear" w:color="auto" w:fill="DAEEF3" w:themeFill="accent5" w:themeFillTint="33"/>
            <w:noWrap/>
            <w:tcMar>
              <w:top w:w="20" w:type="dxa"/>
              <w:left w:w="20" w:type="dxa"/>
              <w:bottom w:w="0" w:type="dxa"/>
              <w:right w:w="20" w:type="dxa"/>
            </w:tcMar>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0,000</w:t>
            </w:r>
          </w:p>
        </w:tc>
        <w:tc>
          <w:tcPr>
            <w:tcW w:w="90" w:type="dxa"/>
            <w:tcBorders>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0,173</w:t>
            </w:r>
          </w:p>
        </w:tc>
        <w:tc>
          <w:tcPr>
            <w:tcW w:w="60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0,040</w:t>
            </w:r>
          </w:p>
        </w:tc>
        <w:tc>
          <w:tcPr>
            <w:tcW w:w="805"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0,023</w:t>
            </w:r>
          </w:p>
        </w:tc>
        <w:tc>
          <w:tcPr>
            <w:tcW w:w="2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0,040</w:t>
            </w:r>
          </w:p>
        </w:tc>
        <w:tc>
          <w:tcPr>
            <w:tcW w:w="690" w:type="dxa"/>
            <w:tcBorders>
              <w:left w:val="nil"/>
              <w:righ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0,010</w:t>
            </w:r>
          </w:p>
        </w:tc>
        <w:tc>
          <w:tcPr>
            <w:tcW w:w="730" w:type="dxa"/>
            <w:gridSpan w:val="2"/>
            <w:tcBorders>
              <w:left w:val="nil"/>
            </w:tcBorders>
            <w:shd w:val="clear" w:color="auto" w:fill="DAEEF3" w:themeFill="accent5" w:themeFillTint="33"/>
            <w:vAlign w:val="center"/>
          </w:tcPr>
          <w:p w:rsidR="000E1BB7" w:rsidRPr="00433D87" w:rsidRDefault="000E1BB7" w:rsidP="0058465E">
            <w:pPr>
              <w:spacing w:line="240" w:lineRule="auto"/>
              <w:jc w:val="right"/>
              <w:rPr>
                <w:rFonts w:ascii="Times New Roman" w:hAnsi="Times New Roman"/>
                <w:color w:val="000000"/>
                <w:sz w:val="20"/>
                <w:szCs w:val="20"/>
              </w:rPr>
            </w:pPr>
            <w:r w:rsidRPr="00433D87">
              <w:rPr>
                <w:rFonts w:ascii="Times New Roman" w:hAnsi="Times New Roman"/>
                <w:color w:val="000000"/>
                <w:sz w:val="20"/>
                <w:szCs w:val="20"/>
              </w:rPr>
              <w:t>0,004</w:t>
            </w:r>
          </w:p>
        </w:tc>
      </w:tr>
      <w:tr w:rsidR="000E1BB7" w:rsidRPr="007B43D0"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contextualSpacing/>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Services d'administration publique</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0,200</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0,065</w:t>
            </w:r>
          </w:p>
        </w:tc>
        <w:tc>
          <w:tcPr>
            <w:tcW w:w="713"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0,034</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0,094</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0,040</w:t>
            </w:r>
          </w:p>
        </w:tc>
        <w:tc>
          <w:tcPr>
            <w:tcW w:w="71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0,021</w:t>
            </w:r>
          </w:p>
        </w:tc>
        <w:tc>
          <w:tcPr>
            <w:tcW w:w="5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0,213</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0,049</w:t>
            </w:r>
          </w:p>
        </w:tc>
        <w:tc>
          <w:tcPr>
            <w:tcW w:w="73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0,017</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0,074</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0,027</w:t>
            </w:r>
          </w:p>
        </w:tc>
        <w:tc>
          <w:tcPr>
            <w:tcW w:w="598"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0,014</w:t>
            </w:r>
          </w:p>
        </w:tc>
        <w:tc>
          <w:tcPr>
            <w:tcW w:w="90" w:type="dxa"/>
            <w:tcBorders>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0,181</w:t>
            </w:r>
          </w:p>
        </w:tc>
        <w:tc>
          <w:tcPr>
            <w:tcW w:w="60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0,036</w:t>
            </w:r>
          </w:p>
        </w:tc>
        <w:tc>
          <w:tcPr>
            <w:tcW w:w="80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0,012</w:t>
            </w:r>
          </w:p>
        </w:tc>
        <w:tc>
          <w:tcPr>
            <w:tcW w:w="2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0,103</w:t>
            </w:r>
          </w:p>
        </w:tc>
        <w:tc>
          <w:tcPr>
            <w:tcW w:w="69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0,028</w:t>
            </w:r>
          </w:p>
        </w:tc>
        <w:tc>
          <w:tcPr>
            <w:tcW w:w="730" w:type="dxa"/>
            <w:gridSpan w:val="2"/>
            <w:tcBorders>
              <w:lef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0,012</w:t>
            </w:r>
          </w:p>
        </w:tc>
      </w:tr>
      <w:tr w:rsidR="000E1BB7" w:rsidRPr="00E01173"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contextualSpacing/>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Services d'éducation</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0,209</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0,067</w:t>
            </w:r>
          </w:p>
        </w:tc>
        <w:tc>
          <w:tcPr>
            <w:tcW w:w="713"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0,034</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0,064</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0,022</w:t>
            </w:r>
          </w:p>
        </w:tc>
        <w:tc>
          <w:tcPr>
            <w:tcW w:w="71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0,011</w:t>
            </w:r>
          </w:p>
        </w:tc>
        <w:tc>
          <w:tcPr>
            <w:tcW w:w="5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0,140</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0,031</w:t>
            </w:r>
          </w:p>
        </w:tc>
        <w:tc>
          <w:tcPr>
            <w:tcW w:w="73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0,011</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0,033</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0,009</w:t>
            </w:r>
          </w:p>
        </w:tc>
        <w:tc>
          <w:tcPr>
            <w:tcW w:w="598"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0,003</w:t>
            </w:r>
          </w:p>
        </w:tc>
        <w:tc>
          <w:tcPr>
            <w:tcW w:w="90" w:type="dxa"/>
            <w:tcBorders>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0,169</w:t>
            </w:r>
          </w:p>
        </w:tc>
        <w:tc>
          <w:tcPr>
            <w:tcW w:w="60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0,034</w:t>
            </w:r>
          </w:p>
        </w:tc>
        <w:tc>
          <w:tcPr>
            <w:tcW w:w="80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0,011</w:t>
            </w:r>
          </w:p>
        </w:tc>
        <w:tc>
          <w:tcPr>
            <w:tcW w:w="2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0,037</w:t>
            </w:r>
          </w:p>
        </w:tc>
        <w:tc>
          <w:tcPr>
            <w:tcW w:w="69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0,010</w:t>
            </w:r>
          </w:p>
        </w:tc>
        <w:tc>
          <w:tcPr>
            <w:tcW w:w="730" w:type="dxa"/>
            <w:gridSpan w:val="2"/>
            <w:tcBorders>
              <w:lef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0,006</w:t>
            </w:r>
          </w:p>
        </w:tc>
      </w:tr>
      <w:tr w:rsidR="000E1BB7" w:rsidRPr="007B43D0"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contextualSpacing/>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Services de santé et d'action sociale</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0,103</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0,017</w:t>
            </w:r>
          </w:p>
        </w:tc>
        <w:tc>
          <w:tcPr>
            <w:tcW w:w="713"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0,005</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0,064</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0,024</w:t>
            </w:r>
          </w:p>
        </w:tc>
        <w:tc>
          <w:tcPr>
            <w:tcW w:w="71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0,014</w:t>
            </w:r>
          </w:p>
        </w:tc>
        <w:tc>
          <w:tcPr>
            <w:tcW w:w="5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0,159</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0,042</w:t>
            </w:r>
          </w:p>
        </w:tc>
        <w:tc>
          <w:tcPr>
            <w:tcW w:w="73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0,016</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0,127</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0,057</w:t>
            </w:r>
          </w:p>
        </w:tc>
        <w:tc>
          <w:tcPr>
            <w:tcW w:w="598"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0,039</w:t>
            </w:r>
          </w:p>
        </w:tc>
        <w:tc>
          <w:tcPr>
            <w:tcW w:w="90" w:type="dxa"/>
            <w:tcBorders>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0,249</w:t>
            </w:r>
          </w:p>
        </w:tc>
        <w:tc>
          <w:tcPr>
            <w:tcW w:w="60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0,071</w:t>
            </w:r>
          </w:p>
        </w:tc>
        <w:tc>
          <w:tcPr>
            <w:tcW w:w="80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0,028</w:t>
            </w:r>
          </w:p>
        </w:tc>
        <w:tc>
          <w:tcPr>
            <w:tcW w:w="2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0,057</w:t>
            </w:r>
          </w:p>
        </w:tc>
        <w:tc>
          <w:tcPr>
            <w:tcW w:w="69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0,023</w:t>
            </w:r>
          </w:p>
        </w:tc>
        <w:tc>
          <w:tcPr>
            <w:tcW w:w="730" w:type="dxa"/>
            <w:gridSpan w:val="2"/>
            <w:tcBorders>
              <w:lef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0,012</w:t>
            </w:r>
          </w:p>
        </w:tc>
      </w:tr>
      <w:tr w:rsidR="000E1BB7" w:rsidRPr="007B43D0"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contextualSpacing/>
              <w:jc w:val="left"/>
              <w:rPr>
                <w:rFonts w:ascii="Times New Roman" w:eastAsia="Times New Roman" w:hAnsi="Times New Roman"/>
                <w:color w:val="000000"/>
                <w:lang w:eastAsia="fr-FR"/>
              </w:rPr>
            </w:pPr>
            <w:r w:rsidRPr="00B76D0A">
              <w:rPr>
                <w:rFonts w:ascii="Times New Roman" w:eastAsia="Times New Roman" w:hAnsi="Times New Roman"/>
                <w:color w:val="000000"/>
                <w:lang w:eastAsia="fr-FR"/>
              </w:rPr>
              <w:t>Autres services</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0,209</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0,058</w:t>
            </w:r>
          </w:p>
        </w:tc>
        <w:tc>
          <w:tcPr>
            <w:tcW w:w="713"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0,024</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0,082</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0,041</w:t>
            </w:r>
          </w:p>
        </w:tc>
        <w:tc>
          <w:tcPr>
            <w:tcW w:w="71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0,030</w:t>
            </w:r>
          </w:p>
        </w:tc>
        <w:tc>
          <w:tcPr>
            <w:tcW w:w="5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0,231</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0,071</w:t>
            </w:r>
          </w:p>
        </w:tc>
        <w:tc>
          <w:tcPr>
            <w:tcW w:w="73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0,034</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0,221</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0,113</w:t>
            </w:r>
          </w:p>
        </w:tc>
        <w:tc>
          <w:tcPr>
            <w:tcW w:w="598"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0,082</w:t>
            </w:r>
          </w:p>
        </w:tc>
        <w:tc>
          <w:tcPr>
            <w:tcW w:w="90" w:type="dxa"/>
            <w:tcBorders>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0,291</w:t>
            </w:r>
          </w:p>
        </w:tc>
        <w:tc>
          <w:tcPr>
            <w:tcW w:w="60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0,083</w:t>
            </w:r>
          </w:p>
        </w:tc>
        <w:tc>
          <w:tcPr>
            <w:tcW w:w="80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0,034</w:t>
            </w:r>
          </w:p>
        </w:tc>
        <w:tc>
          <w:tcPr>
            <w:tcW w:w="2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0,134</w:t>
            </w:r>
          </w:p>
        </w:tc>
        <w:tc>
          <w:tcPr>
            <w:tcW w:w="69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0,065</w:t>
            </w:r>
          </w:p>
        </w:tc>
        <w:tc>
          <w:tcPr>
            <w:tcW w:w="730" w:type="dxa"/>
            <w:gridSpan w:val="2"/>
            <w:tcBorders>
              <w:lef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0,044</w:t>
            </w:r>
          </w:p>
        </w:tc>
      </w:tr>
      <w:tr w:rsidR="000E1BB7" w:rsidRPr="00433D87"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contextualSpacing/>
              <w:rPr>
                <w:rFonts w:ascii="Times New Roman" w:eastAsia="Times New Roman" w:hAnsi="Times New Roman"/>
                <w:color w:val="000000"/>
                <w:lang w:eastAsia="fr-FR"/>
              </w:rPr>
            </w:pPr>
            <w:r w:rsidRPr="00B01451">
              <w:rPr>
                <w:rFonts w:ascii="Times New Roman" w:eastAsia="Times New Roman" w:hAnsi="Times New Roman"/>
                <w:color w:val="000000"/>
                <w:lang w:eastAsia="fr-FR"/>
              </w:rPr>
              <w:t>Artisanat, culture et tourisme</w:t>
            </w:r>
          </w:p>
        </w:tc>
        <w:tc>
          <w:tcPr>
            <w:tcW w:w="566" w:type="dxa"/>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0,345</w:t>
            </w:r>
          </w:p>
        </w:tc>
        <w:tc>
          <w:tcPr>
            <w:tcW w:w="566" w:type="dxa"/>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0,103</w:t>
            </w:r>
          </w:p>
        </w:tc>
        <w:tc>
          <w:tcPr>
            <w:tcW w:w="713" w:type="dxa"/>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0,047</w:t>
            </w:r>
          </w:p>
        </w:tc>
        <w:tc>
          <w:tcPr>
            <w:tcW w:w="20"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p>
        </w:tc>
        <w:tc>
          <w:tcPr>
            <w:tcW w:w="542"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0,441</w:t>
            </w:r>
          </w:p>
        </w:tc>
        <w:tc>
          <w:tcPr>
            <w:tcW w:w="709"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0,225</w:t>
            </w:r>
          </w:p>
        </w:tc>
        <w:tc>
          <w:tcPr>
            <w:tcW w:w="713"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0,153</w:t>
            </w:r>
          </w:p>
        </w:tc>
        <w:tc>
          <w:tcPr>
            <w:tcW w:w="52"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p>
        </w:tc>
        <w:tc>
          <w:tcPr>
            <w:tcW w:w="633"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0,286</w:t>
            </w:r>
          </w:p>
        </w:tc>
        <w:tc>
          <w:tcPr>
            <w:tcW w:w="709"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0,070</w:t>
            </w:r>
          </w:p>
        </w:tc>
        <w:tc>
          <w:tcPr>
            <w:tcW w:w="732"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0,026</w:t>
            </w:r>
          </w:p>
        </w:tc>
        <w:tc>
          <w:tcPr>
            <w:tcW w:w="20"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p>
        </w:tc>
        <w:tc>
          <w:tcPr>
            <w:tcW w:w="689"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0,350</w:t>
            </w:r>
          </w:p>
        </w:tc>
        <w:tc>
          <w:tcPr>
            <w:tcW w:w="709" w:type="dxa"/>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0,165</w:t>
            </w:r>
          </w:p>
        </w:tc>
        <w:tc>
          <w:tcPr>
            <w:tcW w:w="598" w:type="dxa"/>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0,109</w:t>
            </w:r>
          </w:p>
        </w:tc>
        <w:tc>
          <w:tcPr>
            <w:tcW w:w="90" w:type="dxa"/>
            <w:tcBorders>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0,315</w:t>
            </w:r>
          </w:p>
        </w:tc>
        <w:tc>
          <w:tcPr>
            <w:tcW w:w="600" w:type="dxa"/>
            <w:tcBorders>
              <w:left w:val="nil"/>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0,084</w:t>
            </w:r>
          </w:p>
        </w:tc>
        <w:tc>
          <w:tcPr>
            <w:tcW w:w="805" w:type="dxa"/>
            <w:tcBorders>
              <w:left w:val="nil"/>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Arial" w:hAnsi="Arial" w:cs="Arial"/>
                <w:color w:val="000000"/>
                <w:sz w:val="18"/>
                <w:szCs w:val="18"/>
              </w:rPr>
              <w:t>0,032</w:t>
            </w:r>
          </w:p>
        </w:tc>
        <w:tc>
          <w:tcPr>
            <w:tcW w:w="20" w:type="dxa"/>
            <w:tcBorders>
              <w:left w:val="nil"/>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0,295</w:t>
            </w:r>
          </w:p>
        </w:tc>
        <w:tc>
          <w:tcPr>
            <w:tcW w:w="690" w:type="dxa"/>
            <w:tcBorders>
              <w:left w:val="nil"/>
              <w:righ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0,131</w:t>
            </w:r>
          </w:p>
        </w:tc>
        <w:tc>
          <w:tcPr>
            <w:tcW w:w="730" w:type="dxa"/>
            <w:gridSpan w:val="2"/>
            <w:tcBorders>
              <w:left w:val="nil"/>
            </w:tcBorders>
            <w:shd w:val="clear" w:color="auto" w:fill="DAEEF3" w:themeFill="accent5" w:themeFillTint="33"/>
            <w:vAlign w:val="center"/>
          </w:tcPr>
          <w:p w:rsidR="000E1BB7" w:rsidRPr="00B01451" w:rsidRDefault="000E1BB7" w:rsidP="0058465E">
            <w:pPr>
              <w:spacing w:line="240" w:lineRule="auto"/>
              <w:jc w:val="center"/>
              <w:rPr>
                <w:rFonts w:ascii="Times New Roman" w:hAnsi="Times New Roman"/>
                <w:color w:val="000000"/>
                <w:sz w:val="20"/>
                <w:szCs w:val="20"/>
              </w:rPr>
            </w:pPr>
            <w:r w:rsidRPr="00B01451">
              <w:rPr>
                <w:rFonts w:ascii="Times New Roman" w:hAnsi="Times New Roman"/>
                <w:color w:val="000000"/>
                <w:sz w:val="20"/>
                <w:szCs w:val="20"/>
              </w:rPr>
              <w:t>0,089</w:t>
            </w:r>
          </w:p>
        </w:tc>
      </w:tr>
      <w:tr w:rsidR="000E1BB7" w:rsidRPr="007B43D0"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left"/>
              <w:rPr>
                <w:rFonts w:ascii="Times New Roman" w:eastAsia="Times New Roman" w:hAnsi="Times New Roman"/>
                <w:color w:val="000000"/>
                <w:sz w:val="24"/>
                <w:szCs w:val="24"/>
                <w:lang w:eastAsia="fr-FR"/>
              </w:rPr>
            </w:pPr>
            <w:r w:rsidRPr="00B01451">
              <w:rPr>
                <w:rFonts w:ascii="Times New Roman" w:eastAsia="Times New Roman" w:hAnsi="Times New Roman"/>
                <w:color w:val="000000"/>
                <w:sz w:val="24"/>
                <w:szCs w:val="24"/>
                <w:lang w:eastAsia="fr-FR"/>
              </w:rPr>
              <w:t>Inactifs</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0,360</w:t>
            </w:r>
          </w:p>
        </w:tc>
        <w:tc>
          <w:tcPr>
            <w:tcW w:w="566"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0,116</w:t>
            </w:r>
          </w:p>
        </w:tc>
        <w:tc>
          <w:tcPr>
            <w:tcW w:w="713"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0,056</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0,367</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0,175</w:t>
            </w:r>
          </w:p>
        </w:tc>
        <w:tc>
          <w:tcPr>
            <w:tcW w:w="71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0,114</w:t>
            </w:r>
          </w:p>
        </w:tc>
        <w:tc>
          <w:tcPr>
            <w:tcW w:w="5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0,237</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0,074</w:t>
            </w:r>
          </w:p>
        </w:tc>
        <w:tc>
          <w:tcPr>
            <w:tcW w:w="73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0,034</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0,288</w:t>
            </w:r>
          </w:p>
        </w:tc>
        <w:tc>
          <w:tcPr>
            <w:tcW w:w="709"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0,135</w:t>
            </w:r>
          </w:p>
        </w:tc>
        <w:tc>
          <w:tcPr>
            <w:tcW w:w="598" w:type="dxa"/>
            <w:shd w:val="clear" w:color="auto" w:fill="DAEEF3" w:themeFill="accent5" w:themeFillTint="33"/>
            <w:noWrap/>
            <w:tcMar>
              <w:top w:w="20" w:type="dxa"/>
              <w:left w:w="20" w:type="dxa"/>
              <w:bottom w:w="0" w:type="dxa"/>
              <w:right w:w="20" w:type="dxa"/>
            </w:tcMar>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0,088</w:t>
            </w:r>
          </w:p>
        </w:tc>
        <w:tc>
          <w:tcPr>
            <w:tcW w:w="90" w:type="dxa"/>
            <w:tcBorders>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0,281</w:t>
            </w:r>
          </w:p>
        </w:tc>
        <w:tc>
          <w:tcPr>
            <w:tcW w:w="60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0,080</w:t>
            </w:r>
          </w:p>
        </w:tc>
        <w:tc>
          <w:tcPr>
            <w:tcW w:w="805"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0,033</w:t>
            </w:r>
          </w:p>
        </w:tc>
        <w:tc>
          <w:tcPr>
            <w:tcW w:w="2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0,238</w:t>
            </w:r>
          </w:p>
        </w:tc>
        <w:tc>
          <w:tcPr>
            <w:tcW w:w="69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0,107</w:t>
            </w:r>
          </w:p>
        </w:tc>
        <w:tc>
          <w:tcPr>
            <w:tcW w:w="730" w:type="dxa"/>
            <w:gridSpan w:val="2"/>
            <w:tcBorders>
              <w:lef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E5C77">
              <w:rPr>
                <w:rFonts w:ascii="Times New Roman" w:hAnsi="Times New Roman"/>
                <w:color w:val="000000"/>
                <w:sz w:val="20"/>
                <w:szCs w:val="20"/>
              </w:rPr>
              <w:t>0,071</w:t>
            </w:r>
          </w:p>
        </w:tc>
      </w:tr>
      <w:tr w:rsidR="000E1BB7" w:rsidRPr="007B43D0" w:rsidTr="00AD3072">
        <w:trPr>
          <w:trHeight w:val="142"/>
        </w:trPr>
        <w:tc>
          <w:tcPr>
            <w:tcW w:w="2550" w:type="dxa"/>
            <w:shd w:val="clear" w:color="auto" w:fill="DAEEF3" w:themeFill="accent5" w:themeFillTint="33"/>
            <w:noWrap/>
            <w:tcMar>
              <w:top w:w="20" w:type="dxa"/>
              <w:left w:w="20" w:type="dxa"/>
              <w:bottom w:w="0" w:type="dxa"/>
              <w:right w:w="20" w:type="dxa"/>
            </w:tcMar>
            <w:vAlign w:val="center"/>
          </w:tcPr>
          <w:p w:rsidR="000E1BB7" w:rsidRDefault="000E1BB7" w:rsidP="0058465E">
            <w:pPr>
              <w:spacing w:line="240" w:lineRule="auto"/>
              <w:jc w:val="left"/>
              <w:rPr>
                <w:rFonts w:ascii="Times New Roman" w:eastAsia="Times New Roman" w:hAnsi="Times New Roman"/>
                <w:color w:val="000000"/>
                <w:sz w:val="24"/>
                <w:szCs w:val="24"/>
                <w:lang w:eastAsia="fr-FR"/>
              </w:rPr>
            </w:pPr>
            <w:r>
              <w:rPr>
                <w:rFonts w:ascii="Times New Roman" w:eastAsia="Times New Roman" w:hAnsi="Times New Roman"/>
                <w:color w:val="000000"/>
                <w:sz w:val="24"/>
                <w:szCs w:val="24"/>
                <w:lang w:eastAsia="fr-FR"/>
              </w:rPr>
              <w:t>Non déclarés</w:t>
            </w:r>
          </w:p>
        </w:tc>
        <w:tc>
          <w:tcPr>
            <w:tcW w:w="566" w:type="dxa"/>
            <w:shd w:val="clear" w:color="auto" w:fill="DAEEF3" w:themeFill="accent5" w:themeFillTint="33"/>
            <w:noWrap/>
            <w:tcMar>
              <w:top w:w="20" w:type="dxa"/>
              <w:left w:w="20" w:type="dxa"/>
              <w:bottom w:w="0" w:type="dxa"/>
              <w:right w:w="20" w:type="dxa"/>
            </w:tcMar>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0,318</w:t>
            </w:r>
          </w:p>
        </w:tc>
        <w:tc>
          <w:tcPr>
            <w:tcW w:w="566" w:type="dxa"/>
            <w:shd w:val="clear" w:color="auto" w:fill="DAEEF3" w:themeFill="accent5" w:themeFillTint="33"/>
            <w:noWrap/>
            <w:tcMar>
              <w:top w:w="20" w:type="dxa"/>
              <w:left w:w="20" w:type="dxa"/>
              <w:bottom w:w="0" w:type="dxa"/>
              <w:right w:w="20" w:type="dxa"/>
            </w:tcMar>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0,092</w:t>
            </w:r>
          </w:p>
        </w:tc>
        <w:tc>
          <w:tcPr>
            <w:tcW w:w="713" w:type="dxa"/>
            <w:shd w:val="clear" w:color="auto" w:fill="DAEEF3" w:themeFill="accent5" w:themeFillTint="33"/>
            <w:noWrap/>
            <w:tcMar>
              <w:top w:w="20" w:type="dxa"/>
              <w:left w:w="20" w:type="dxa"/>
              <w:bottom w:w="0" w:type="dxa"/>
              <w:right w:w="20" w:type="dxa"/>
            </w:tcMar>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0,040</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42"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0,290</w:t>
            </w:r>
          </w:p>
        </w:tc>
        <w:tc>
          <w:tcPr>
            <w:tcW w:w="709"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0,123</w:t>
            </w:r>
          </w:p>
        </w:tc>
        <w:tc>
          <w:tcPr>
            <w:tcW w:w="713"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0,077</w:t>
            </w:r>
          </w:p>
        </w:tc>
        <w:tc>
          <w:tcPr>
            <w:tcW w:w="52"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33"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0,406</w:t>
            </w:r>
          </w:p>
        </w:tc>
        <w:tc>
          <w:tcPr>
            <w:tcW w:w="709"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0,149</w:t>
            </w:r>
          </w:p>
        </w:tc>
        <w:tc>
          <w:tcPr>
            <w:tcW w:w="732"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0,078</w:t>
            </w:r>
          </w:p>
        </w:tc>
        <w:tc>
          <w:tcPr>
            <w:tcW w:w="20" w:type="dxa"/>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689"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0,401</w:t>
            </w:r>
          </w:p>
        </w:tc>
        <w:tc>
          <w:tcPr>
            <w:tcW w:w="709" w:type="dxa"/>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0,171</w:t>
            </w:r>
          </w:p>
        </w:tc>
        <w:tc>
          <w:tcPr>
            <w:tcW w:w="598" w:type="dxa"/>
            <w:shd w:val="clear" w:color="auto" w:fill="DAEEF3" w:themeFill="accent5" w:themeFillTint="33"/>
            <w:noWrap/>
            <w:tcMar>
              <w:top w:w="20" w:type="dxa"/>
              <w:left w:w="20" w:type="dxa"/>
              <w:bottom w:w="0" w:type="dxa"/>
              <w:right w:w="20" w:type="dxa"/>
            </w:tcMar>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0,107</w:t>
            </w:r>
          </w:p>
        </w:tc>
        <w:tc>
          <w:tcPr>
            <w:tcW w:w="90" w:type="dxa"/>
            <w:tcBorders>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85" w:type="dxa"/>
            <w:tcBorders>
              <w:left w:val="nil"/>
              <w:right w:val="nil"/>
            </w:tcBorders>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0,737</w:t>
            </w:r>
          </w:p>
        </w:tc>
        <w:tc>
          <w:tcPr>
            <w:tcW w:w="600" w:type="dxa"/>
            <w:tcBorders>
              <w:left w:val="nil"/>
              <w:right w:val="nil"/>
            </w:tcBorders>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0,479</w:t>
            </w:r>
          </w:p>
        </w:tc>
        <w:tc>
          <w:tcPr>
            <w:tcW w:w="805" w:type="dxa"/>
            <w:tcBorders>
              <w:left w:val="nil"/>
              <w:right w:val="nil"/>
            </w:tcBorders>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0,327</w:t>
            </w:r>
          </w:p>
        </w:tc>
        <w:tc>
          <w:tcPr>
            <w:tcW w:w="20" w:type="dxa"/>
            <w:tcBorders>
              <w:left w:val="nil"/>
              <w:right w:val="nil"/>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p>
        </w:tc>
        <w:tc>
          <w:tcPr>
            <w:tcW w:w="570" w:type="dxa"/>
            <w:tcBorders>
              <w:left w:val="nil"/>
              <w:right w:val="nil"/>
            </w:tcBorders>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0,203</w:t>
            </w:r>
          </w:p>
        </w:tc>
        <w:tc>
          <w:tcPr>
            <w:tcW w:w="690" w:type="dxa"/>
            <w:tcBorders>
              <w:left w:val="nil"/>
              <w:right w:val="nil"/>
            </w:tcBorders>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0,123</w:t>
            </w:r>
          </w:p>
        </w:tc>
        <w:tc>
          <w:tcPr>
            <w:tcW w:w="730" w:type="dxa"/>
            <w:gridSpan w:val="2"/>
            <w:tcBorders>
              <w:left w:val="nil"/>
            </w:tcBorders>
            <w:shd w:val="clear" w:color="auto" w:fill="DAEEF3" w:themeFill="accent5" w:themeFillTint="33"/>
          </w:tcPr>
          <w:p w:rsidR="000E1BB7" w:rsidRPr="00BE5C77" w:rsidRDefault="000E1BB7" w:rsidP="0058465E">
            <w:pPr>
              <w:spacing w:line="240" w:lineRule="auto"/>
              <w:jc w:val="right"/>
              <w:rPr>
                <w:rFonts w:ascii="Times New Roman" w:hAnsi="Times New Roman"/>
                <w:color w:val="000000"/>
                <w:sz w:val="20"/>
                <w:szCs w:val="20"/>
              </w:rPr>
            </w:pPr>
            <w:r>
              <w:rPr>
                <w:rFonts w:ascii="Arial" w:hAnsi="Arial" w:cs="Arial"/>
                <w:color w:val="000000"/>
                <w:sz w:val="18"/>
                <w:szCs w:val="18"/>
              </w:rPr>
              <w:t>0,098</w:t>
            </w:r>
          </w:p>
        </w:tc>
      </w:tr>
      <w:tr w:rsidR="000E1BB7" w:rsidRPr="007B43D0" w:rsidTr="00AD3072">
        <w:trPr>
          <w:trHeight w:val="142"/>
        </w:trPr>
        <w:tc>
          <w:tcPr>
            <w:tcW w:w="2550"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tcPr>
          <w:p w:rsidR="000E1BB7" w:rsidRPr="00B01451" w:rsidRDefault="000E1BB7" w:rsidP="0058465E">
            <w:pPr>
              <w:spacing w:line="240" w:lineRule="auto"/>
              <w:rPr>
                <w:rFonts w:ascii="Times New Roman" w:hAnsi="Times New Roman"/>
                <w:b/>
                <w:sz w:val="24"/>
                <w:szCs w:val="24"/>
              </w:rPr>
            </w:pPr>
            <w:r w:rsidRPr="00B01451">
              <w:rPr>
                <w:rFonts w:ascii="Times New Roman" w:hAnsi="Times New Roman"/>
                <w:b/>
                <w:sz w:val="24"/>
                <w:szCs w:val="24"/>
              </w:rPr>
              <w:t>Ensemble</w:t>
            </w:r>
          </w:p>
        </w:tc>
        <w:tc>
          <w:tcPr>
            <w:tcW w:w="566"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0,375</w:t>
            </w:r>
          </w:p>
        </w:tc>
        <w:tc>
          <w:tcPr>
            <w:tcW w:w="566"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0,116</w:t>
            </w:r>
          </w:p>
        </w:tc>
        <w:tc>
          <w:tcPr>
            <w:tcW w:w="713"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0,054</w:t>
            </w:r>
          </w:p>
        </w:tc>
        <w:tc>
          <w:tcPr>
            <w:tcW w:w="20"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 </w:t>
            </w:r>
          </w:p>
        </w:tc>
        <w:tc>
          <w:tcPr>
            <w:tcW w:w="542"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0,441</w:t>
            </w:r>
          </w:p>
        </w:tc>
        <w:tc>
          <w:tcPr>
            <w:tcW w:w="709"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0,225</w:t>
            </w:r>
          </w:p>
        </w:tc>
        <w:tc>
          <w:tcPr>
            <w:tcW w:w="713"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0,153</w:t>
            </w:r>
          </w:p>
        </w:tc>
        <w:tc>
          <w:tcPr>
            <w:tcW w:w="52"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 </w:t>
            </w:r>
          </w:p>
        </w:tc>
        <w:tc>
          <w:tcPr>
            <w:tcW w:w="633"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0,352</w:t>
            </w:r>
          </w:p>
        </w:tc>
        <w:tc>
          <w:tcPr>
            <w:tcW w:w="709"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0,104</w:t>
            </w:r>
          </w:p>
        </w:tc>
        <w:tc>
          <w:tcPr>
            <w:tcW w:w="732"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0,045</w:t>
            </w:r>
          </w:p>
        </w:tc>
        <w:tc>
          <w:tcPr>
            <w:tcW w:w="20"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 </w:t>
            </w:r>
          </w:p>
        </w:tc>
        <w:tc>
          <w:tcPr>
            <w:tcW w:w="689"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0,350</w:t>
            </w:r>
          </w:p>
        </w:tc>
        <w:tc>
          <w:tcPr>
            <w:tcW w:w="709" w:type="dxa"/>
            <w:tcBorders>
              <w:top w:val="single" w:sz="4" w:space="0" w:color="auto"/>
              <w:bottom w:val="double" w:sz="4" w:space="0" w:color="auto"/>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0,165</w:t>
            </w:r>
          </w:p>
        </w:tc>
        <w:tc>
          <w:tcPr>
            <w:tcW w:w="598" w:type="dxa"/>
            <w:tcBorders>
              <w:top w:val="single" w:sz="4" w:space="0" w:color="auto"/>
              <w:bottom w:val="double" w:sz="4" w:space="0" w:color="auto"/>
            </w:tcBorders>
            <w:shd w:val="clear" w:color="auto" w:fill="DAEEF3" w:themeFill="accent5" w:themeFillTint="33"/>
            <w:noWrap/>
            <w:tcMar>
              <w:top w:w="20" w:type="dxa"/>
              <w:left w:w="20" w:type="dxa"/>
              <w:bottom w:w="0" w:type="dxa"/>
              <w:right w:w="20" w:type="dxa"/>
            </w:tcMar>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0,109</w:t>
            </w:r>
          </w:p>
        </w:tc>
        <w:tc>
          <w:tcPr>
            <w:tcW w:w="90" w:type="dxa"/>
            <w:tcBorders>
              <w:top w:val="single" w:sz="4" w:space="0" w:color="auto"/>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 </w:t>
            </w:r>
          </w:p>
        </w:tc>
        <w:tc>
          <w:tcPr>
            <w:tcW w:w="585" w:type="dxa"/>
            <w:tcBorders>
              <w:top w:val="single" w:sz="4" w:space="0" w:color="auto"/>
              <w:left w:val="nil"/>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0,362</w:t>
            </w:r>
          </w:p>
        </w:tc>
        <w:tc>
          <w:tcPr>
            <w:tcW w:w="600" w:type="dxa"/>
            <w:tcBorders>
              <w:top w:val="single" w:sz="4" w:space="0" w:color="auto"/>
              <w:left w:val="nil"/>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0,098</w:t>
            </w:r>
          </w:p>
        </w:tc>
        <w:tc>
          <w:tcPr>
            <w:tcW w:w="805" w:type="dxa"/>
            <w:tcBorders>
              <w:top w:val="single" w:sz="4" w:space="0" w:color="auto"/>
              <w:left w:val="nil"/>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0,039</w:t>
            </w:r>
          </w:p>
        </w:tc>
        <w:tc>
          <w:tcPr>
            <w:tcW w:w="20" w:type="dxa"/>
            <w:tcBorders>
              <w:top w:val="single" w:sz="4" w:space="0" w:color="auto"/>
              <w:left w:val="nil"/>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 </w:t>
            </w:r>
          </w:p>
        </w:tc>
        <w:tc>
          <w:tcPr>
            <w:tcW w:w="570" w:type="dxa"/>
            <w:tcBorders>
              <w:top w:val="single" w:sz="4" w:space="0" w:color="auto"/>
              <w:left w:val="nil"/>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0,295</w:t>
            </w:r>
          </w:p>
        </w:tc>
        <w:tc>
          <w:tcPr>
            <w:tcW w:w="690" w:type="dxa"/>
            <w:tcBorders>
              <w:top w:val="single" w:sz="4" w:space="0" w:color="auto"/>
              <w:left w:val="nil"/>
              <w:bottom w:val="double" w:sz="4" w:space="0" w:color="auto"/>
              <w:right w:val="nil"/>
            </w:tcBorders>
            <w:shd w:val="clear" w:color="auto" w:fill="DAEEF3" w:themeFill="accent5" w:themeFillTint="33"/>
            <w:vAlign w:val="center"/>
          </w:tcPr>
          <w:p w:rsidR="000E1BB7" w:rsidRPr="00B01451"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0,131</w:t>
            </w:r>
          </w:p>
        </w:tc>
        <w:tc>
          <w:tcPr>
            <w:tcW w:w="730" w:type="dxa"/>
            <w:gridSpan w:val="2"/>
            <w:tcBorders>
              <w:top w:val="single" w:sz="4" w:space="0" w:color="auto"/>
              <w:left w:val="nil"/>
              <w:bottom w:val="double" w:sz="4" w:space="0" w:color="auto"/>
            </w:tcBorders>
            <w:shd w:val="clear" w:color="auto" w:fill="DAEEF3" w:themeFill="accent5" w:themeFillTint="33"/>
            <w:vAlign w:val="center"/>
          </w:tcPr>
          <w:p w:rsidR="000E1BB7" w:rsidRPr="00BE5C77" w:rsidRDefault="000E1BB7" w:rsidP="0058465E">
            <w:pPr>
              <w:spacing w:line="240" w:lineRule="auto"/>
              <w:jc w:val="right"/>
              <w:rPr>
                <w:rFonts w:ascii="Times New Roman" w:hAnsi="Times New Roman"/>
                <w:color w:val="000000"/>
                <w:sz w:val="20"/>
                <w:szCs w:val="20"/>
              </w:rPr>
            </w:pPr>
            <w:r w:rsidRPr="00B01451">
              <w:rPr>
                <w:rFonts w:ascii="Times New Roman" w:hAnsi="Times New Roman"/>
                <w:color w:val="000000"/>
                <w:sz w:val="20"/>
                <w:szCs w:val="20"/>
              </w:rPr>
              <w:t>0,089</w:t>
            </w:r>
          </w:p>
        </w:tc>
      </w:tr>
      <w:tr w:rsidR="00AD3072" w:rsidTr="00AD3072">
        <w:tblPrEx>
          <w:tblCellMar>
            <w:left w:w="70" w:type="dxa"/>
            <w:right w:w="70" w:type="dxa"/>
          </w:tblCellMar>
          <w:tblLook w:val="04A0" w:firstRow="1" w:lastRow="0" w:firstColumn="1" w:lastColumn="0" w:noHBand="0" w:noVBand="1"/>
        </w:tblPrEx>
        <w:trPr>
          <w:gridAfter w:val="1"/>
          <w:wAfter w:w="10" w:type="dxa"/>
          <w:trHeight w:val="315"/>
        </w:trPr>
        <w:tc>
          <w:tcPr>
            <w:tcW w:w="14601" w:type="dxa"/>
            <w:gridSpan w:val="24"/>
            <w:tcBorders>
              <w:top w:val="double" w:sz="4" w:space="0" w:color="auto"/>
              <w:left w:val="nil"/>
              <w:bottom w:val="nil"/>
              <w:right w:val="nil"/>
            </w:tcBorders>
            <w:shd w:val="clear" w:color="auto" w:fill="DAEEF3" w:themeFill="accent5" w:themeFillTint="33"/>
            <w:noWrap/>
            <w:vAlign w:val="center"/>
            <w:hideMark/>
          </w:tcPr>
          <w:p w:rsidR="00AD3072" w:rsidRDefault="00AD3072" w:rsidP="00380F42">
            <w:pPr>
              <w:spacing w:line="240" w:lineRule="auto"/>
              <w:rPr>
                <w:rFonts w:ascii="Times New Roman" w:hAnsi="Times New Roman"/>
                <w:sz w:val="24"/>
                <w:szCs w:val="24"/>
              </w:rPr>
            </w:pPr>
            <w:r w:rsidRPr="007B43D0">
              <w:rPr>
                <w:rFonts w:ascii="Times New Roman" w:hAnsi="Times New Roman"/>
                <w:sz w:val="24"/>
                <w:szCs w:val="24"/>
              </w:rPr>
              <w:t>Source : INSAE, EMICoV (2006, 2009, 2011)</w:t>
            </w:r>
          </w:p>
        </w:tc>
      </w:tr>
    </w:tbl>
    <w:p w:rsidR="00085EB0" w:rsidRDefault="00085EB0" w:rsidP="00AF5F7B">
      <w:pPr>
        <w:spacing w:line="276" w:lineRule="auto"/>
        <w:rPr>
          <w:rFonts w:ascii="Times New Roman" w:hAnsi="Times New Roman"/>
          <w:sz w:val="24"/>
          <w:szCs w:val="24"/>
        </w:rPr>
        <w:sectPr w:rsidR="00085EB0" w:rsidSect="00910B84">
          <w:headerReference w:type="default" r:id="rId92"/>
          <w:pgSz w:w="16838" w:h="11906" w:orient="landscape"/>
          <w:pgMar w:top="1418" w:right="1219" w:bottom="1418" w:left="1418" w:header="284" w:footer="709" w:gutter="0"/>
          <w:cols w:space="708"/>
          <w:docGrid w:linePitch="360"/>
        </w:sectPr>
      </w:pPr>
    </w:p>
    <w:p w:rsidR="00AD3072" w:rsidRDefault="00AD3072" w:rsidP="00AF5F7B">
      <w:pPr>
        <w:spacing w:line="276" w:lineRule="auto"/>
        <w:rPr>
          <w:rFonts w:ascii="Times New Roman" w:hAnsi="Times New Roman"/>
          <w:sz w:val="24"/>
          <w:szCs w:val="24"/>
        </w:rPr>
      </w:pPr>
    </w:p>
    <w:tbl>
      <w:tblPr>
        <w:tblW w:w="9252" w:type="dxa"/>
        <w:jc w:val="center"/>
        <w:tblCellMar>
          <w:left w:w="70" w:type="dxa"/>
          <w:right w:w="70" w:type="dxa"/>
        </w:tblCellMar>
        <w:tblLook w:val="04A0" w:firstRow="1" w:lastRow="0" w:firstColumn="1" w:lastColumn="0" w:noHBand="0" w:noVBand="1"/>
      </w:tblPr>
      <w:tblGrid>
        <w:gridCol w:w="2160"/>
        <w:gridCol w:w="1623"/>
        <w:gridCol w:w="843"/>
        <w:gridCol w:w="779"/>
        <w:gridCol w:w="852"/>
        <w:gridCol w:w="779"/>
        <w:gridCol w:w="852"/>
        <w:gridCol w:w="1364"/>
      </w:tblGrid>
      <w:tr w:rsidR="00AD3072" w:rsidRPr="004348DC" w:rsidTr="00AD3072">
        <w:trPr>
          <w:trHeight w:val="284"/>
          <w:jc w:val="center"/>
        </w:trPr>
        <w:tc>
          <w:tcPr>
            <w:tcW w:w="9252" w:type="dxa"/>
            <w:gridSpan w:val="8"/>
            <w:shd w:val="clear" w:color="auto" w:fill="92CDDC" w:themeFill="accent5" w:themeFillTint="99"/>
            <w:vAlign w:val="center"/>
            <w:hideMark/>
          </w:tcPr>
          <w:p w:rsidR="00AD3072" w:rsidRPr="004348DC" w:rsidRDefault="00AD3072" w:rsidP="00AD3072">
            <w:pPr>
              <w:spacing w:line="240" w:lineRule="auto"/>
              <w:jc w:val="left"/>
              <w:rPr>
                <w:rFonts w:ascii="Times New Roman" w:eastAsia="Times New Roman" w:hAnsi="Times New Roman"/>
                <w:color w:val="000000"/>
                <w:sz w:val="18"/>
                <w:szCs w:val="18"/>
                <w:lang w:eastAsia="fr-FR"/>
              </w:rPr>
            </w:pPr>
            <w:bookmarkStart w:id="223" w:name="_Toc373430322"/>
            <w:r w:rsidRPr="00AC5D5F">
              <w:rPr>
                <w:rFonts w:ascii="Times New Roman" w:hAnsi="Times New Roman"/>
                <w:sz w:val="24"/>
                <w:szCs w:val="24"/>
              </w:rPr>
              <w:t xml:space="preserve">Tableau A2. </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Tableau_A2.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4</w:t>
            </w:r>
            <w:r w:rsidR="00182C97" w:rsidRPr="00AC5D5F">
              <w:rPr>
                <w:rFonts w:ascii="Times New Roman" w:hAnsi="Times New Roman"/>
                <w:sz w:val="24"/>
                <w:szCs w:val="24"/>
              </w:rPr>
              <w:fldChar w:fldCharType="end"/>
            </w:r>
            <w:r w:rsidRPr="00AC5D5F">
              <w:rPr>
                <w:rFonts w:ascii="Times New Roman" w:hAnsi="Times New Roman"/>
                <w:sz w:val="24"/>
                <w:szCs w:val="24"/>
              </w:rPr>
              <w:t>: Matrice de transition dans les quintiles de dépenses par tête entre 2006 et 2009</w:t>
            </w:r>
            <w:bookmarkEnd w:id="223"/>
          </w:p>
        </w:tc>
      </w:tr>
      <w:tr w:rsidR="00AF5F7B" w:rsidRPr="004348DC" w:rsidTr="00AD3072">
        <w:tblPrEx>
          <w:tblBorders>
            <w:top w:val="double" w:sz="4" w:space="0" w:color="auto"/>
            <w:bottom w:val="double" w:sz="4" w:space="0" w:color="auto"/>
          </w:tblBorders>
        </w:tblPrEx>
        <w:trPr>
          <w:trHeight w:val="284"/>
          <w:jc w:val="center"/>
        </w:trPr>
        <w:tc>
          <w:tcPr>
            <w:tcW w:w="3783" w:type="dxa"/>
            <w:gridSpan w:val="2"/>
            <w:vMerge w:val="restart"/>
            <w:tcBorders>
              <w:top w:val="double" w:sz="4" w:space="0" w:color="auto"/>
              <w:bottom w:val="nil"/>
            </w:tcBorders>
            <w:shd w:val="clear" w:color="auto" w:fill="DAEEF3" w:themeFill="accent5" w:themeFillTint="33"/>
            <w:vAlign w:val="bottom"/>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p>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xml:space="preserve">Quintiles de dépenses </w:t>
            </w:r>
          </w:p>
          <w:p w:rsidR="00AF5F7B" w:rsidRPr="004348DC" w:rsidRDefault="00AF5F7B" w:rsidP="004E5410">
            <w:pPr>
              <w:spacing w:line="240" w:lineRule="auto"/>
              <w:jc w:val="right"/>
              <w:rPr>
                <w:rFonts w:ascii="Times New Roman" w:eastAsia="Times New Roman" w:hAnsi="Times New Roman"/>
                <w:sz w:val="18"/>
                <w:szCs w:val="18"/>
                <w:lang w:eastAsia="fr-FR"/>
              </w:rPr>
            </w:pPr>
            <w:r w:rsidRPr="004348DC">
              <w:rPr>
                <w:rFonts w:ascii="Times New Roman" w:eastAsia="Times New Roman" w:hAnsi="Times New Roman"/>
                <w:color w:val="000000"/>
                <w:sz w:val="18"/>
                <w:szCs w:val="18"/>
                <w:lang w:eastAsia="fr-FR"/>
              </w:rPr>
              <w:t>par tête en 2006</w:t>
            </w:r>
          </w:p>
        </w:tc>
        <w:tc>
          <w:tcPr>
            <w:tcW w:w="5469" w:type="dxa"/>
            <w:gridSpan w:val="6"/>
            <w:tcBorders>
              <w:top w:val="double" w:sz="4" w:space="0" w:color="auto"/>
              <w:bottom w:val="nil"/>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Quintiles de dépenses par tête en 2009</w:t>
            </w:r>
          </w:p>
        </w:tc>
      </w:tr>
      <w:tr w:rsidR="00AF5F7B" w:rsidRPr="004348DC" w:rsidTr="00AD3072">
        <w:tblPrEx>
          <w:tblBorders>
            <w:top w:val="double" w:sz="4" w:space="0" w:color="auto"/>
            <w:bottom w:val="double" w:sz="4" w:space="0" w:color="auto"/>
          </w:tblBorders>
        </w:tblPrEx>
        <w:trPr>
          <w:trHeight w:val="284"/>
          <w:jc w:val="center"/>
        </w:trPr>
        <w:tc>
          <w:tcPr>
            <w:tcW w:w="3783" w:type="dxa"/>
            <w:gridSpan w:val="2"/>
            <w:vMerge/>
            <w:tcBorders>
              <w:top w:val="nil"/>
              <w:bottom w:val="single" w:sz="4" w:space="0" w:color="auto"/>
            </w:tcBorders>
            <w:shd w:val="clear" w:color="auto" w:fill="DAEEF3" w:themeFill="accent5" w:themeFillTint="33"/>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p>
        </w:tc>
        <w:tc>
          <w:tcPr>
            <w:tcW w:w="843" w:type="dxa"/>
            <w:tcBorders>
              <w:top w:val="nil"/>
              <w:bottom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pauvres</w:t>
            </w:r>
          </w:p>
        </w:tc>
        <w:tc>
          <w:tcPr>
            <w:tcW w:w="779" w:type="dxa"/>
            <w:tcBorders>
              <w:top w:val="nil"/>
              <w:bottom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Pauvres</w:t>
            </w:r>
          </w:p>
        </w:tc>
        <w:tc>
          <w:tcPr>
            <w:tcW w:w="852" w:type="dxa"/>
            <w:tcBorders>
              <w:top w:val="nil"/>
              <w:bottom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Moyens</w:t>
            </w:r>
          </w:p>
        </w:tc>
        <w:tc>
          <w:tcPr>
            <w:tcW w:w="779" w:type="dxa"/>
            <w:tcBorders>
              <w:top w:val="nil"/>
              <w:bottom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Riches</w:t>
            </w:r>
          </w:p>
        </w:tc>
        <w:tc>
          <w:tcPr>
            <w:tcW w:w="852" w:type="dxa"/>
            <w:tcBorders>
              <w:top w:val="nil"/>
              <w:bottom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riches</w:t>
            </w:r>
          </w:p>
        </w:tc>
        <w:tc>
          <w:tcPr>
            <w:tcW w:w="1364" w:type="dxa"/>
            <w:tcBorders>
              <w:top w:val="nil"/>
              <w:bottom w:val="single" w:sz="4" w:space="0" w:color="auto"/>
            </w:tcBorders>
            <w:shd w:val="clear" w:color="auto" w:fill="DAEEF3" w:themeFill="accent5" w:themeFillTint="33"/>
            <w:vAlign w:val="bottom"/>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hAnsi="Times New Roman"/>
                <w:sz w:val="18"/>
                <w:szCs w:val="18"/>
              </w:rPr>
              <w:t>Population totale du Panel</w:t>
            </w:r>
          </w:p>
        </w:tc>
      </w:tr>
      <w:tr w:rsidR="00AF5F7B" w:rsidRPr="004348DC" w:rsidTr="00AD3072">
        <w:tblPrEx>
          <w:tblBorders>
            <w:top w:val="double" w:sz="4" w:space="0" w:color="auto"/>
            <w:bottom w:val="double" w:sz="4" w:space="0" w:color="auto"/>
          </w:tblBorders>
        </w:tblPrEx>
        <w:trPr>
          <w:trHeight w:val="284"/>
          <w:jc w:val="center"/>
        </w:trPr>
        <w:tc>
          <w:tcPr>
            <w:tcW w:w="2160" w:type="dxa"/>
            <w:tcBorders>
              <w:top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Milieu de résidence</w:t>
            </w:r>
          </w:p>
        </w:tc>
        <w:tc>
          <w:tcPr>
            <w:tcW w:w="1623" w:type="dxa"/>
            <w:tcBorders>
              <w:top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center"/>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843" w:type="dxa"/>
            <w:tcBorders>
              <w:top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tcBorders>
              <w:top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52" w:type="dxa"/>
            <w:tcBorders>
              <w:top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tcBorders>
              <w:top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52" w:type="dxa"/>
            <w:tcBorders>
              <w:top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1364" w:type="dxa"/>
            <w:tcBorders>
              <w:top w:val="single" w:sz="4" w:space="0" w:color="auto"/>
            </w:tcBorders>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ind w:left="708"/>
              <w:jc w:val="left"/>
              <w:rPr>
                <w:rFonts w:ascii="Times New Roman" w:eastAsia="Times New Roman" w:hAnsi="Times New Roman"/>
                <w:sz w:val="18"/>
                <w:szCs w:val="18"/>
                <w:lang w:eastAsia="fr-FR"/>
              </w:rPr>
            </w:pPr>
            <w:r w:rsidRPr="004348DC">
              <w:rPr>
                <w:rFonts w:ascii="Times New Roman" w:eastAsia="Times New Roman" w:hAnsi="Times New Roman"/>
                <w:color w:val="000000"/>
                <w:sz w:val="18"/>
                <w:szCs w:val="18"/>
                <w:lang w:eastAsia="fr-FR"/>
              </w:rPr>
              <w:t>Urbain</w:t>
            </w:r>
          </w:p>
        </w:tc>
        <w:tc>
          <w:tcPr>
            <w:tcW w:w="1623" w:type="dxa"/>
            <w:shd w:val="clear" w:color="auto" w:fill="DAEEF3" w:themeFill="accent5" w:themeFillTint="33"/>
            <w:noWrap/>
            <w:vAlign w:val="center"/>
            <w:hideMark/>
          </w:tcPr>
          <w:p w:rsidR="00AF5F7B" w:rsidRPr="004348DC" w:rsidRDefault="00AF5F7B" w:rsidP="004E5410">
            <w:pPr>
              <w:spacing w:line="240" w:lineRule="auto"/>
              <w:jc w:val="center"/>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843" w:type="dxa"/>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52" w:type="dxa"/>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52" w:type="dxa"/>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1364" w:type="dxa"/>
            <w:shd w:val="clear" w:color="auto" w:fill="DAEEF3" w:themeFill="accent5" w:themeFillTint="33"/>
            <w:vAlign w:val="bottom"/>
            <w:hideMark/>
          </w:tcPr>
          <w:p w:rsidR="00AF5F7B" w:rsidRPr="004348DC" w:rsidRDefault="00AF5F7B" w:rsidP="004E5410">
            <w:pPr>
              <w:spacing w:line="240" w:lineRule="auto"/>
              <w:jc w:val="center"/>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vAlign w:val="center"/>
            <w:hideMark/>
          </w:tcPr>
          <w:p w:rsidR="00AF5F7B" w:rsidRPr="004348DC" w:rsidRDefault="00AF5F7B" w:rsidP="00AC5D5F">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33,08</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22,44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21,55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15,04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7,89</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233639</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21,18</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25,15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24,14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16,94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12,59</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241426</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Moyen</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12,93</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19,35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22,62</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23,86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21,23</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254554</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8,27</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13,21</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16,70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28,35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33,47</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272219</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Très 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3,04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4,48</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9,63</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23,89</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58,96</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255441</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Ensemble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15,24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16,69</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18,79</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21,87</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27,41</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1257280</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AC5D5F">
            <w:pPr>
              <w:spacing w:line="240" w:lineRule="auto"/>
              <w:ind w:left="708"/>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r w:rsidRPr="004348DC">
              <w:rPr>
                <w:rFonts w:ascii="Times New Roman" w:eastAsia="Times New Roman" w:hAnsi="Times New Roman"/>
                <w:color w:val="000000"/>
                <w:sz w:val="18"/>
                <w:szCs w:val="18"/>
                <w:lang w:eastAsia="fr-FR"/>
              </w:rPr>
              <w:t>Rural</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36,06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26,30</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21,11</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11,43</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5,10</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883564</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28,45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26,54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19,95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17,22</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7,84</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705389</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Moyen</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19,55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23,87</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23,14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21,53</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11,92</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585262</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16,01</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21,98</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23,28</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24,35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14,38</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442106</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Très 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17,34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17,84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20,96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21,98</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21,88</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214317</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Ensemble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26,20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24,54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21,57</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17,78</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9,91</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2830638</w:t>
            </w:r>
          </w:p>
        </w:tc>
      </w:tr>
      <w:tr w:rsidR="00AF5F7B" w:rsidRPr="004348DC" w:rsidTr="00AD3072">
        <w:tblPrEx>
          <w:tblBorders>
            <w:top w:val="double" w:sz="4" w:space="0" w:color="auto"/>
            <w:bottom w:val="double" w:sz="4" w:space="0" w:color="auto"/>
          </w:tblBorders>
        </w:tblPrEx>
        <w:trPr>
          <w:trHeight w:val="336"/>
          <w:jc w:val="center"/>
        </w:trPr>
        <w:tc>
          <w:tcPr>
            <w:tcW w:w="2160" w:type="dxa"/>
            <w:shd w:val="clear" w:color="auto" w:fill="DAEEF3" w:themeFill="accent5" w:themeFillTint="33"/>
            <w:noWrap/>
            <w:vAlign w:val="bottom"/>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xml:space="preserve">Sexe du chef de ménage </w:t>
            </w:r>
          </w:p>
        </w:tc>
        <w:tc>
          <w:tcPr>
            <w:tcW w:w="1623" w:type="dxa"/>
            <w:shd w:val="clear" w:color="auto" w:fill="DAEEF3" w:themeFill="accent5" w:themeFillTint="33"/>
            <w:vAlign w:val="center"/>
          </w:tcPr>
          <w:p w:rsidR="00AF5F7B" w:rsidRPr="004348DC" w:rsidRDefault="00AF5F7B" w:rsidP="004E5410">
            <w:pPr>
              <w:spacing w:line="240" w:lineRule="auto"/>
              <w:jc w:val="left"/>
              <w:rPr>
                <w:rFonts w:ascii="Times New Roman" w:eastAsia="Times New Roman" w:hAnsi="Times New Roman"/>
                <w:sz w:val="18"/>
                <w:szCs w:val="18"/>
                <w:lang w:eastAsia="fr-FR"/>
              </w:rPr>
            </w:pP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ind w:left="708"/>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Homme</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36,06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24,96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21,46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12,21</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5,31</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991706</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26,80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26,82</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20,51</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17,00</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8,87</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803860</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Moyen</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17,61</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23,20</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23,33</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22,01</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13,85</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710788</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13,55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19,72</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20,80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25,52</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20,41</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602509</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Très 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10,15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11,03</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15,58</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22,79</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40,44</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397876</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Ensemble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23,39</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22,55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20,84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18,78</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14,44</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3506740</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ind w:left="708"/>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r w:rsidRPr="004348DC">
              <w:rPr>
                <w:rFonts w:ascii="Times New Roman" w:eastAsia="Times New Roman" w:hAnsi="Times New Roman"/>
                <w:color w:val="000000"/>
                <w:sz w:val="18"/>
                <w:szCs w:val="18"/>
                <w:lang w:eastAsia="fr-FR"/>
              </w:rPr>
              <w:t>Femme</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 </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30,56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29,71</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19,16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11,96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8,61</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125496</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25,45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22,66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23,87</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17,96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10,07</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142955</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Moyen</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17,15</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18,67</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21,07</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23,45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19,66</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129028</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10,40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12,84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20,61</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27,77</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28,38</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111817</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Très 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6,31</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8,06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10,47</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24,26</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50,91</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71883</w:t>
            </w:r>
          </w:p>
        </w:tc>
      </w:tr>
      <w:tr w:rsidR="00AF5F7B" w:rsidRPr="004348DC" w:rsidTr="00AD3072">
        <w:tblPrEx>
          <w:tblBorders>
            <w:top w:val="double" w:sz="4" w:space="0" w:color="auto"/>
            <w:bottom w:val="double" w:sz="4" w:space="0" w:color="auto"/>
          </w:tblBorders>
        </w:tblPrEx>
        <w:trPr>
          <w:trHeight w:val="284"/>
          <w:jc w:val="center"/>
        </w:trPr>
        <w:tc>
          <w:tcPr>
            <w:tcW w:w="2160"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tcBorders>
              <w:bottom w:val="single" w:sz="4" w:space="0" w:color="auto"/>
            </w:tcBorders>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Ensemble</w:t>
            </w:r>
          </w:p>
        </w:tc>
        <w:tc>
          <w:tcPr>
            <w:tcW w:w="843"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19,45</w:t>
            </w:r>
          </w:p>
        </w:tc>
        <w:tc>
          <w:tcPr>
            <w:tcW w:w="779"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19,60</w:t>
            </w:r>
          </w:p>
        </w:tc>
        <w:tc>
          <w:tcPr>
            <w:tcW w:w="852"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19,95</w:t>
            </w:r>
          </w:p>
        </w:tc>
        <w:tc>
          <w:tcPr>
            <w:tcW w:w="779"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20,55</w:t>
            </w:r>
          </w:p>
        </w:tc>
        <w:tc>
          <w:tcPr>
            <w:tcW w:w="852"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20,46</w:t>
            </w:r>
          </w:p>
        </w:tc>
        <w:tc>
          <w:tcPr>
            <w:tcW w:w="1364" w:type="dxa"/>
            <w:tcBorders>
              <w:bottom w:val="sing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581179</w:t>
            </w:r>
          </w:p>
        </w:tc>
      </w:tr>
      <w:tr w:rsidR="00AF5F7B" w:rsidRPr="004348DC" w:rsidTr="00AD3072">
        <w:tblPrEx>
          <w:tblBorders>
            <w:top w:val="double" w:sz="4" w:space="0" w:color="auto"/>
            <w:bottom w:val="double" w:sz="4" w:space="0" w:color="auto"/>
          </w:tblBorders>
        </w:tblPrEx>
        <w:trPr>
          <w:trHeight w:val="326"/>
          <w:jc w:val="center"/>
        </w:trPr>
        <w:tc>
          <w:tcPr>
            <w:tcW w:w="2160" w:type="dxa"/>
            <w:tcBorders>
              <w:top w:val="single" w:sz="4" w:space="0" w:color="auto"/>
              <w:bottom w:val="nil"/>
            </w:tcBorders>
            <w:shd w:val="clear" w:color="auto" w:fill="DAEEF3" w:themeFill="accent5" w:themeFillTint="33"/>
            <w:noWrap/>
            <w:vAlign w:val="bottom"/>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Bénin</w:t>
            </w:r>
          </w:p>
        </w:tc>
        <w:tc>
          <w:tcPr>
            <w:tcW w:w="1623" w:type="dxa"/>
            <w:tcBorders>
              <w:top w:val="single" w:sz="4" w:space="0" w:color="auto"/>
              <w:bottom w:val="nil"/>
            </w:tcBorders>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43" w:type="dxa"/>
            <w:tcBorders>
              <w:top w:val="single" w:sz="4" w:space="0" w:color="auto"/>
              <w:bottom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tcBorders>
              <w:top w:val="single" w:sz="4" w:space="0" w:color="auto"/>
              <w:bottom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52" w:type="dxa"/>
            <w:tcBorders>
              <w:top w:val="single" w:sz="4" w:space="0" w:color="auto"/>
              <w:bottom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779" w:type="dxa"/>
            <w:tcBorders>
              <w:top w:val="single" w:sz="4" w:space="0" w:color="auto"/>
              <w:bottom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852" w:type="dxa"/>
            <w:tcBorders>
              <w:top w:val="single" w:sz="4" w:space="0" w:color="auto"/>
              <w:bottom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c>
          <w:tcPr>
            <w:tcW w:w="1364" w:type="dxa"/>
            <w:tcBorders>
              <w:top w:val="single" w:sz="4" w:space="0" w:color="auto"/>
              <w:bottom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 </w:t>
            </w:r>
          </w:p>
        </w:tc>
      </w:tr>
      <w:tr w:rsidR="00AF5F7B" w:rsidRPr="004348DC" w:rsidTr="00AD3072">
        <w:tblPrEx>
          <w:tblBorders>
            <w:top w:val="double" w:sz="4" w:space="0" w:color="auto"/>
            <w:bottom w:val="double" w:sz="4" w:space="0" w:color="auto"/>
          </w:tblBorders>
        </w:tblPrEx>
        <w:trPr>
          <w:trHeight w:val="284"/>
          <w:jc w:val="center"/>
        </w:trPr>
        <w:tc>
          <w:tcPr>
            <w:tcW w:w="2160" w:type="dxa"/>
            <w:tcBorders>
              <w:top w:val="nil"/>
            </w:tcBorders>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tcBorders>
              <w:top w:val="nil"/>
            </w:tcBorders>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Plus pauvre</w:t>
            </w:r>
          </w:p>
        </w:tc>
        <w:tc>
          <w:tcPr>
            <w:tcW w:w="843" w:type="dxa"/>
            <w:tcBorders>
              <w:top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35,44</w:t>
            </w:r>
          </w:p>
        </w:tc>
        <w:tc>
          <w:tcPr>
            <w:tcW w:w="779" w:type="dxa"/>
            <w:tcBorders>
              <w:top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25,49</w:t>
            </w:r>
          </w:p>
        </w:tc>
        <w:tc>
          <w:tcPr>
            <w:tcW w:w="852" w:type="dxa"/>
            <w:tcBorders>
              <w:top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21,21</w:t>
            </w:r>
          </w:p>
        </w:tc>
        <w:tc>
          <w:tcPr>
            <w:tcW w:w="779" w:type="dxa"/>
            <w:tcBorders>
              <w:top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12,18</w:t>
            </w:r>
          </w:p>
        </w:tc>
        <w:tc>
          <w:tcPr>
            <w:tcW w:w="852" w:type="dxa"/>
            <w:tcBorders>
              <w:top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5,68</w:t>
            </w:r>
          </w:p>
        </w:tc>
        <w:tc>
          <w:tcPr>
            <w:tcW w:w="1364" w:type="dxa"/>
            <w:tcBorders>
              <w:top w:val="nil"/>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1117203</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Pauvre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26,60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26,19</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21,02</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17,15</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9,05</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946815</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Moyen</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17,54</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22,50</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22,98</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22,23</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14,74</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839817</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13,06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18,64</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20,77</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25,87</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21,66</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714326</w:t>
            </w:r>
          </w:p>
        </w:tc>
      </w:tr>
      <w:tr w:rsidR="00AF5F7B" w:rsidRPr="004348DC" w:rsidTr="00AD3072">
        <w:tblPrEx>
          <w:tblBorders>
            <w:top w:val="double" w:sz="4" w:space="0" w:color="auto"/>
            <w:bottom w:val="double" w:sz="4" w:space="0" w:color="auto"/>
          </w:tblBorders>
        </w:tblPrEx>
        <w:trPr>
          <w:trHeight w:val="284"/>
          <w:jc w:val="center"/>
        </w:trPr>
        <w:tc>
          <w:tcPr>
            <w:tcW w:w="2160" w:type="dxa"/>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Très riche</w:t>
            </w:r>
          </w:p>
        </w:tc>
        <w:tc>
          <w:tcPr>
            <w:tcW w:w="843"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9,56</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10,58</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14,80</w:t>
            </w:r>
          </w:p>
        </w:tc>
        <w:tc>
          <w:tcPr>
            <w:tcW w:w="779"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23,02</w:t>
            </w:r>
          </w:p>
        </w:tc>
        <w:tc>
          <w:tcPr>
            <w:tcW w:w="852"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42,04</w:t>
            </w:r>
          </w:p>
        </w:tc>
        <w:tc>
          <w:tcPr>
            <w:tcW w:w="1364" w:type="dxa"/>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469758</w:t>
            </w:r>
          </w:p>
        </w:tc>
      </w:tr>
      <w:tr w:rsidR="00AF5F7B" w:rsidRPr="004348DC" w:rsidTr="00AD3072">
        <w:tblPrEx>
          <w:tblBorders>
            <w:top w:val="double" w:sz="4" w:space="0" w:color="auto"/>
            <w:bottom w:val="double" w:sz="4" w:space="0" w:color="auto"/>
          </w:tblBorders>
        </w:tblPrEx>
        <w:trPr>
          <w:trHeight w:val="284"/>
          <w:jc w:val="center"/>
        </w:trPr>
        <w:tc>
          <w:tcPr>
            <w:tcW w:w="2160"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left"/>
              <w:rPr>
                <w:rFonts w:ascii="Times New Roman" w:eastAsia="Times New Roman" w:hAnsi="Times New Roman"/>
                <w:sz w:val="18"/>
                <w:szCs w:val="18"/>
                <w:lang w:eastAsia="fr-FR"/>
              </w:rPr>
            </w:pPr>
            <w:r w:rsidRPr="004348DC">
              <w:rPr>
                <w:rFonts w:ascii="Times New Roman" w:eastAsia="Times New Roman" w:hAnsi="Times New Roman"/>
                <w:sz w:val="18"/>
                <w:szCs w:val="18"/>
                <w:lang w:eastAsia="fr-FR"/>
              </w:rPr>
              <w:t> </w:t>
            </w:r>
          </w:p>
        </w:tc>
        <w:tc>
          <w:tcPr>
            <w:tcW w:w="1623" w:type="dxa"/>
            <w:tcBorders>
              <w:bottom w:val="double" w:sz="4" w:space="0" w:color="auto"/>
            </w:tcBorders>
            <w:shd w:val="clear" w:color="auto" w:fill="DAEEF3" w:themeFill="accent5" w:themeFillTint="33"/>
            <w:hideMark/>
          </w:tcPr>
          <w:p w:rsidR="00AF5F7B" w:rsidRPr="004348DC" w:rsidRDefault="00AF5F7B" w:rsidP="004E5410">
            <w:pPr>
              <w:spacing w:line="240" w:lineRule="auto"/>
              <w:jc w:val="left"/>
              <w:rPr>
                <w:rFonts w:ascii="Times New Roman" w:eastAsia="Times New Roman" w:hAnsi="Times New Roman"/>
                <w:color w:val="000000"/>
                <w:sz w:val="18"/>
                <w:szCs w:val="18"/>
                <w:lang w:eastAsia="fr-FR"/>
              </w:rPr>
            </w:pPr>
            <w:r w:rsidRPr="004348DC">
              <w:rPr>
                <w:rFonts w:ascii="Times New Roman" w:eastAsia="Times New Roman" w:hAnsi="Times New Roman"/>
                <w:color w:val="000000"/>
                <w:sz w:val="18"/>
                <w:szCs w:val="18"/>
                <w:lang w:eastAsia="fr-FR"/>
              </w:rPr>
              <w:t>Ensemble</w:t>
            </w:r>
          </w:p>
        </w:tc>
        <w:tc>
          <w:tcPr>
            <w:tcW w:w="843"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22,83</w:t>
            </w:r>
          </w:p>
        </w:tc>
        <w:tc>
          <w:tcPr>
            <w:tcW w:w="779"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22,13</w:t>
            </w:r>
          </w:p>
        </w:tc>
        <w:tc>
          <w:tcPr>
            <w:tcW w:w="852"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20,71</w:t>
            </w:r>
          </w:p>
        </w:tc>
        <w:tc>
          <w:tcPr>
            <w:tcW w:w="779"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19,03</w:t>
            </w:r>
          </w:p>
        </w:tc>
        <w:tc>
          <w:tcPr>
            <w:tcW w:w="852"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15,29</w:t>
            </w:r>
          </w:p>
        </w:tc>
        <w:tc>
          <w:tcPr>
            <w:tcW w:w="1364" w:type="dxa"/>
            <w:tcBorders>
              <w:bottom w:val="double" w:sz="4" w:space="0" w:color="auto"/>
            </w:tcBorders>
            <w:shd w:val="clear" w:color="auto" w:fill="DAEEF3" w:themeFill="accent5" w:themeFillTint="33"/>
            <w:noWrap/>
            <w:vAlign w:val="center"/>
            <w:hideMark/>
          </w:tcPr>
          <w:p w:rsidR="00AF5F7B" w:rsidRPr="004348DC" w:rsidRDefault="00AF5F7B" w:rsidP="004E5410">
            <w:pPr>
              <w:spacing w:line="240" w:lineRule="auto"/>
              <w:jc w:val="right"/>
              <w:rPr>
                <w:rFonts w:ascii="Times New Roman" w:hAnsi="Times New Roman"/>
                <w:color w:val="000000"/>
                <w:sz w:val="18"/>
                <w:szCs w:val="18"/>
              </w:rPr>
            </w:pPr>
            <w:r w:rsidRPr="004348DC">
              <w:rPr>
                <w:rFonts w:ascii="Times New Roman" w:hAnsi="Times New Roman"/>
                <w:color w:val="000000"/>
                <w:sz w:val="18"/>
                <w:szCs w:val="18"/>
              </w:rPr>
              <w:t>4087918</w:t>
            </w:r>
          </w:p>
        </w:tc>
      </w:tr>
      <w:tr w:rsidR="00AD3072" w:rsidRPr="004348DC" w:rsidTr="00AD3072">
        <w:tblPrEx>
          <w:tblBorders>
            <w:top w:val="double" w:sz="4" w:space="0" w:color="auto"/>
          </w:tblBorders>
        </w:tblPrEx>
        <w:trPr>
          <w:trHeight w:val="284"/>
          <w:jc w:val="center"/>
        </w:trPr>
        <w:tc>
          <w:tcPr>
            <w:tcW w:w="9252" w:type="dxa"/>
            <w:gridSpan w:val="8"/>
            <w:tcBorders>
              <w:top w:val="double" w:sz="4" w:space="0" w:color="auto"/>
            </w:tcBorders>
            <w:shd w:val="clear" w:color="auto" w:fill="DAEEF3" w:themeFill="accent5" w:themeFillTint="33"/>
            <w:noWrap/>
            <w:vAlign w:val="center"/>
            <w:hideMark/>
          </w:tcPr>
          <w:p w:rsidR="00AD3072" w:rsidRPr="00AD3072" w:rsidRDefault="00AD3072" w:rsidP="00AD3072">
            <w:pPr>
              <w:spacing w:line="276" w:lineRule="auto"/>
              <w:jc w:val="left"/>
              <w:rPr>
                <w:rFonts w:ascii="Times New Roman" w:hAnsi="Times New Roman"/>
                <w:b/>
                <w:sz w:val="32"/>
                <w:szCs w:val="32"/>
              </w:rPr>
            </w:pPr>
            <w:r w:rsidRPr="00AD3072">
              <w:rPr>
                <w:rFonts w:ascii="Times New Roman" w:hAnsi="Times New Roman"/>
                <w:sz w:val="24"/>
                <w:szCs w:val="24"/>
              </w:rPr>
              <w:t>Source : INSAE, EMICoV (2006, 2009)</w:t>
            </w:r>
          </w:p>
        </w:tc>
      </w:tr>
    </w:tbl>
    <w:p w:rsidR="00AD3072" w:rsidRDefault="00AD3072" w:rsidP="00AF5F7B">
      <w:pPr>
        <w:pStyle w:val="Paragraphedeliste"/>
        <w:spacing w:line="276" w:lineRule="auto"/>
        <w:ind w:left="360"/>
        <w:rPr>
          <w:rFonts w:ascii="Times New Roman" w:hAnsi="Times New Roman"/>
          <w:sz w:val="24"/>
          <w:szCs w:val="24"/>
        </w:rPr>
      </w:pPr>
    </w:p>
    <w:p w:rsidR="00AF5F7B" w:rsidRDefault="00AF5F7B" w:rsidP="00C80C3F">
      <w:pPr>
        <w:spacing w:line="240" w:lineRule="auto"/>
        <w:rPr>
          <w:rFonts w:ascii="Times New Roman" w:hAnsi="Times New Roman"/>
          <w:b/>
          <w:sz w:val="32"/>
          <w:szCs w:val="32"/>
        </w:rPr>
      </w:pPr>
    </w:p>
    <w:p w:rsidR="00AF5F7B" w:rsidRDefault="00AF5F7B" w:rsidP="00C80C3F">
      <w:pPr>
        <w:spacing w:line="240" w:lineRule="auto"/>
        <w:rPr>
          <w:rFonts w:ascii="Times New Roman" w:hAnsi="Times New Roman"/>
          <w:b/>
          <w:sz w:val="32"/>
          <w:szCs w:val="32"/>
        </w:rPr>
        <w:sectPr w:rsidR="00AF5F7B" w:rsidSect="00AF5F7B">
          <w:pgSz w:w="11906" w:h="16838"/>
          <w:pgMar w:top="1219" w:right="1418" w:bottom="1418" w:left="1418" w:header="284" w:footer="708" w:gutter="0"/>
          <w:cols w:space="708"/>
          <w:docGrid w:linePitch="360"/>
        </w:sectPr>
      </w:pPr>
    </w:p>
    <w:p w:rsidR="00B40A6D" w:rsidRDefault="00B40A6D"/>
    <w:tbl>
      <w:tblPr>
        <w:tblW w:w="14175" w:type="dxa"/>
        <w:tblInd w:w="-214" w:type="dxa"/>
        <w:tblBorders>
          <w:top w:val="double" w:sz="4" w:space="0" w:color="auto"/>
          <w:bottom w:val="double" w:sz="4" w:space="0" w:color="auto"/>
        </w:tblBorders>
        <w:tblLayout w:type="fixed"/>
        <w:tblCellMar>
          <w:left w:w="70" w:type="dxa"/>
          <w:right w:w="70" w:type="dxa"/>
        </w:tblCellMar>
        <w:tblLook w:val="04A0" w:firstRow="1" w:lastRow="0" w:firstColumn="1" w:lastColumn="0" w:noHBand="0" w:noVBand="1"/>
      </w:tblPr>
      <w:tblGrid>
        <w:gridCol w:w="3248"/>
        <w:gridCol w:w="863"/>
        <w:gridCol w:w="850"/>
        <w:gridCol w:w="992"/>
        <w:gridCol w:w="851"/>
        <w:gridCol w:w="850"/>
        <w:gridCol w:w="851"/>
        <w:gridCol w:w="160"/>
        <w:gridCol w:w="974"/>
        <w:gridCol w:w="929"/>
        <w:gridCol w:w="1055"/>
        <w:gridCol w:w="851"/>
        <w:gridCol w:w="850"/>
        <w:gridCol w:w="851"/>
      </w:tblGrid>
      <w:tr w:rsidR="00B40A6D" w:rsidTr="00B40A6D">
        <w:trPr>
          <w:trHeight w:val="315"/>
          <w:tblHeader/>
        </w:trPr>
        <w:tc>
          <w:tcPr>
            <w:tcW w:w="14175" w:type="dxa"/>
            <w:gridSpan w:val="14"/>
            <w:tcBorders>
              <w:top w:val="nil"/>
              <w:left w:val="nil"/>
              <w:bottom w:val="double" w:sz="4" w:space="0" w:color="auto"/>
              <w:right w:val="nil"/>
            </w:tcBorders>
            <w:shd w:val="clear" w:color="auto" w:fill="92CDDC" w:themeFill="accent5" w:themeFillTint="99"/>
            <w:noWrap/>
            <w:vAlign w:val="bottom"/>
            <w:hideMark/>
          </w:tcPr>
          <w:p w:rsidR="00832112" w:rsidRDefault="00B40A6D" w:rsidP="00832112">
            <w:pPr>
              <w:spacing w:line="240" w:lineRule="auto"/>
              <w:jc w:val="left"/>
              <w:rPr>
                <w:rFonts w:ascii="Times New Roman" w:eastAsia="Times New Roman" w:hAnsi="Times New Roman"/>
                <w:color w:val="000000"/>
                <w:lang w:eastAsia="fr-FR"/>
              </w:rPr>
            </w:pPr>
            <w:bookmarkStart w:id="224" w:name="_Toc373430323"/>
            <w:r w:rsidRPr="00AC5D5F">
              <w:rPr>
                <w:rFonts w:ascii="Times New Roman" w:hAnsi="Times New Roman"/>
                <w:sz w:val="24"/>
                <w:szCs w:val="24"/>
              </w:rPr>
              <w:t xml:space="preserve">Tableau A2. </w:t>
            </w:r>
            <w:r w:rsidR="00182C97" w:rsidRPr="00AC5D5F">
              <w:rPr>
                <w:rFonts w:ascii="Times New Roman" w:hAnsi="Times New Roman"/>
                <w:sz w:val="24"/>
                <w:szCs w:val="24"/>
              </w:rPr>
              <w:fldChar w:fldCharType="begin"/>
            </w:r>
            <w:r w:rsidRPr="00AC5D5F">
              <w:rPr>
                <w:rFonts w:ascii="Times New Roman" w:hAnsi="Times New Roman"/>
                <w:sz w:val="24"/>
                <w:szCs w:val="24"/>
              </w:rPr>
              <w:instrText xml:space="preserve"> SEQ Tableau_A2. \* ARABIC </w:instrText>
            </w:r>
            <w:r w:rsidR="00182C97" w:rsidRPr="00AC5D5F">
              <w:rPr>
                <w:rFonts w:ascii="Times New Roman" w:hAnsi="Times New Roman"/>
                <w:sz w:val="24"/>
                <w:szCs w:val="24"/>
              </w:rPr>
              <w:fldChar w:fldCharType="separate"/>
            </w:r>
            <w:r w:rsidR="00AB1967">
              <w:rPr>
                <w:rFonts w:ascii="Times New Roman" w:hAnsi="Times New Roman"/>
                <w:noProof/>
                <w:sz w:val="24"/>
                <w:szCs w:val="24"/>
              </w:rPr>
              <w:t>5</w:t>
            </w:r>
            <w:r w:rsidR="00182C97" w:rsidRPr="00AC5D5F">
              <w:rPr>
                <w:rFonts w:ascii="Times New Roman" w:hAnsi="Times New Roman"/>
                <w:sz w:val="24"/>
                <w:szCs w:val="24"/>
              </w:rPr>
              <w:fldChar w:fldCharType="end"/>
            </w:r>
            <w:r>
              <w:rPr>
                <w:rFonts w:ascii="Times New Roman" w:hAnsi="Times New Roman"/>
                <w:sz w:val="24"/>
                <w:szCs w:val="24"/>
              </w:rPr>
              <w:t>: Résultats d’estimation des rapports de chance dans la mobilité dans la pauvreté</w:t>
            </w:r>
            <w:bookmarkEnd w:id="224"/>
          </w:p>
        </w:tc>
      </w:tr>
      <w:tr w:rsidR="00832BCE" w:rsidTr="00B40A6D">
        <w:trPr>
          <w:trHeight w:val="315"/>
          <w:tblHeader/>
        </w:trPr>
        <w:tc>
          <w:tcPr>
            <w:tcW w:w="3248" w:type="dxa"/>
            <w:tcBorders>
              <w:top w:val="double" w:sz="4" w:space="0" w:color="auto"/>
              <w:left w:val="nil"/>
              <w:bottom w:val="nil"/>
              <w:right w:val="nil"/>
            </w:tcBorders>
            <w:shd w:val="clear" w:color="auto" w:fill="DAEEF3" w:themeFill="accent5" w:themeFillTint="33"/>
            <w:noWrap/>
            <w:vAlign w:val="bottom"/>
            <w:hideMark/>
          </w:tcPr>
          <w:p w:rsidR="00832BCE" w:rsidRDefault="00832BCE">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5257" w:type="dxa"/>
            <w:gridSpan w:val="6"/>
            <w:tcBorders>
              <w:top w:val="doub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 xml:space="preserve">Modèle 1 : Transition (base : Jamais pauvre) </w:t>
            </w:r>
          </w:p>
        </w:tc>
        <w:tc>
          <w:tcPr>
            <w:tcW w:w="160" w:type="dxa"/>
            <w:tcBorders>
              <w:top w:val="double" w:sz="4" w:space="0" w:color="auto"/>
              <w:left w:val="nil"/>
              <w:bottom w:val="nil"/>
              <w:right w:val="nil"/>
            </w:tcBorders>
            <w:shd w:val="clear" w:color="auto" w:fill="DAEEF3" w:themeFill="accent5" w:themeFillTint="33"/>
            <w:noWrap/>
            <w:vAlign w:val="bottom"/>
            <w:hideMark/>
          </w:tcPr>
          <w:p w:rsidR="00832BCE" w:rsidRDefault="00832BCE">
            <w:pPr>
              <w:spacing w:line="240" w:lineRule="auto"/>
              <w:jc w:val="left"/>
              <w:rPr>
                <w:rFonts w:ascii="Times New Roman" w:eastAsia="Times New Roman" w:hAnsi="Times New Roman"/>
                <w:sz w:val="20"/>
                <w:szCs w:val="20"/>
                <w:lang w:eastAsia="fr-FR"/>
              </w:rPr>
            </w:pPr>
          </w:p>
        </w:tc>
        <w:tc>
          <w:tcPr>
            <w:tcW w:w="5510" w:type="dxa"/>
            <w:gridSpan w:val="6"/>
            <w:tcBorders>
              <w:top w:val="doub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 xml:space="preserve">Modèle 2 : Transition (base : Sortie de la pauvreté) </w:t>
            </w:r>
          </w:p>
        </w:tc>
      </w:tr>
      <w:tr w:rsidR="00832BCE" w:rsidTr="00B40A6D">
        <w:trPr>
          <w:trHeight w:val="315"/>
          <w:tblHeader/>
        </w:trPr>
        <w:tc>
          <w:tcPr>
            <w:tcW w:w="3248" w:type="dxa"/>
            <w:tcBorders>
              <w:top w:val="nil"/>
              <w:left w:val="nil"/>
              <w:bottom w:val="nil"/>
              <w:right w:val="nil"/>
            </w:tcBorders>
            <w:shd w:val="clear" w:color="auto" w:fill="DAEEF3" w:themeFill="accent5" w:themeFillTint="33"/>
            <w:noWrap/>
            <w:vAlign w:val="bottom"/>
            <w:hideMark/>
          </w:tcPr>
          <w:p w:rsidR="00832BCE" w:rsidRDefault="00832BCE">
            <w:pPr>
              <w:spacing w:line="240" w:lineRule="auto"/>
              <w:jc w:val="left"/>
              <w:rPr>
                <w:rFonts w:ascii="Times New Roman" w:eastAsia="Times New Roman" w:hAnsi="Times New Roman"/>
                <w:color w:val="000000"/>
                <w:lang w:eastAsia="fr-FR"/>
              </w:rPr>
            </w:pPr>
            <w:r>
              <w:rPr>
                <w:rFonts w:ascii="Times New Roman" w:eastAsia="Times New Roman" w:hAnsi="Times New Roman"/>
                <w:color w:val="000000"/>
                <w:lang w:eastAsia="fr-FR"/>
              </w:rPr>
              <w:t> </w:t>
            </w:r>
          </w:p>
        </w:tc>
        <w:tc>
          <w:tcPr>
            <w:tcW w:w="1713" w:type="dxa"/>
            <w:gridSpan w:val="2"/>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Entrée dans la pauvreté</w:t>
            </w:r>
          </w:p>
        </w:tc>
        <w:tc>
          <w:tcPr>
            <w:tcW w:w="1843" w:type="dxa"/>
            <w:gridSpan w:val="2"/>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Sortie de la pauvreté</w:t>
            </w:r>
          </w:p>
        </w:tc>
        <w:tc>
          <w:tcPr>
            <w:tcW w:w="1701" w:type="dxa"/>
            <w:gridSpan w:val="2"/>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Resté toujours pauvre</w:t>
            </w:r>
          </w:p>
        </w:tc>
        <w:tc>
          <w:tcPr>
            <w:tcW w:w="160" w:type="dxa"/>
            <w:tcBorders>
              <w:top w:val="nil"/>
              <w:left w:val="nil"/>
              <w:bottom w:val="nil"/>
              <w:right w:val="nil"/>
            </w:tcBorders>
            <w:shd w:val="clear" w:color="auto" w:fill="DAEEF3" w:themeFill="accent5" w:themeFillTint="33"/>
            <w:noWrap/>
            <w:vAlign w:val="bottom"/>
            <w:hideMark/>
          </w:tcPr>
          <w:p w:rsidR="00832BCE" w:rsidRDefault="00832BCE">
            <w:pPr>
              <w:spacing w:line="240" w:lineRule="auto"/>
              <w:jc w:val="left"/>
              <w:rPr>
                <w:rFonts w:ascii="Times New Roman" w:eastAsia="Times New Roman" w:hAnsi="Times New Roman"/>
                <w:sz w:val="20"/>
                <w:szCs w:val="20"/>
                <w:lang w:eastAsia="fr-FR"/>
              </w:rPr>
            </w:pPr>
          </w:p>
        </w:tc>
        <w:tc>
          <w:tcPr>
            <w:tcW w:w="1903" w:type="dxa"/>
            <w:gridSpan w:val="2"/>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N’est  jamais pauvre</w:t>
            </w:r>
          </w:p>
        </w:tc>
        <w:tc>
          <w:tcPr>
            <w:tcW w:w="1906" w:type="dxa"/>
            <w:gridSpan w:val="2"/>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Entrée dans la pauvreté</w:t>
            </w:r>
          </w:p>
        </w:tc>
        <w:tc>
          <w:tcPr>
            <w:tcW w:w="1701" w:type="dxa"/>
            <w:gridSpan w:val="2"/>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Resté toujours pauvre</w:t>
            </w:r>
          </w:p>
        </w:tc>
      </w:tr>
      <w:tr w:rsidR="00832BCE" w:rsidTr="00B40A6D">
        <w:trPr>
          <w:trHeight w:val="300"/>
          <w:tblHeader/>
        </w:trPr>
        <w:tc>
          <w:tcPr>
            <w:tcW w:w="3248" w:type="dxa"/>
            <w:tcBorders>
              <w:top w:val="nil"/>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left"/>
              <w:rPr>
                <w:rFonts w:ascii="Times New Roman" w:eastAsia="Times New Roman" w:hAnsi="Times New Roman"/>
                <w:sz w:val="20"/>
                <w:szCs w:val="20"/>
                <w:lang w:eastAsia="fr-FR"/>
              </w:rPr>
            </w:pPr>
          </w:p>
        </w:tc>
        <w:tc>
          <w:tcPr>
            <w:tcW w:w="863"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Coef.</w:t>
            </w:r>
          </w:p>
        </w:tc>
        <w:tc>
          <w:tcPr>
            <w:tcW w:w="850"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P-value</w:t>
            </w:r>
          </w:p>
        </w:tc>
        <w:tc>
          <w:tcPr>
            <w:tcW w:w="992"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Coef.</w:t>
            </w:r>
          </w:p>
        </w:tc>
        <w:tc>
          <w:tcPr>
            <w:tcW w:w="851"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P-value</w:t>
            </w:r>
          </w:p>
        </w:tc>
        <w:tc>
          <w:tcPr>
            <w:tcW w:w="850"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Coef.</w:t>
            </w:r>
          </w:p>
        </w:tc>
        <w:tc>
          <w:tcPr>
            <w:tcW w:w="851"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P-value</w:t>
            </w:r>
          </w:p>
        </w:tc>
        <w:tc>
          <w:tcPr>
            <w:tcW w:w="160"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Coef.</w:t>
            </w:r>
          </w:p>
        </w:tc>
        <w:tc>
          <w:tcPr>
            <w:tcW w:w="929"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P-value</w:t>
            </w:r>
          </w:p>
        </w:tc>
        <w:tc>
          <w:tcPr>
            <w:tcW w:w="1055"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Coef.</w:t>
            </w:r>
          </w:p>
        </w:tc>
        <w:tc>
          <w:tcPr>
            <w:tcW w:w="851"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P-value</w:t>
            </w:r>
          </w:p>
        </w:tc>
        <w:tc>
          <w:tcPr>
            <w:tcW w:w="850"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Coef.</w:t>
            </w:r>
          </w:p>
        </w:tc>
        <w:tc>
          <w:tcPr>
            <w:tcW w:w="851" w:type="dxa"/>
            <w:tcBorders>
              <w:top w:val="single" w:sz="4" w:space="0" w:color="auto"/>
              <w:left w:val="nil"/>
              <w:bottom w:val="single" w:sz="4" w:space="0" w:color="auto"/>
              <w:right w:val="nil"/>
            </w:tcBorders>
            <w:shd w:val="clear" w:color="auto" w:fill="DAEEF3" w:themeFill="accent5" w:themeFillTint="33"/>
            <w:noWrap/>
            <w:vAlign w:val="bottom"/>
            <w:hideMark/>
          </w:tcPr>
          <w:p w:rsidR="00832BCE" w:rsidRDefault="00832BCE">
            <w:pPr>
              <w:spacing w:line="240" w:lineRule="auto"/>
              <w:jc w:val="center"/>
              <w:rPr>
                <w:rFonts w:ascii="Times New Roman" w:eastAsia="Times New Roman" w:hAnsi="Times New Roman"/>
                <w:color w:val="000000"/>
                <w:lang w:eastAsia="fr-FR"/>
              </w:rPr>
            </w:pPr>
            <w:r>
              <w:rPr>
                <w:rFonts w:ascii="Times New Roman" w:eastAsia="Times New Roman" w:hAnsi="Times New Roman"/>
                <w:color w:val="000000"/>
                <w:lang w:eastAsia="fr-FR"/>
              </w:rPr>
              <w:t>P-value</w:t>
            </w:r>
          </w:p>
        </w:tc>
      </w:tr>
      <w:tr w:rsidR="00832BCE" w:rsidTr="00B40A6D">
        <w:trPr>
          <w:trHeight w:val="284"/>
        </w:trPr>
        <w:tc>
          <w:tcPr>
            <w:tcW w:w="3248" w:type="dxa"/>
            <w:tcBorders>
              <w:top w:val="single" w:sz="4" w:space="0" w:color="auto"/>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Age du Chef de ménage </w:t>
            </w:r>
          </w:p>
        </w:tc>
        <w:tc>
          <w:tcPr>
            <w:tcW w:w="863"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0,945</w:t>
            </w:r>
          </w:p>
        </w:tc>
        <w:tc>
          <w:tcPr>
            <w:tcW w:w="850"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0,966</w:t>
            </w:r>
          </w:p>
        </w:tc>
        <w:tc>
          <w:tcPr>
            <w:tcW w:w="851"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1,009</w:t>
            </w:r>
          </w:p>
        </w:tc>
        <w:tc>
          <w:tcPr>
            <w:tcW w:w="851"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1,035</w:t>
            </w:r>
          </w:p>
        </w:tc>
        <w:tc>
          <w:tcPr>
            <w:tcW w:w="929"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0,978</w:t>
            </w:r>
          </w:p>
        </w:tc>
        <w:tc>
          <w:tcPr>
            <w:tcW w:w="851"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1,045</w:t>
            </w:r>
          </w:p>
        </w:tc>
        <w:tc>
          <w:tcPr>
            <w:tcW w:w="851" w:type="dxa"/>
            <w:tcBorders>
              <w:top w:val="single" w:sz="4" w:space="0" w:color="auto"/>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Carrée de l'âge du Chef de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1,000</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Taille du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1,181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1,283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1,419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0,780</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0,920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1,107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Carré de la taille du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0,989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0,985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1,011</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Niveau d'instruction du chef de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Sans instruction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Primaire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0,828</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0,827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0,952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1,209</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0,816</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1,152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Secondaire et plus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0,728</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0,704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0,631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1,421</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1,034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Sexe du chef de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Homme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Femme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0,898</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1,068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1,301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0,936</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0,840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1,218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Milieu de résidence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Milieu Urbain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Milieu Rural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0,799</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0,882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0,550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1,133</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0,905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0,624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Emploi occupé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Autres</w:t>
            </w:r>
            <w:r>
              <w:rPr>
                <w:rStyle w:val="Appelnotedebasdep"/>
                <w:rFonts w:ascii="Times New Roman" w:eastAsia="Times New Roman" w:hAnsi="Times New Roman"/>
                <w:color w:val="000000"/>
                <w:sz w:val="20"/>
                <w:szCs w:val="20"/>
                <w:lang w:eastAsia="fr-FR"/>
              </w:rPr>
              <w:footnoteReference w:id="99"/>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Pas d'emploi</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0,675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0,550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0,455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1,818</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1,227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0,827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Patron et cadre supérieur ou moyen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1,306</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1,251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1,119</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1,461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Employé et ouvrier qualifie ou semi-qualifie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0,905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0,810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0,869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1,235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1,118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1,073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RPr="007371E6"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Pr="007371E6" w:rsidRDefault="004F064D">
            <w:pPr>
              <w:spacing w:line="240" w:lineRule="auto"/>
              <w:jc w:val="left"/>
              <w:rPr>
                <w:rFonts w:ascii="Times New Roman" w:eastAsia="Times New Roman" w:hAnsi="Times New Roman"/>
                <w:sz w:val="20"/>
                <w:szCs w:val="20"/>
                <w:lang w:eastAsia="fr-FR"/>
              </w:rPr>
            </w:pPr>
            <w:hyperlink r:id="rId93" w:anchor="RANGE!_ftn1" w:history="1">
              <w:r w:rsidR="00832BCE" w:rsidRPr="007371E6">
                <w:rPr>
                  <w:rStyle w:val="Lienhypertexte"/>
                  <w:rFonts w:ascii="Times New Roman" w:eastAsia="Times New Roman" w:hAnsi="Times New Roman"/>
                  <w:color w:val="auto"/>
                  <w:sz w:val="20"/>
                  <w:szCs w:val="20"/>
                  <w:u w:val="none"/>
                  <w:lang w:eastAsia="fr-FR"/>
                </w:rPr>
                <w:t>Pôle de développement</w:t>
              </w:r>
              <w:r w:rsidR="00832BCE" w:rsidRPr="007371E6">
                <w:rPr>
                  <w:rStyle w:val="Appelnotedebasdep"/>
                  <w:rFonts w:ascii="Times New Roman" w:eastAsia="Times New Roman" w:hAnsi="Times New Roman"/>
                  <w:sz w:val="20"/>
                  <w:szCs w:val="20"/>
                  <w:lang w:eastAsia="fr-FR"/>
                </w:rPr>
                <w:footnoteReference w:id="100"/>
              </w:r>
            </w:hyperlink>
          </w:p>
        </w:tc>
        <w:tc>
          <w:tcPr>
            <w:tcW w:w="863"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Pr="007371E6"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highlight w:val="red"/>
                <w:lang w:eastAsia="fr-FR"/>
              </w:rPr>
            </w:pPr>
            <w:r>
              <w:rPr>
                <w:rFonts w:ascii="Times New Roman" w:eastAsia="Times New Roman" w:hAnsi="Times New Roman"/>
                <w:color w:val="000000"/>
                <w:sz w:val="20"/>
                <w:szCs w:val="20"/>
                <w:lang w:eastAsia="fr-FR"/>
              </w:rPr>
              <w:t>Autres</w:t>
            </w:r>
            <w:r>
              <w:rPr>
                <w:rStyle w:val="Appelnotedebasdep"/>
                <w:rFonts w:ascii="Times New Roman" w:eastAsia="Times New Roman" w:hAnsi="Times New Roman"/>
                <w:color w:val="000000"/>
                <w:sz w:val="20"/>
                <w:szCs w:val="20"/>
                <w:lang w:eastAsia="fr-FR"/>
              </w:rPr>
              <w:footnoteReference w:id="101"/>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Agriculture hors coton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1,266</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0,185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1,622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1,006</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0,185</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1,273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1,631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Coton-textile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0,843</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1,052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1,057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0,951</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0,802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1,005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0,632</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Commerce-logistique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1,747</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0,967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0,008</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0,980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0,267</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1,034</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0,008</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1,807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1,014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0,474</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Agroalimentaire, et autres activités industrielles et artisanales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1,275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0,886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0,816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1,129</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1,439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0,922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BTP-Matériaux de construction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0,971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0,009</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1,079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0,756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0,927</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Autres services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1,587</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0,708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1,179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1,413</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2,243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1,666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Qualité de l'emploi du chef de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En situation de sous emploi visible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0,899</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0,907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0,728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1,102</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0,015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0,802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En situation de sous emploi invisible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1,492</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1,089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1,460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0,918</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1,370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1,341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Exerçant un emploi informel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1,671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1,461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2,166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0,685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1,144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1,483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Capital humain du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Nombre d'actifs occupés de 15 et plus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1,237</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1,051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1,113</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1,377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1,170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Nombre personnes de 0-14 ans  dépendantes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1,254</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1,184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1,357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0,845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1,060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1,146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Nombre personnes de 65 ans et  plus dépendantes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1,152</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1,081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1,261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0,925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1,066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1,166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Accessibilité économique aux infrastructures de base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Accès aux soins de santé</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0,659</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0,727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0,468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1,375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0,907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0,644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Accès à la communication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0,785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1,090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0,730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0,917</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0,720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0,670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Accès à l'électricité</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1,561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1,201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1,612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0,832</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1,342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Accès à l'eau potable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0,938</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0,785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0,946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1,274</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1,195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1,205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Changement dans le secteur institutionnel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Pas de changement</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Public vers privé</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0,988</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0,309</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0,832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0,768</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1,202</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1,187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0,923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Privé vers public</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0,223</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0,519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0,585</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1,928</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0,431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1,910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Changement dans la structure du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Pas de changement concernant le chef de la ménage ni la taille de la ménage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0,577</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0,764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0,642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1,309</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0,756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0,841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Variation de la taille du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Pas de changement de la taille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Diminution de la taille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0,357</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0,830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0,312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1,205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0,430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0,376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Augmentation de la taille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1,081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0,671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0,810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1,491</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1,612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1,207</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Variation du nombre d'actifs occupés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Pas de variation du nombre d'actif occupés </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hAnsi="Times New Roman"/>
                <w:sz w:val="20"/>
                <w:szCs w:val="20"/>
              </w:rPr>
            </w:pPr>
            <w:r>
              <w:rPr>
                <w:rFonts w:ascii="Times New Roman" w:eastAsia="Times New Roman" w:hAnsi="Times New Roman"/>
                <w:color w:val="000000"/>
                <w:sz w:val="20"/>
                <w:szCs w:val="20"/>
                <w:lang w:eastAsia="fr-FR"/>
              </w:rPr>
              <w:t>(Réf)</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Diminution du nombre d'actifs occupes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0,641</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1,119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0,726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0,894</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0,572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0,649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Augmentation du nombre d'actifs occupes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1,095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0,896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0,984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1,117</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1,223</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1,099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Accès au crédit</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Ménage a accès au crédit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0,605</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0,780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0,602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1,283</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0,776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0,772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Chocs subis par le ménage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Chocs sociaux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0,914</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0,962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1,062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1,040</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0,950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1,104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Chocs économiques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0,999</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0,770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1,061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1,024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0,942</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0,941</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0,965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r>
      <w:tr w:rsidR="00832BCE" w:rsidTr="00B40A6D">
        <w:trPr>
          <w:trHeight w:val="284"/>
        </w:trPr>
        <w:tc>
          <w:tcPr>
            <w:tcW w:w="3248" w:type="dxa"/>
            <w:tcBorders>
              <w:top w:val="nil"/>
              <w:left w:val="nil"/>
              <w:bottom w:val="nil"/>
              <w:right w:val="nil"/>
            </w:tcBorders>
            <w:shd w:val="clear" w:color="auto" w:fill="DAEEF3" w:themeFill="accent5" w:themeFillTint="33"/>
            <w:vAlign w:val="center"/>
            <w:hideMark/>
          </w:tcPr>
          <w:p w:rsidR="00832BCE" w:rsidRDefault="00832BCE">
            <w:pPr>
              <w:spacing w:line="240" w:lineRule="auto"/>
              <w:ind w:left="356"/>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Chocs biophysiques (1=Oui, 0=Non)</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1,033</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1,169</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1,165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0,855</w:t>
            </w: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0,884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0,000</w:t>
            </w: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0,996</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0,341</w:t>
            </w:r>
          </w:p>
        </w:tc>
      </w:tr>
      <w:tr w:rsidR="00832BCE" w:rsidTr="00B40A6D">
        <w:trPr>
          <w:trHeight w:val="300"/>
        </w:trPr>
        <w:tc>
          <w:tcPr>
            <w:tcW w:w="3248"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Nombres d’observations valides</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8455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8455</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300"/>
        </w:trPr>
        <w:tc>
          <w:tcPr>
            <w:tcW w:w="3248"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LR  chi2(41)</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816537,2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816537,2</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300"/>
        </w:trPr>
        <w:tc>
          <w:tcPr>
            <w:tcW w:w="3248"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Prob&gt; chi2</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0,000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0,000</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300"/>
        </w:trPr>
        <w:tc>
          <w:tcPr>
            <w:tcW w:w="3248"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Log maximum de vraisemblance</w:t>
            </w:r>
          </w:p>
        </w:tc>
        <w:tc>
          <w:tcPr>
            <w:tcW w:w="863"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-4138622,4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-4138622,4</w:t>
            </w: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nil"/>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315"/>
        </w:trPr>
        <w:tc>
          <w:tcPr>
            <w:tcW w:w="3248"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color w:val="000000"/>
                <w:sz w:val="20"/>
                <w:szCs w:val="20"/>
                <w:lang w:eastAsia="fr-FR"/>
              </w:rPr>
            </w:pPr>
            <w:r>
              <w:rPr>
                <w:rFonts w:ascii="Times New Roman" w:eastAsia="Times New Roman" w:hAnsi="Times New Roman"/>
                <w:color w:val="000000"/>
                <w:sz w:val="20"/>
                <w:szCs w:val="20"/>
                <w:lang w:eastAsia="fr-FR"/>
              </w:rPr>
              <w:t xml:space="preserve"> Pseudo R2</w:t>
            </w:r>
          </w:p>
        </w:tc>
        <w:tc>
          <w:tcPr>
            <w:tcW w:w="863"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92"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0,090</w:t>
            </w:r>
          </w:p>
        </w:tc>
        <w:tc>
          <w:tcPr>
            <w:tcW w:w="851"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60"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74"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929"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1055"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right"/>
              <w:rPr>
                <w:rFonts w:ascii="Times New Roman" w:eastAsia="Times New Roman" w:hAnsi="Times New Roman"/>
                <w:color w:val="000000"/>
                <w:sz w:val="18"/>
                <w:szCs w:val="18"/>
                <w:lang w:eastAsia="fr-FR"/>
              </w:rPr>
            </w:pPr>
            <w:r>
              <w:rPr>
                <w:rFonts w:ascii="Times New Roman" w:eastAsia="Times New Roman" w:hAnsi="Times New Roman"/>
                <w:color w:val="000000"/>
                <w:sz w:val="18"/>
                <w:szCs w:val="18"/>
                <w:lang w:eastAsia="fr-FR"/>
              </w:rPr>
              <w:t>0,090</w:t>
            </w:r>
          </w:p>
        </w:tc>
        <w:tc>
          <w:tcPr>
            <w:tcW w:w="851"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0"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c>
          <w:tcPr>
            <w:tcW w:w="851" w:type="dxa"/>
            <w:tcBorders>
              <w:top w:val="nil"/>
              <w:left w:val="nil"/>
              <w:bottom w:val="double" w:sz="4" w:space="0" w:color="auto"/>
              <w:right w:val="nil"/>
            </w:tcBorders>
            <w:shd w:val="clear" w:color="auto" w:fill="DAEEF3" w:themeFill="accent5" w:themeFillTint="33"/>
            <w:noWrap/>
            <w:vAlign w:val="center"/>
            <w:hideMark/>
          </w:tcPr>
          <w:p w:rsidR="00832BCE" w:rsidRDefault="00832BCE">
            <w:pPr>
              <w:spacing w:line="240" w:lineRule="auto"/>
              <w:jc w:val="left"/>
              <w:rPr>
                <w:rFonts w:ascii="Times New Roman" w:eastAsia="Times New Roman" w:hAnsi="Times New Roman"/>
                <w:sz w:val="20"/>
                <w:szCs w:val="20"/>
                <w:lang w:eastAsia="fr-FR"/>
              </w:rPr>
            </w:pPr>
          </w:p>
        </w:tc>
      </w:tr>
      <w:tr w:rsidR="00832BCE" w:rsidTr="00B40A6D">
        <w:trPr>
          <w:trHeight w:val="315"/>
        </w:trPr>
        <w:tc>
          <w:tcPr>
            <w:tcW w:w="14175" w:type="dxa"/>
            <w:gridSpan w:val="14"/>
            <w:tcBorders>
              <w:top w:val="double" w:sz="4" w:space="0" w:color="auto"/>
              <w:left w:val="nil"/>
              <w:bottom w:val="nil"/>
              <w:right w:val="nil"/>
            </w:tcBorders>
            <w:shd w:val="clear" w:color="auto" w:fill="DAEEF3" w:themeFill="accent5" w:themeFillTint="33"/>
            <w:noWrap/>
            <w:vAlign w:val="center"/>
            <w:hideMark/>
          </w:tcPr>
          <w:p w:rsidR="00832BCE" w:rsidRDefault="00832BCE" w:rsidP="00AD3072">
            <w:pPr>
              <w:spacing w:line="240" w:lineRule="auto"/>
              <w:rPr>
                <w:rFonts w:ascii="Times New Roman" w:hAnsi="Times New Roman"/>
                <w:sz w:val="24"/>
                <w:szCs w:val="24"/>
              </w:rPr>
            </w:pPr>
            <w:r>
              <w:rPr>
                <w:rFonts w:ascii="Times New Roman" w:hAnsi="Times New Roman"/>
                <w:sz w:val="24"/>
                <w:szCs w:val="24"/>
              </w:rPr>
              <w:t>Source : INSAE</w:t>
            </w:r>
            <w:r w:rsidR="00AD3072">
              <w:rPr>
                <w:rFonts w:ascii="Times New Roman" w:hAnsi="Times New Roman"/>
                <w:sz w:val="24"/>
                <w:szCs w:val="24"/>
              </w:rPr>
              <w:t xml:space="preserve"> 2013</w:t>
            </w:r>
            <w:r>
              <w:rPr>
                <w:rFonts w:ascii="Times New Roman" w:hAnsi="Times New Roman"/>
                <w:sz w:val="24"/>
                <w:szCs w:val="24"/>
              </w:rPr>
              <w:t>,</w:t>
            </w:r>
            <w:r w:rsidR="00AD3072">
              <w:rPr>
                <w:rFonts w:ascii="Times New Roman" w:hAnsi="Times New Roman"/>
                <w:sz w:val="24"/>
                <w:szCs w:val="24"/>
              </w:rPr>
              <w:t xml:space="preserve"> estimation à partir des données EMICoV (2006, 2010)</w:t>
            </w:r>
          </w:p>
        </w:tc>
      </w:tr>
    </w:tbl>
    <w:p w:rsidR="00832BCE" w:rsidRDefault="00832BCE" w:rsidP="00910784">
      <w:pPr>
        <w:pStyle w:val="Titre2"/>
        <w:spacing w:before="0" w:after="0" w:line="240" w:lineRule="auto"/>
        <w:rPr>
          <w:rFonts w:ascii="Times New Roman" w:hAnsi="Times New Roman" w:cs="Times New Roman"/>
          <w:i w:val="0"/>
        </w:rPr>
      </w:pPr>
    </w:p>
    <w:p w:rsidR="00BE330A" w:rsidRDefault="00BE330A" w:rsidP="00BE330A"/>
    <w:p w:rsidR="00BE330A" w:rsidRDefault="00BE330A" w:rsidP="00BE330A"/>
    <w:p w:rsidR="00BE330A" w:rsidRDefault="00BE330A" w:rsidP="00BE330A"/>
    <w:p w:rsidR="00BE330A" w:rsidRDefault="00BE330A" w:rsidP="00BE330A">
      <w:pPr>
        <w:sectPr w:rsidR="00BE330A" w:rsidSect="00AF5F7B">
          <w:pgSz w:w="16838" w:h="11906" w:orient="landscape"/>
          <w:pgMar w:top="1418" w:right="1219" w:bottom="1418" w:left="1418" w:header="284" w:footer="708" w:gutter="0"/>
          <w:cols w:space="708"/>
          <w:docGrid w:linePitch="360"/>
        </w:sectPr>
      </w:pPr>
    </w:p>
    <w:tbl>
      <w:tblPr>
        <w:tblW w:w="8943" w:type="dxa"/>
        <w:tblInd w:w="55" w:type="dxa"/>
        <w:tblCellMar>
          <w:left w:w="70" w:type="dxa"/>
          <w:right w:w="70" w:type="dxa"/>
        </w:tblCellMar>
        <w:tblLook w:val="04A0" w:firstRow="1" w:lastRow="0" w:firstColumn="1" w:lastColumn="0" w:noHBand="0" w:noVBand="1"/>
      </w:tblPr>
      <w:tblGrid>
        <w:gridCol w:w="1374"/>
        <w:gridCol w:w="1788"/>
        <w:gridCol w:w="1277"/>
        <w:gridCol w:w="838"/>
        <w:gridCol w:w="703"/>
        <w:gridCol w:w="703"/>
        <w:gridCol w:w="650"/>
        <w:gridCol w:w="699"/>
        <w:gridCol w:w="911"/>
      </w:tblGrid>
      <w:tr w:rsidR="00BE330A" w:rsidRPr="00BE330A" w:rsidTr="00C15C6F">
        <w:trPr>
          <w:trHeight w:val="281"/>
        </w:trPr>
        <w:tc>
          <w:tcPr>
            <w:tcW w:w="8943" w:type="dxa"/>
            <w:gridSpan w:val="9"/>
            <w:tcBorders>
              <w:top w:val="nil"/>
              <w:left w:val="nil"/>
              <w:bottom w:val="double" w:sz="4" w:space="0" w:color="auto"/>
              <w:right w:val="nil"/>
            </w:tcBorders>
            <w:shd w:val="clear" w:color="000000" w:fill="92CDDC"/>
            <w:noWrap/>
            <w:vAlign w:val="center"/>
            <w:hideMark/>
          </w:tcPr>
          <w:p w:rsidR="00BE330A" w:rsidRPr="00BE330A" w:rsidRDefault="00BE330A" w:rsidP="00BE330A">
            <w:pPr>
              <w:spacing w:line="240" w:lineRule="auto"/>
              <w:rPr>
                <w:rFonts w:ascii="Times New Roman" w:eastAsia="Times New Roman" w:hAnsi="Times New Roman"/>
                <w:color w:val="000000"/>
                <w:sz w:val="20"/>
                <w:szCs w:val="20"/>
              </w:rPr>
            </w:pPr>
            <w:bookmarkStart w:id="225" w:name="_Toc369720311"/>
            <w:bookmarkStart w:id="226" w:name="RANGE!A2"/>
            <w:r w:rsidRPr="00177542">
              <w:rPr>
                <w:rFonts w:ascii="Times New Roman" w:eastAsia="Times New Roman" w:hAnsi="Times New Roman"/>
                <w:color w:val="000000"/>
                <w:sz w:val="20"/>
                <w:szCs w:val="20"/>
              </w:rPr>
              <w:t xml:space="preserve">Tableau A2.6 : </w:t>
            </w:r>
            <w:r w:rsidRPr="00177542">
              <w:rPr>
                <w:rFonts w:ascii="Times New Roman" w:eastAsia="Times New Roman" w:hAnsi="Times New Roman"/>
                <w:b/>
                <w:color w:val="000000"/>
                <w:sz w:val="20"/>
                <w:szCs w:val="20"/>
              </w:rPr>
              <w:t>Synthèse des dommages et pertes occasionnés par les inondations de 2010 au Bénin, (millions FCFA</w:t>
            </w:r>
            <w:r w:rsidRPr="00177542">
              <w:rPr>
                <w:rFonts w:ascii="Times New Roman" w:eastAsia="Times New Roman" w:hAnsi="Times New Roman"/>
                <w:color w:val="000000"/>
                <w:sz w:val="20"/>
                <w:szCs w:val="20"/>
              </w:rPr>
              <w:t>)</w:t>
            </w:r>
            <w:bookmarkEnd w:id="225"/>
            <w:bookmarkEnd w:id="226"/>
          </w:p>
        </w:tc>
      </w:tr>
      <w:tr w:rsidR="00BE330A" w:rsidRPr="0013001C" w:rsidTr="00C15C6F">
        <w:trPr>
          <w:trHeight w:val="268"/>
        </w:trPr>
        <w:tc>
          <w:tcPr>
            <w:tcW w:w="1292" w:type="dxa"/>
            <w:vMerge w:val="restart"/>
            <w:tcBorders>
              <w:top w:val="double" w:sz="4" w:space="0" w:color="auto"/>
              <w:bottom w:val="single" w:sz="8" w:space="0" w:color="000000"/>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Secteur</w:t>
            </w:r>
          </w:p>
        </w:tc>
        <w:tc>
          <w:tcPr>
            <w:tcW w:w="1788" w:type="dxa"/>
            <w:vMerge w:val="restart"/>
            <w:tcBorders>
              <w:top w:val="double" w:sz="4" w:space="0" w:color="auto"/>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Sous-Secteur</w:t>
            </w:r>
          </w:p>
        </w:tc>
        <w:tc>
          <w:tcPr>
            <w:tcW w:w="2818" w:type="dxa"/>
            <w:gridSpan w:val="3"/>
            <w:tcBorders>
              <w:top w:val="double" w:sz="4" w:space="0" w:color="auto"/>
              <w:left w:val="nil"/>
              <w:bottom w:val="single" w:sz="4" w:space="0" w:color="auto"/>
              <w:right w:val="single" w:sz="4" w:space="0" w:color="000000"/>
            </w:tcBorders>
            <w:shd w:val="clear" w:color="000000" w:fill="DAEEF3"/>
            <w:noWrap/>
            <w:vAlign w:val="center"/>
            <w:hideMark/>
          </w:tcPr>
          <w:p w:rsidR="00BE330A" w:rsidRPr="00C15C6F" w:rsidRDefault="00182C97" w:rsidP="00B618DF">
            <w:pPr>
              <w:spacing w:line="240" w:lineRule="auto"/>
              <w:jc w:val="center"/>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Dommages (A)</w:t>
            </w:r>
          </w:p>
        </w:tc>
        <w:tc>
          <w:tcPr>
            <w:tcW w:w="2052" w:type="dxa"/>
            <w:gridSpan w:val="3"/>
            <w:tcBorders>
              <w:top w:val="double" w:sz="4" w:space="0" w:color="auto"/>
              <w:left w:val="nil"/>
              <w:bottom w:val="single" w:sz="4" w:space="0" w:color="auto"/>
              <w:right w:val="single" w:sz="4" w:space="0" w:color="000000"/>
            </w:tcBorders>
            <w:shd w:val="clear" w:color="000000" w:fill="DAEEF3"/>
            <w:noWrap/>
            <w:vAlign w:val="center"/>
            <w:hideMark/>
          </w:tcPr>
          <w:p w:rsidR="00BE330A" w:rsidRPr="00C15C6F" w:rsidRDefault="00182C97" w:rsidP="00B618DF">
            <w:pPr>
              <w:spacing w:line="240" w:lineRule="auto"/>
              <w:jc w:val="center"/>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Pertes (B)</w:t>
            </w:r>
          </w:p>
        </w:tc>
        <w:tc>
          <w:tcPr>
            <w:tcW w:w="993" w:type="dxa"/>
            <w:vMerge w:val="restart"/>
            <w:tcBorders>
              <w:top w:val="double" w:sz="4" w:space="0" w:color="auto"/>
              <w:left w:val="single" w:sz="4" w:space="0" w:color="auto"/>
              <w:bottom w:val="single" w:sz="4" w:space="0" w:color="auto"/>
            </w:tcBorders>
            <w:shd w:val="clear" w:color="000000" w:fill="DAEEF3"/>
            <w:vAlign w:val="center"/>
            <w:hideMark/>
          </w:tcPr>
          <w:p w:rsidR="00BE330A" w:rsidRPr="00C15C6F" w:rsidRDefault="00182C97" w:rsidP="00B618DF">
            <w:pPr>
              <w:spacing w:line="240" w:lineRule="auto"/>
              <w:jc w:val="center"/>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Total (A+B)</w:t>
            </w:r>
          </w:p>
        </w:tc>
      </w:tr>
      <w:tr w:rsidR="0013001C" w:rsidRPr="0013001C" w:rsidTr="0013001C">
        <w:trPr>
          <w:trHeight w:val="268"/>
        </w:trPr>
        <w:tc>
          <w:tcPr>
            <w:tcW w:w="1292" w:type="dxa"/>
            <w:vMerge/>
            <w:tcBorders>
              <w:top w:val="single" w:sz="8" w:space="0" w:color="auto"/>
              <w:bottom w:val="single" w:sz="8" w:space="0" w:color="000000"/>
              <w:right w:val="single" w:sz="8" w:space="0" w:color="auto"/>
            </w:tcBorders>
            <w:vAlign w:val="center"/>
            <w:hideMark/>
          </w:tcPr>
          <w:p w:rsidR="00BE330A" w:rsidRPr="00BE330A" w:rsidRDefault="00BE330A" w:rsidP="00B618DF">
            <w:pPr>
              <w:spacing w:line="240" w:lineRule="auto"/>
              <w:rPr>
                <w:rFonts w:ascii="Times New Roman" w:eastAsia="Times New Roman" w:hAnsi="Times New Roman"/>
                <w:b/>
                <w:bCs/>
                <w:color w:val="000000"/>
                <w:sz w:val="20"/>
                <w:szCs w:val="20"/>
              </w:rPr>
            </w:pPr>
          </w:p>
        </w:tc>
        <w:tc>
          <w:tcPr>
            <w:tcW w:w="1788" w:type="dxa"/>
            <w:vMerge/>
            <w:tcBorders>
              <w:top w:val="single" w:sz="4" w:space="0" w:color="auto"/>
              <w:left w:val="nil"/>
              <w:bottom w:val="single" w:sz="4" w:space="0" w:color="auto"/>
              <w:right w:val="single" w:sz="4" w:space="0" w:color="auto"/>
            </w:tcBorders>
            <w:vAlign w:val="center"/>
            <w:hideMark/>
          </w:tcPr>
          <w:p w:rsidR="00BE330A" w:rsidRPr="00BE330A" w:rsidRDefault="00BE330A" w:rsidP="00B618DF">
            <w:pPr>
              <w:spacing w:line="240" w:lineRule="auto"/>
              <w:rPr>
                <w:rFonts w:ascii="Times New Roman" w:eastAsia="Times New Roman" w:hAnsi="Times New Roman"/>
                <w:b/>
                <w:bCs/>
                <w:color w:val="000000"/>
                <w:sz w:val="20"/>
                <w:szCs w:val="20"/>
              </w:rPr>
            </w:pPr>
          </w:p>
        </w:tc>
        <w:tc>
          <w:tcPr>
            <w:tcW w:w="1277" w:type="dxa"/>
            <w:vMerge w:val="restart"/>
            <w:tcBorders>
              <w:top w:val="nil"/>
              <w:left w:val="single" w:sz="4" w:space="0" w:color="auto"/>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Valeur</w:t>
            </w:r>
          </w:p>
        </w:tc>
        <w:tc>
          <w:tcPr>
            <w:tcW w:w="1541" w:type="dxa"/>
            <w:gridSpan w:val="2"/>
            <w:tcBorders>
              <w:top w:val="single" w:sz="4" w:space="0" w:color="auto"/>
              <w:left w:val="nil"/>
              <w:bottom w:val="single" w:sz="4" w:space="0" w:color="auto"/>
              <w:right w:val="single" w:sz="4" w:space="0" w:color="000000"/>
            </w:tcBorders>
            <w:shd w:val="clear" w:color="000000" w:fill="DAEEF3"/>
            <w:noWrap/>
            <w:vAlign w:val="center"/>
            <w:hideMark/>
          </w:tcPr>
          <w:p w:rsidR="00BE330A" w:rsidRPr="00C15C6F" w:rsidRDefault="00182C97" w:rsidP="00B618DF">
            <w:pPr>
              <w:spacing w:line="240" w:lineRule="auto"/>
              <w:jc w:val="center"/>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Propriété</w:t>
            </w:r>
          </w:p>
        </w:tc>
        <w:tc>
          <w:tcPr>
            <w:tcW w:w="703" w:type="dxa"/>
            <w:vMerge w:val="restart"/>
            <w:tcBorders>
              <w:top w:val="nil"/>
              <w:left w:val="single" w:sz="4" w:space="0" w:color="auto"/>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Valeur</w:t>
            </w:r>
          </w:p>
        </w:tc>
        <w:tc>
          <w:tcPr>
            <w:tcW w:w="1348" w:type="dxa"/>
            <w:gridSpan w:val="2"/>
            <w:tcBorders>
              <w:top w:val="single" w:sz="4" w:space="0" w:color="auto"/>
              <w:left w:val="nil"/>
              <w:bottom w:val="single" w:sz="4" w:space="0" w:color="auto"/>
              <w:right w:val="single" w:sz="4" w:space="0" w:color="000000"/>
            </w:tcBorders>
            <w:shd w:val="clear" w:color="000000" w:fill="DAEEF3"/>
            <w:noWrap/>
            <w:vAlign w:val="center"/>
            <w:hideMark/>
          </w:tcPr>
          <w:p w:rsidR="00BE330A" w:rsidRPr="00C15C6F" w:rsidRDefault="00182C97" w:rsidP="00B618DF">
            <w:pPr>
              <w:spacing w:line="240" w:lineRule="auto"/>
              <w:jc w:val="center"/>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Propriété</w:t>
            </w:r>
          </w:p>
        </w:tc>
        <w:tc>
          <w:tcPr>
            <w:tcW w:w="993" w:type="dxa"/>
            <w:vMerge/>
            <w:tcBorders>
              <w:top w:val="single" w:sz="4" w:space="0" w:color="auto"/>
              <w:left w:val="single" w:sz="4" w:space="0" w:color="auto"/>
              <w:bottom w:val="single" w:sz="4" w:space="0" w:color="auto"/>
            </w:tcBorders>
            <w:vAlign w:val="center"/>
            <w:hideMark/>
          </w:tcPr>
          <w:p w:rsidR="00BE330A" w:rsidRPr="00C15C6F" w:rsidRDefault="00BE330A" w:rsidP="00B618DF">
            <w:pPr>
              <w:keepNext/>
              <w:spacing w:before="240" w:after="60" w:line="240" w:lineRule="auto"/>
              <w:outlineLvl w:val="0"/>
              <w:rPr>
                <w:rFonts w:ascii="Times New Roman" w:eastAsia="Times New Roman" w:hAnsi="Times New Roman"/>
                <w:b/>
                <w:bCs/>
                <w:color w:val="000000"/>
                <w:sz w:val="16"/>
                <w:szCs w:val="16"/>
              </w:rPr>
            </w:pPr>
          </w:p>
        </w:tc>
      </w:tr>
      <w:tr w:rsidR="0013001C" w:rsidRPr="0013001C" w:rsidTr="0013001C">
        <w:trPr>
          <w:trHeight w:val="281"/>
        </w:trPr>
        <w:tc>
          <w:tcPr>
            <w:tcW w:w="1292" w:type="dxa"/>
            <w:vMerge/>
            <w:tcBorders>
              <w:top w:val="single" w:sz="8" w:space="0" w:color="auto"/>
              <w:bottom w:val="single" w:sz="8" w:space="0" w:color="000000"/>
              <w:right w:val="single" w:sz="8" w:space="0" w:color="auto"/>
            </w:tcBorders>
            <w:vAlign w:val="center"/>
            <w:hideMark/>
          </w:tcPr>
          <w:p w:rsidR="00BE330A" w:rsidRPr="00BE330A" w:rsidRDefault="00BE330A" w:rsidP="00B618DF">
            <w:pPr>
              <w:spacing w:line="240" w:lineRule="auto"/>
              <w:rPr>
                <w:rFonts w:ascii="Times New Roman" w:eastAsia="Times New Roman" w:hAnsi="Times New Roman"/>
                <w:b/>
                <w:bCs/>
                <w:color w:val="000000"/>
                <w:sz w:val="20"/>
                <w:szCs w:val="20"/>
              </w:rPr>
            </w:pPr>
          </w:p>
        </w:tc>
        <w:tc>
          <w:tcPr>
            <w:tcW w:w="1788" w:type="dxa"/>
            <w:vMerge/>
            <w:tcBorders>
              <w:top w:val="single" w:sz="4" w:space="0" w:color="auto"/>
              <w:left w:val="nil"/>
              <w:bottom w:val="single" w:sz="4" w:space="0" w:color="auto"/>
              <w:right w:val="single" w:sz="4" w:space="0" w:color="auto"/>
            </w:tcBorders>
            <w:vAlign w:val="center"/>
            <w:hideMark/>
          </w:tcPr>
          <w:p w:rsidR="00BE330A" w:rsidRPr="00BE330A" w:rsidRDefault="00BE330A" w:rsidP="00B618DF">
            <w:pPr>
              <w:spacing w:line="240" w:lineRule="auto"/>
              <w:rPr>
                <w:rFonts w:ascii="Times New Roman" w:eastAsia="Times New Roman" w:hAnsi="Times New Roman"/>
                <w:b/>
                <w:bCs/>
                <w:color w:val="000000"/>
                <w:sz w:val="20"/>
                <w:szCs w:val="20"/>
              </w:rPr>
            </w:pPr>
          </w:p>
        </w:tc>
        <w:tc>
          <w:tcPr>
            <w:tcW w:w="1277" w:type="dxa"/>
            <w:vMerge/>
            <w:tcBorders>
              <w:top w:val="nil"/>
              <w:left w:val="single" w:sz="4" w:space="0" w:color="auto"/>
              <w:bottom w:val="single" w:sz="4" w:space="0" w:color="auto"/>
              <w:right w:val="single" w:sz="4" w:space="0" w:color="auto"/>
            </w:tcBorders>
            <w:vAlign w:val="center"/>
            <w:hideMark/>
          </w:tcPr>
          <w:p w:rsidR="00BE330A" w:rsidRPr="00C15C6F" w:rsidRDefault="00BE330A" w:rsidP="00B618DF">
            <w:pPr>
              <w:keepNext/>
              <w:spacing w:before="240" w:after="60" w:line="240" w:lineRule="auto"/>
              <w:outlineLvl w:val="0"/>
              <w:rPr>
                <w:rFonts w:ascii="Times New Roman" w:eastAsia="Times New Roman" w:hAnsi="Times New Roman"/>
                <w:b/>
                <w:bCs/>
                <w:color w:val="000000"/>
                <w:sz w:val="16"/>
                <w:szCs w:val="16"/>
              </w:rPr>
            </w:pP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Public</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Privé</w:t>
            </w:r>
          </w:p>
        </w:tc>
        <w:tc>
          <w:tcPr>
            <w:tcW w:w="703" w:type="dxa"/>
            <w:vMerge/>
            <w:tcBorders>
              <w:top w:val="nil"/>
              <w:left w:val="single" w:sz="4" w:space="0" w:color="auto"/>
              <w:bottom w:val="single" w:sz="4" w:space="0" w:color="auto"/>
              <w:right w:val="single" w:sz="4" w:space="0" w:color="auto"/>
            </w:tcBorders>
            <w:vAlign w:val="center"/>
            <w:hideMark/>
          </w:tcPr>
          <w:p w:rsidR="00BE330A" w:rsidRPr="00C15C6F" w:rsidRDefault="00BE330A" w:rsidP="00B618DF">
            <w:pPr>
              <w:keepNext/>
              <w:keepLines/>
              <w:spacing w:before="200" w:line="240" w:lineRule="auto"/>
              <w:outlineLvl w:val="2"/>
              <w:rPr>
                <w:rFonts w:ascii="Times New Roman" w:eastAsia="Times New Roman" w:hAnsi="Times New Roman"/>
                <w:b/>
                <w:bCs/>
                <w:color w:val="000000"/>
                <w:sz w:val="16"/>
                <w:szCs w:val="16"/>
              </w:rPr>
            </w:pP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Public</w:t>
            </w:r>
          </w:p>
        </w:tc>
        <w:tc>
          <w:tcPr>
            <w:tcW w:w="699"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Privé</w:t>
            </w:r>
          </w:p>
        </w:tc>
        <w:tc>
          <w:tcPr>
            <w:tcW w:w="993" w:type="dxa"/>
            <w:vMerge/>
            <w:tcBorders>
              <w:top w:val="single" w:sz="4" w:space="0" w:color="auto"/>
              <w:left w:val="single" w:sz="4" w:space="0" w:color="auto"/>
              <w:bottom w:val="single" w:sz="4" w:space="0" w:color="auto"/>
            </w:tcBorders>
            <w:vAlign w:val="center"/>
            <w:hideMark/>
          </w:tcPr>
          <w:p w:rsidR="00BE330A" w:rsidRPr="00C15C6F" w:rsidRDefault="00BE330A" w:rsidP="00B618DF">
            <w:pPr>
              <w:keepNext/>
              <w:keepLines/>
              <w:spacing w:before="200" w:line="240" w:lineRule="auto"/>
              <w:outlineLvl w:val="2"/>
              <w:rPr>
                <w:rFonts w:ascii="Times New Roman" w:eastAsia="Times New Roman" w:hAnsi="Times New Roman"/>
                <w:b/>
                <w:bCs/>
                <w:color w:val="000000"/>
                <w:sz w:val="16"/>
                <w:szCs w:val="16"/>
              </w:rPr>
            </w:pP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Social</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 </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15 505,6</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7012,8</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8492,8</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xml:space="preserve">1495,3 </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xml:space="preserve">1 200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xml:space="preserve">295,3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17 000,9</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Logement</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8492,8</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8492,8</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8492,8</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Santé</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5,5</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5,5</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5,5</w:t>
            </w:r>
          </w:p>
        </w:tc>
      </w:tr>
      <w:tr w:rsidR="0013001C" w:rsidRPr="0013001C" w:rsidTr="0013001C">
        <w:trPr>
          <w:trHeight w:val="281"/>
        </w:trPr>
        <w:tc>
          <w:tcPr>
            <w:tcW w:w="1292" w:type="dxa"/>
            <w:tcBorders>
              <w:top w:val="nil"/>
              <w:bottom w:val="single" w:sz="8" w:space="0" w:color="auto"/>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Education</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7007,3</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7007,3</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xml:space="preserve">1495,3 </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xml:space="preserve">1 200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xml:space="preserve">295,3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8 502,6</w:t>
            </w:r>
          </w:p>
        </w:tc>
      </w:tr>
      <w:tr w:rsidR="0013001C" w:rsidRPr="0013001C" w:rsidTr="0013001C">
        <w:trPr>
          <w:trHeight w:val="366"/>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Productif</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 </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7 294,1</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7 294,1</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46 762,3</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xml:space="preserve">46 762,3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54 056,4</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Agriculture au sens large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474,8</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474,8</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28 414,3</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28 414,3</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28 889,1</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i/>
                <w:iCs/>
                <w:color w:val="000000"/>
                <w:sz w:val="20"/>
                <w:szCs w:val="20"/>
              </w:rPr>
            </w:pPr>
            <w:r w:rsidRPr="00BE330A">
              <w:rPr>
                <w:rFonts w:ascii="Times New Roman" w:eastAsia="Times New Roman" w:hAnsi="Times New Roman"/>
                <w:i/>
                <w:iCs/>
                <w:color w:val="000000"/>
                <w:sz w:val="20"/>
                <w:szCs w:val="20"/>
              </w:rPr>
              <w:t>Agriculture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26 693,3</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26 693,3</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26 693,3</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i/>
                <w:iCs/>
                <w:color w:val="000000"/>
                <w:sz w:val="20"/>
                <w:szCs w:val="20"/>
              </w:rPr>
            </w:pPr>
            <w:r w:rsidRPr="00BE330A">
              <w:rPr>
                <w:rFonts w:ascii="Times New Roman" w:eastAsia="Times New Roman" w:hAnsi="Times New Roman"/>
                <w:i/>
                <w:iCs/>
                <w:color w:val="000000"/>
                <w:sz w:val="20"/>
                <w:szCs w:val="20"/>
              </w:rPr>
              <w:t>Elevage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1 257,2</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1 257,2</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1 257,2</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i/>
                <w:iCs/>
                <w:color w:val="000000"/>
                <w:sz w:val="20"/>
                <w:szCs w:val="20"/>
              </w:rPr>
            </w:pPr>
            <w:r w:rsidRPr="00BE330A">
              <w:rPr>
                <w:rFonts w:ascii="Times New Roman" w:eastAsia="Times New Roman" w:hAnsi="Times New Roman"/>
                <w:i/>
                <w:iCs/>
                <w:color w:val="000000"/>
                <w:sz w:val="20"/>
                <w:szCs w:val="20"/>
              </w:rPr>
              <w:t>Pêche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474,8</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474,8</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463,8</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463,8</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938,6</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Industrie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Commerce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5487,8</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5 487,8</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11 713,0</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11 713,0</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17 200,8</w:t>
            </w:r>
          </w:p>
        </w:tc>
      </w:tr>
      <w:tr w:rsidR="0013001C" w:rsidRPr="0013001C" w:rsidTr="0013001C">
        <w:trPr>
          <w:trHeight w:val="281"/>
        </w:trPr>
        <w:tc>
          <w:tcPr>
            <w:tcW w:w="1292" w:type="dxa"/>
            <w:tcBorders>
              <w:top w:val="nil"/>
              <w:bottom w:val="single" w:sz="8" w:space="0" w:color="auto"/>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Tourisme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1331,5</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1 331,5</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6 635</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6 635</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7 966,5</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Infrastructure</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 </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55 471,2</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55 453,2</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18,0</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559,7</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559,7</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56 030,9</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Transport</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1 972,1</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1 972,1</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179,6</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179,6</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2 151,7</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Energie</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r>
      <w:tr w:rsidR="0013001C" w:rsidRPr="0013001C" w:rsidTr="0013001C">
        <w:trPr>
          <w:trHeight w:val="268"/>
        </w:trPr>
        <w:tc>
          <w:tcPr>
            <w:tcW w:w="1292" w:type="dxa"/>
            <w:tcBorders>
              <w:top w:val="nil"/>
              <w:bottom w:val="nil"/>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Eau et Assainissement</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398,1</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398,1</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380,1</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380,1</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778,2</w:t>
            </w:r>
          </w:p>
        </w:tc>
      </w:tr>
      <w:tr w:rsidR="0013001C" w:rsidRPr="0013001C" w:rsidTr="0013001C">
        <w:trPr>
          <w:trHeight w:val="281"/>
        </w:trPr>
        <w:tc>
          <w:tcPr>
            <w:tcW w:w="1292" w:type="dxa"/>
            <w:tcBorders>
              <w:top w:val="nil"/>
              <w:bottom w:val="single" w:sz="8" w:space="0" w:color="auto"/>
              <w:right w:val="single" w:sz="8" w:space="0" w:color="auto"/>
            </w:tcBorders>
            <w:shd w:val="clear" w:color="000000" w:fill="DAEEF3"/>
            <w:noWrap/>
            <w:hideMark/>
          </w:tcPr>
          <w:p w:rsidR="00BE330A" w:rsidRPr="00BE330A" w:rsidRDefault="00BE330A" w:rsidP="00BE330A">
            <w:pPr>
              <w:spacing w:line="240" w:lineRule="auto"/>
              <w:ind w:firstLineChars="200" w:firstLine="400"/>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 </w:t>
            </w:r>
          </w:p>
        </w:tc>
        <w:tc>
          <w:tcPr>
            <w:tcW w:w="1788" w:type="dxa"/>
            <w:tcBorders>
              <w:top w:val="nil"/>
              <w:left w:val="nil"/>
              <w:bottom w:val="sing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Autres infrastructures</w:t>
            </w:r>
          </w:p>
        </w:tc>
        <w:tc>
          <w:tcPr>
            <w:tcW w:w="1277"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53 101,0</w:t>
            </w:r>
          </w:p>
        </w:tc>
        <w:tc>
          <w:tcPr>
            <w:tcW w:w="838"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53 83,0</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18,0</w:t>
            </w:r>
          </w:p>
        </w:tc>
        <w:tc>
          <w:tcPr>
            <w:tcW w:w="703"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50" w:type="dxa"/>
            <w:tcBorders>
              <w:top w:val="nil"/>
              <w:left w:val="nil"/>
              <w:bottom w:val="sing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699" w:type="dxa"/>
            <w:tcBorders>
              <w:top w:val="nil"/>
              <w:left w:val="nil"/>
              <w:bottom w:val="sing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 </w:t>
            </w:r>
          </w:p>
        </w:tc>
        <w:tc>
          <w:tcPr>
            <w:tcW w:w="993" w:type="dxa"/>
            <w:tcBorders>
              <w:top w:val="nil"/>
              <w:left w:val="nil"/>
              <w:bottom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color w:val="000000"/>
                <w:sz w:val="16"/>
                <w:szCs w:val="16"/>
              </w:rPr>
            </w:pPr>
            <w:r w:rsidRPr="00C15C6F">
              <w:rPr>
                <w:rFonts w:ascii="Times New Roman" w:eastAsia="Times New Roman" w:hAnsi="Times New Roman"/>
                <w:color w:val="000000"/>
                <w:sz w:val="16"/>
                <w:szCs w:val="16"/>
              </w:rPr>
              <w:t>53 101,0</w:t>
            </w:r>
          </w:p>
        </w:tc>
      </w:tr>
      <w:tr w:rsidR="0013001C" w:rsidRPr="0013001C" w:rsidTr="0013001C">
        <w:trPr>
          <w:trHeight w:val="281"/>
        </w:trPr>
        <w:tc>
          <w:tcPr>
            <w:tcW w:w="1292" w:type="dxa"/>
            <w:tcBorders>
              <w:top w:val="nil"/>
              <w:bottom w:val="double" w:sz="4" w:space="0" w:color="auto"/>
              <w:right w:val="single" w:sz="8" w:space="0" w:color="auto"/>
            </w:tcBorders>
            <w:shd w:val="clear" w:color="000000" w:fill="DAEEF3"/>
            <w:noWrap/>
            <w:vAlign w:val="center"/>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Total</w:t>
            </w:r>
          </w:p>
        </w:tc>
        <w:tc>
          <w:tcPr>
            <w:tcW w:w="1788" w:type="dxa"/>
            <w:tcBorders>
              <w:top w:val="nil"/>
              <w:left w:val="nil"/>
              <w:bottom w:val="double" w:sz="4" w:space="0" w:color="auto"/>
              <w:right w:val="single" w:sz="4" w:space="0" w:color="auto"/>
            </w:tcBorders>
            <w:shd w:val="clear" w:color="000000" w:fill="DAEEF3"/>
            <w:noWrap/>
            <w:hideMark/>
          </w:tcPr>
          <w:p w:rsidR="00BE330A" w:rsidRPr="00BE330A" w:rsidRDefault="00BE330A" w:rsidP="00B618DF">
            <w:pPr>
              <w:spacing w:line="240" w:lineRule="auto"/>
              <w:rPr>
                <w:rFonts w:ascii="Times New Roman" w:eastAsia="Times New Roman" w:hAnsi="Times New Roman"/>
                <w:b/>
                <w:bCs/>
                <w:color w:val="000000"/>
                <w:sz w:val="20"/>
                <w:szCs w:val="20"/>
              </w:rPr>
            </w:pPr>
            <w:r w:rsidRPr="00BE330A">
              <w:rPr>
                <w:rFonts w:ascii="Times New Roman" w:eastAsia="Times New Roman" w:hAnsi="Times New Roman"/>
                <w:b/>
                <w:bCs/>
                <w:color w:val="000000"/>
                <w:sz w:val="20"/>
                <w:szCs w:val="20"/>
              </w:rPr>
              <w:t> </w:t>
            </w:r>
          </w:p>
        </w:tc>
        <w:tc>
          <w:tcPr>
            <w:tcW w:w="1277" w:type="dxa"/>
            <w:tcBorders>
              <w:top w:val="nil"/>
              <w:left w:val="nil"/>
              <w:bottom w:val="doub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78 270,9</w:t>
            </w:r>
          </w:p>
        </w:tc>
        <w:tc>
          <w:tcPr>
            <w:tcW w:w="838" w:type="dxa"/>
            <w:tcBorders>
              <w:top w:val="nil"/>
              <w:left w:val="nil"/>
              <w:bottom w:val="doub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62 466,0</w:t>
            </w:r>
          </w:p>
        </w:tc>
        <w:tc>
          <w:tcPr>
            <w:tcW w:w="703" w:type="dxa"/>
            <w:tcBorders>
              <w:top w:val="nil"/>
              <w:left w:val="nil"/>
              <w:bottom w:val="doub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15 804,9</w:t>
            </w:r>
          </w:p>
        </w:tc>
        <w:tc>
          <w:tcPr>
            <w:tcW w:w="703" w:type="dxa"/>
            <w:tcBorders>
              <w:top w:val="nil"/>
              <w:left w:val="nil"/>
              <w:bottom w:val="doub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48 817,3</w:t>
            </w:r>
          </w:p>
        </w:tc>
        <w:tc>
          <w:tcPr>
            <w:tcW w:w="650" w:type="dxa"/>
            <w:tcBorders>
              <w:top w:val="nil"/>
              <w:left w:val="nil"/>
              <w:bottom w:val="double" w:sz="4" w:space="0" w:color="auto"/>
              <w:right w:val="single" w:sz="4" w:space="0" w:color="auto"/>
            </w:tcBorders>
            <w:shd w:val="clear" w:color="000000" w:fill="DAEEF3"/>
            <w:noWrap/>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1 759,7</w:t>
            </w:r>
          </w:p>
        </w:tc>
        <w:tc>
          <w:tcPr>
            <w:tcW w:w="699" w:type="dxa"/>
            <w:tcBorders>
              <w:top w:val="nil"/>
              <w:left w:val="nil"/>
              <w:bottom w:val="double" w:sz="4" w:space="0" w:color="auto"/>
              <w:right w:val="sing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 </w:t>
            </w:r>
          </w:p>
        </w:tc>
        <w:tc>
          <w:tcPr>
            <w:tcW w:w="993" w:type="dxa"/>
            <w:tcBorders>
              <w:top w:val="nil"/>
              <w:left w:val="nil"/>
              <w:bottom w:val="double" w:sz="4" w:space="0" w:color="auto"/>
            </w:tcBorders>
            <w:shd w:val="clear" w:color="000000" w:fill="DAEEF3"/>
            <w:vAlign w:val="center"/>
            <w:hideMark/>
          </w:tcPr>
          <w:p w:rsidR="00BE330A" w:rsidRPr="00C15C6F" w:rsidRDefault="00182C97" w:rsidP="00B618DF">
            <w:pPr>
              <w:spacing w:line="240" w:lineRule="auto"/>
              <w:jc w:val="right"/>
              <w:rPr>
                <w:rFonts w:ascii="Times New Roman" w:eastAsia="Times New Roman" w:hAnsi="Times New Roman"/>
                <w:b/>
                <w:bCs/>
                <w:color w:val="000000"/>
                <w:sz w:val="16"/>
                <w:szCs w:val="16"/>
              </w:rPr>
            </w:pPr>
            <w:r w:rsidRPr="00C15C6F">
              <w:rPr>
                <w:rFonts w:ascii="Times New Roman" w:eastAsia="Times New Roman" w:hAnsi="Times New Roman"/>
                <w:b/>
                <w:bCs/>
                <w:color w:val="000000"/>
                <w:sz w:val="16"/>
                <w:szCs w:val="16"/>
              </w:rPr>
              <w:t>127 088,2</w:t>
            </w:r>
          </w:p>
        </w:tc>
      </w:tr>
      <w:tr w:rsidR="00BE330A" w:rsidRPr="00BE330A" w:rsidTr="00C15C6F">
        <w:trPr>
          <w:trHeight w:val="269"/>
        </w:trPr>
        <w:tc>
          <w:tcPr>
            <w:tcW w:w="8943" w:type="dxa"/>
            <w:gridSpan w:val="9"/>
            <w:tcBorders>
              <w:top w:val="double" w:sz="4" w:space="0" w:color="auto"/>
              <w:left w:val="nil"/>
              <w:bottom w:val="nil"/>
              <w:right w:val="nil"/>
            </w:tcBorders>
            <w:shd w:val="clear" w:color="000000" w:fill="DAEEF3"/>
            <w:noWrap/>
            <w:vAlign w:val="center"/>
            <w:hideMark/>
          </w:tcPr>
          <w:p w:rsidR="00BE330A" w:rsidRPr="00BE330A" w:rsidRDefault="00BE330A" w:rsidP="00BE330A">
            <w:pPr>
              <w:spacing w:line="240" w:lineRule="auto"/>
              <w:rPr>
                <w:rFonts w:ascii="Times New Roman" w:eastAsia="Times New Roman" w:hAnsi="Times New Roman"/>
                <w:color w:val="000000"/>
                <w:sz w:val="20"/>
                <w:szCs w:val="20"/>
              </w:rPr>
            </w:pPr>
            <w:r w:rsidRPr="00BE330A">
              <w:rPr>
                <w:rFonts w:ascii="Times New Roman" w:eastAsia="Times New Roman" w:hAnsi="Times New Roman"/>
                <w:color w:val="000000"/>
                <w:sz w:val="20"/>
                <w:szCs w:val="20"/>
              </w:rPr>
              <w:t>Source : Inondations au Bénin, Rapport d’Evaluation des besoins Post Catastrophe, avril 2011 </w:t>
            </w:r>
          </w:p>
        </w:tc>
      </w:tr>
    </w:tbl>
    <w:p w:rsidR="00BE330A" w:rsidRDefault="00BE330A"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AA6942" w:rsidRDefault="00AA6942" w:rsidP="00BE330A"/>
    <w:p w:rsidR="0013001C" w:rsidRDefault="0013001C" w:rsidP="00BE330A"/>
    <w:p w:rsidR="00AA6942" w:rsidRDefault="00AA6942" w:rsidP="00BE330A"/>
    <w:p w:rsidR="008C2241" w:rsidRDefault="006A7852" w:rsidP="00C15C6F">
      <w:pPr>
        <w:spacing w:line="240" w:lineRule="auto"/>
      </w:pPr>
      <w:r>
        <w:rPr>
          <w:rFonts w:ascii="Times New Roman" w:eastAsia="Times New Roman" w:hAnsi="Times New Roman"/>
          <w:color w:val="000000"/>
          <w:sz w:val="20"/>
          <w:szCs w:val="20"/>
        </w:rPr>
        <w:t>Tableau A2.7</w:t>
      </w:r>
      <w:r w:rsidR="00182C97" w:rsidRPr="00C15C6F">
        <w:rPr>
          <w:rFonts w:ascii="Times New Roman" w:eastAsia="Times New Roman" w:hAnsi="Times New Roman"/>
          <w:color w:val="000000"/>
          <w:sz w:val="20"/>
          <w:szCs w:val="20"/>
        </w:rPr>
        <w:t xml:space="preserve"> : </w:t>
      </w:r>
      <w:r w:rsidR="00182C97" w:rsidRPr="00C15C6F">
        <w:rPr>
          <w:rFonts w:ascii="Times New Roman" w:eastAsia="Times New Roman" w:hAnsi="Times New Roman"/>
          <w:b/>
          <w:color w:val="000000"/>
          <w:sz w:val="20"/>
          <w:szCs w:val="20"/>
        </w:rPr>
        <w:t>Déterminants de la pauvreté monétaire en 2006, 2009 et 2011</w:t>
      </w:r>
    </w:p>
    <w:tbl>
      <w:tblPr>
        <w:tblW w:w="9004" w:type="dxa"/>
        <w:tblInd w:w="55" w:type="dxa"/>
        <w:tblCellMar>
          <w:left w:w="70" w:type="dxa"/>
          <w:right w:w="70" w:type="dxa"/>
        </w:tblCellMar>
        <w:tblLook w:val="04A0" w:firstRow="1" w:lastRow="0" w:firstColumn="1" w:lastColumn="0" w:noHBand="0" w:noVBand="1"/>
      </w:tblPr>
      <w:tblGrid>
        <w:gridCol w:w="4725"/>
        <w:gridCol w:w="722"/>
        <w:gridCol w:w="633"/>
        <w:gridCol w:w="769"/>
        <w:gridCol w:w="675"/>
        <w:gridCol w:w="789"/>
        <w:gridCol w:w="691"/>
      </w:tblGrid>
      <w:tr w:rsidR="00AA6942" w:rsidRPr="00131870" w:rsidTr="00C15C6F">
        <w:trPr>
          <w:trHeight w:val="298"/>
        </w:trPr>
        <w:tc>
          <w:tcPr>
            <w:tcW w:w="4725" w:type="dxa"/>
            <w:tcBorders>
              <w:top w:val="single" w:sz="4" w:space="0" w:color="auto"/>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1355" w:type="dxa"/>
            <w:gridSpan w:val="2"/>
            <w:tcBorders>
              <w:top w:val="single" w:sz="4" w:space="0" w:color="auto"/>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center"/>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2006</w:t>
            </w:r>
          </w:p>
        </w:tc>
        <w:tc>
          <w:tcPr>
            <w:tcW w:w="1444" w:type="dxa"/>
            <w:gridSpan w:val="2"/>
            <w:tcBorders>
              <w:top w:val="single" w:sz="4" w:space="0" w:color="auto"/>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center"/>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2009</w:t>
            </w:r>
          </w:p>
        </w:tc>
        <w:tc>
          <w:tcPr>
            <w:tcW w:w="1480" w:type="dxa"/>
            <w:gridSpan w:val="2"/>
            <w:tcBorders>
              <w:top w:val="single" w:sz="4" w:space="0" w:color="auto"/>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center"/>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2011</w:t>
            </w:r>
          </w:p>
        </w:tc>
      </w:tr>
      <w:tr w:rsidR="00AA6942" w:rsidRPr="00131870" w:rsidTr="00C15C6F">
        <w:trPr>
          <w:trHeight w:val="298"/>
        </w:trPr>
        <w:tc>
          <w:tcPr>
            <w:tcW w:w="4725"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 xml:space="preserve">Pauvre </w:t>
            </w:r>
          </w:p>
        </w:tc>
        <w:tc>
          <w:tcPr>
            <w:tcW w:w="722"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Coef</w:t>
            </w:r>
          </w:p>
        </w:tc>
        <w:tc>
          <w:tcPr>
            <w:tcW w:w="633"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P-val</w:t>
            </w:r>
          </w:p>
        </w:tc>
        <w:tc>
          <w:tcPr>
            <w:tcW w:w="769"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Coef</w:t>
            </w:r>
          </w:p>
        </w:tc>
        <w:tc>
          <w:tcPr>
            <w:tcW w:w="675"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P-val</w:t>
            </w:r>
          </w:p>
        </w:tc>
        <w:tc>
          <w:tcPr>
            <w:tcW w:w="789"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Coef</w:t>
            </w:r>
          </w:p>
        </w:tc>
        <w:tc>
          <w:tcPr>
            <w:tcW w:w="691"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P-val</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22"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33"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6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7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8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91"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Sexe ( ref: Homme)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0,283</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0,435</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0,209</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0,007</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Age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-0,024</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0,003</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-0,048</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-0,002</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0,83</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Age au carré</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0,000</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0,005</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0,000</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0,000</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0,865</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Taille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0,634</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0,781</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2,697</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Taille au carré</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-0,021</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-0,030</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-0,178</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298"/>
        </w:trPr>
        <w:tc>
          <w:tcPr>
            <w:tcW w:w="4725" w:type="dxa"/>
            <w:tcBorders>
              <w:top w:val="nil"/>
              <w:left w:val="nil"/>
              <w:bottom w:val="nil"/>
              <w:right w:val="nil"/>
            </w:tcBorders>
            <w:shd w:val="clear" w:color="auto" w:fill="auto"/>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xml:space="preserve">Milieu de résidence </w:t>
            </w:r>
            <w:r w:rsidR="00B004BF">
              <w:rPr>
                <w:rFonts w:ascii="Times New Roman" w:eastAsia="Times New Roman" w:hAnsi="Times New Roman"/>
                <w:color w:val="000000"/>
                <w:sz w:val="20"/>
                <w:szCs w:val="20"/>
                <w:lang w:eastAsia="fr-FR"/>
              </w:rPr>
              <w:t>(réf</w:t>
            </w:r>
            <w:r w:rsidRPr="00C15C6F">
              <w:rPr>
                <w:rFonts w:ascii="Times New Roman" w:eastAsia="Times New Roman" w:hAnsi="Times New Roman"/>
                <w:color w:val="000000"/>
                <w:sz w:val="20"/>
                <w:szCs w:val="20"/>
                <w:lang w:eastAsia="fr-FR"/>
              </w:rPr>
              <w:t>: urbain)</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-0,123</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0,006</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-0,091</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0,049</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-0,235</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328"/>
        </w:trPr>
        <w:tc>
          <w:tcPr>
            <w:tcW w:w="4725" w:type="dxa"/>
            <w:tcBorders>
              <w:top w:val="nil"/>
              <w:left w:val="nil"/>
              <w:bottom w:val="nil"/>
              <w:right w:val="nil"/>
            </w:tcBorders>
            <w:shd w:val="clear" w:color="auto" w:fill="auto"/>
            <w:vAlign w:val="bottom"/>
            <w:hideMark/>
          </w:tcPr>
          <w:p w:rsidR="00AA6942" w:rsidRPr="00C15C6F" w:rsidRDefault="00182C97" w:rsidP="00AA6942">
            <w:pPr>
              <w:spacing w:line="240" w:lineRule="auto"/>
              <w:jc w:val="lef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Niveau d'éducation (</w:t>
            </w:r>
            <w:r w:rsidR="00B004BF">
              <w:rPr>
                <w:rFonts w:ascii="Times New Roman" w:eastAsia="Times New Roman" w:hAnsi="Times New Roman"/>
                <w:bCs/>
                <w:color w:val="000000"/>
                <w:sz w:val="20"/>
                <w:szCs w:val="20"/>
                <w:lang w:eastAsia="fr-FR"/>
              </w:rPr>
              <w:t>réf</w:t>
            </w:r>
            <w:r w:rsidRPr="00C15C6F">
              <w:rPr>
                <w:rFonts w:ascii="Times New Roman" w:eastAsia="Times New Roman" w:hAnsi="Times New Roman"/>
                <w:bCs/>
                <w:color w:val="000000"/>
                <w:sz w:val="20"/>
                <w:szCs w:val="20"/>
                <w:lang w:eastAsia="fr-FR"/>
              </w:rPr>
              <w:t>: supérieur</w:t>
            </w:r>
            <w:r w:rsidRPr="00C15C6F">
              <w:rPr>
                <w:rFonts w:ascii="Times New Roman" w:eastAsia="Times New Roman" w:hAnsi="Times New Roman"/>
                <w:b/>
                <w:bCs/>
                <w:color w:val="000000"/>
                <w:sz w:val="20"/>
                <w:szCs w:val="20"/>
                <w:lang w:eastAsia="fr-FR"/>
              </w:rPr>
              <w:t>)</w:t>
            </w:r>
          </w:p>
        </w:tc>
        <w:tc>
          <w:tcPr>
            <w:tcW w:w="722"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33"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6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7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8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91"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Aucun</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1,172</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0,737</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0,001</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0,756</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Primaire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1,121</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0,658</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0,002</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0,619</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0,001</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Secondaire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0,923</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0,532</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0,015</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0,406</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0,025</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Situation matrimoniale (</w:t>
            </w:r>
            <w:r w:rsidR="00B004BF">
              <w:rPr>
                <w:rFonts w:ascii="Times New Roman" w:eastAsia="Times New Roman" w:hAnsi="Times New Roman"/>
                <w:bCs/>
                <w:color w:val="000000"/>
                <w:sz w:val="20"/>
                <w:szCs w:val="20"/>
                <w:lang w:eastAsia="fr-FR"/>
              </w:rPr>
              <w:t>réf</w:t>
            </w:r>
            <w:r w:rsidRPr="00C15C6F">
              <w:rPr>
                <w:rFonts w:ascii="Times New Roman" w:eastAsia="Times New Roman" w:hAnsi="Times New Roman"/>
                <w:bCs/>
                <w:color w:val="000000"/>
                <w:sz w:val="20"/>
                <w:szCs w:val="20"/>
                <w:lang w:eastAsia="fr-FR"/>
              </w:rPr>
              <w:t>: célibataire</w:t>
            </w:r>
            <w:r w:rsidRPr="00C15C6F">
              <w:rPr>
                <w:rFonts w:ascii="Times New Roman" w:eastAsia="Times New Roman" w:hAnsi="Times New Roman"/>
                <w:b/>
                <w:bCs/>
                <w:color w:val="000000"/>
                <w:sz w:val="20"/>
                <w:szCs w:val="20"/>
                <w:lang w:eastAsia="fr-FR"/>
              </w:rPr>
              <w:t>)</w:t>
            </w:r>
          </w:p>
        </w:tc>
        <w:tc>
          <w:tcPr>
            <w:tcW w:w="722"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33"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6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7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8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91"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Marié</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0,520</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0,450</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-0,100</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0,404</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veuf</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0,519</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0,325</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0,081</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0,081</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0,418</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Divorcé</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0,274</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0,118</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0,321</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0,024</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-0,242</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0,273</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 xml:space="preserve">Branche d’activité ( </w:t>
            </w:r>
            <w:r w:rsidR="00B004BF">
              <w:rPr>
                <w:rFonts w:ascii="Times New Roman" w:eastAsia="Times New Roman" w:hAnsi="Times New Roman"/>
                <w:b/>
                <w:bCs/>
                <w:color w:val="000000"/>
                <w:sz w:val="20"/>
                <w:szCs w:val="20"/>
                <w:lang w:eastAsia="fr-FR"/>
              </w:rPr>
              <w:t>réf</w:t>
            </w:r>
            <w:r w:rsidRPr="00C15C6F">
              <w:rPr>
                <w:rFonts w:ascii="Times New Roman" w:eastAsia="Times New Roman" w:hAnsi="Times New Roman"/>
                <w:b/>
                <w:bCs/>
                <w:color w:val="000000"/>
                <w:sz w:val="20"/>
                <w:szCs w:val="20"/>
                <w:lang w:eastAsia="fr-FR"/>
              </w:rPr>
              <w:t xml:space="preserve"> : autres activités</w:t>
            </w:r>
            <w:r w:rsidR="0013001C">
              <w:rPr>
                <w:rFonts w:ascii="Times New Roman" w:eastAsia="Times New Roman" w:hAnsi="Times New Roman"/>
                <w:b/>
                <w:bCs/>
                <w:color w:val="000000"/>
                <w:sz w:val="20"/>
                <w:szCs w:val="20"/>
                <w:lang w:eastAsia="fr-FR"/>
              </w:rPr>
              <w:t>)</w:t>
            </w:r>
          </w:p>
        </w:tc>
        <w:tc>
          <w:tcPr>
            <w:tcW w:w="722"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33"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6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7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8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91"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Agriculture, pêche et élevage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-0,092</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0,055</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0,163</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0,005</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-0,011</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0,865</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Industrie</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-0,136</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0,443</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0,144</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0,131</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0,044</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0,584</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xml:space="preserve">Commerce et restauration </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-0,250</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0,171</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-0,030</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0,695</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-0,049</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0,563</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b/>
                <w:bCs/>
                <w:color w:val="000000"/>
                <w:sz w:val="20"/>
                <w:szCs w:val="20"/>
                <w:lang w:eastAsia="fr-FR"/>
              </w:rPr>
            </w:pPr>
            <w:r w:rsidRPr="00C15C6F">
              <w:rPr>
                <w:rFonts w:ascii="Times New Roman" w:eastAsia="Times New Roman" w:hAnsi="Times New Roman"/>
                <w:b/>
                <w:bCs/>
                <w:color w:val="000000"/>
                <w:sz w:val="20"/>
                <w:szCs w:val="20"/>
                <w:lang w:eastAsia="fr-FR"/>
              </w:rPr>
              <w:t>Accessibilité économique aux besoins de base</w:t>
            </w:r>
            <w:r w:rsidRPr="00C15C6F">
              <w:rPr>
                <w:rStyle w:val="Appelnotedebasdep"/>
                <w:rFonts w:ascii="Times New Roman" w:eastAsia="Times New Roman" w:hAnsi="Times New Roman"/>
                <w:b/>
                <w:bCs/>
                <w:color w:val="000000"/>
                <w:sz w:val="20"/>
                <w:szCs w:val="20"/>
                <w:lang w:eastAsia="fr-FR"/>
              </w:rPr>
              <w:footnoteReference w:id="102"/>
            </w:r>
            <w:r w:rsidRPr="00C15C6F">
              <w:rPr>
                <w:rFonts w:ascii="Times New Roman" w:eastAsia="Times New Roman" w:hAnsi="Times New Roman"/>
                <w:b/>
                <w:bCs/>
                <w:color w:val="000000"/>
                <w:sz w:val="20"/>
                <w:szCs w:val="20"/>
                <w:lang w:eastAsia="fr-FR"/>
              </w:rPr>
              <w:t xml:space="preserve"> </w:t>
            </w:r>
          </w:p>
        </w:tc>
        <w:tc>
          <w:tcPr>
            <w:tcW w:w="722"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33"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6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7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8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91"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xml:space="preserve">Accessibilité économique à la santé </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-1,903</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-1,568</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-1,548</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387"/>
        </w:trPr>
        <w:tc>
          <w:tcPr>
            <w:tcW w:w="4725" w:type="dxa"/>
            <w:tcBorders>
              <w:top w:val="nil"/>
              <w:left w:val="nil"/>
              <w:bottom w:val="nil"/>
              <w:right w:val="nil"/>
            </w:tcBorders>
            <w:shd w:val="clear" w:color="auto" w:fill="auto"/>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Accessibilité économique à la communication</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-3,088</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-1,627</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-2,455</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Accessibilité économique à l'enseignement</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-2,778</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-1,348</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-1,511</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Accessibilité économique au logement et à l'électricité</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-1,469</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-1,466</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-1,486</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179"/>
        </w:trPr>
        <w:tc>
          <w:tcPr>
            <w:tcW w:w="472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22"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33"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6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75"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789"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c>
          <w:tcPr>
            <w:tcW w:w="691" w:type="dxa"/>
            <w:tcBorders>
              <w:top w:val="nil"/>
              <w:left w:val="nil"/>
              <w:bottom w:val="nil"/>
              <w:right w:val="nil"/>
            </w:tcBorders>
            <w:shd w:val="clear" w:color="auto" w:fill="auto"/>
            <w:noWrap/>
            <w:vAlign w:val="bottom"/>
            <w:hideMark/>
          </w:tcPr>
          <w:p w:rsidR="00AA6942" w:rsidRPr="00C15C6F" w:rsidRDefault="00AA6942" w:rsidP="00AA6942">
            <w:pPr>
              <w:spacing w:line="240" w:lineRule="auto"/>
              <w:jc w:val="left"/>
              <w:rPr>
                <w:rFonts w:ascii="Times New Roman" w:eastAsia="Times New Roman" w:hAnsi="Times New Roman"/>
                <w:color w:val="000000"/>
                <w:sz w:val="20"/>
                <w:szCs w:val="20"/>
                <w:lang w:eastAsia="fr-FR"/>
              </w:rPr>
            </w:pPr>
          </w:p>
        </w:tc>
      </w:tr>
      <w:tr w:rsidR="00AA6942" w:rsidRPr="00131870" w:rsidTr="00C15C6F">
        <w:trPr>
          <w:trHeight w:val="298"/>
        </w:trPr>
        <w:tc>
          <w:tcPr>
            <w:tcW w:w="472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xml:space="preserve">Constante </w:t>
            </w:r>
          </w:p>
        </w:tc>
        <w:tc>
          <w:tcPr>
            <w:tcW w:w="722"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-3,720</w:t>
            </w:r>
          </w:p>
        </w:tc>
        <w:tc>
          <w:tcPr>
            <w:tcW w:w="633"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6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-3,697</w:t>
            </w:r>
          </w:p>
        </w:tc>
        <w:tc>
          <w:tcPr>
            <w:tcW w:w="675"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c>
          <w:tcPr>
            <w:tcW w:w="789"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-7,113</w:t>
            </w:r>
          </w:p>
        </w:tc>
        <w:tc>
          <w:tcPr>
            <w:tcW w:w="691" w:type="dxa"/>
            <w:tcBorders>
              <w:top w:val="nil"/>
              <w:left w:val="nil"/>
              <w:bottom w:val="nil"/>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w:t>
            </w:r>
          </w:p>
        </w:tc>
      </w:tr>
      <w:tr w:rsidR="00AA6942" w:rsidRPr="00131870" w:rsidTr="00C15C6F">
        <w:trPr>
          <w:trHeight w:val="298"/>
        </w:trPr>
        <w:tc>
          <w:tcPr>
            <w:tcW w:w="4725"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Pseudo R2</w:t>
            </w:r>
          </w:p>
        </w:tc>
        <w:tc>
          <w:tcPr>
            <w:tcW w:w="722"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0,203</w:t>
            </w:r>
          </w:p>
        </w:tc>
        <w:tc>
          <w:tcPr>
            <w:tcW w:w="633"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w:t>
            </w:r>
          </w:p>
        </w:tc>
        <w:tc>
          <w:tcPr>
            <w:tcW w:w="769"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0,210</w:t>
            </w:r>
          </w:p>
        </w:tc>
        <w:tc>
          <w:tcPr>
            <w:tcW w:w="675"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w:t>
            </w:r>
          </w:p>
        </w:tc>
        <w:tc>
          <w:tcPr>
            <w:tcW w:w="789"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righ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0,3</w:t>
            </w:r>
          </w:p>
        </w:tc>
        <w:tc>
          <w:tcPr>
            <w:tcW w:w="691" w:type="dxa"/>
            <w:tcBorders>
              <w:top w:val="nil"/>
              <w:left w:val="nil"/>
              <w:bottom w:val="single" w:sz="4" w:space="0" w:color="auto"/>
              <w:right w:val="nil"/>
            </w:tcBorders>
            <w:shd w:val="clear" w:color="auto" w:fill="auto"/>
            <w:noWrap/>
            <w:vAlign w:val="bottom"/>
            <w:hideMark/>
          </w:tcPr>
          <w:p w:rsidR="00AA6942" w:rsidRPr="00C15C6F" w:rsidRDefault="00182C97" w:rsidP="00AA6942">
            <w:pPr>
              <w:spacing w:line="240" w:lineRule="auto"/>
              <w:jc w:val="left"/>
              <w:rPr>
                <w:rFonts w:ascii="Times New Roman" w:eastAsia="Times New Roman" w:hAnsi="Times New Roman"/>
                <w:color w:val="000000"/>
                <w:sz w:val="20"/>
                <w:szCs w:val="20"/>
                <w:lang w:eastAsia="fr-FR"/>
              </w:rPr>
            </w:pPr>
            <w:r w:rsidRPr="00C15C6F">
              <w:rPr>
                <w:rFonts w:ascii="Times New Roman" w:eastAsia="Times New Roman" w:hAnsi="Times New Roman"/>
                <w:color w:val="000000"/>
                <w:sz w:val="20"/>
                <w:szCs w:val="20"/>
                <w:lang w:eastAsia="fr-FR"/>
              </w:rPr>
              <w:t> </w:t>
            </w:r>
          </w:p>
        </w:tc>
      </w:tr>
    </w:tbl>
    <w:p w:rsidR="00AA6942" w:rsidRDefault="00AA6942" w:rsidP="00BE330A"/>
    <w:p w:rsidR="006A7852" w:rsidRDefault="006A7852" w:rsidP="00BE330A"/>
    <w:p w:rsidR="006A7852" w:rsidRDefault="006A7852" w:rsidP="00BE330A"/>
    <w:p w:rsidR="006A7852" w:rsidRDefault="006A7852" w:rsidP="00BE330A"/>
    <w:p w:rsidR="006A7852" w:rsidRDefault="006A7852" w:rsidP="00BE330A"/>
    <w:p w:rsidR="006A7852" w:rsidRDefault="006A7852" w:rsidP="00BE330A"/>
    <w:p w:rsidR="006A7852" w:rsidRDefault="006A7852" w:rsidP="00BE330A">
      <w:pPr>
        <w:sectPr w:rsidR="006A7852" w:rsidSect="00BE330A">
          <w:pgSz w:w="11906" w:h="16838"/>
          <w:pgMar w:top="1219" w:right="1418" w:bottom="1418" w:left="1418" w:header="284" w:footer="708" w:gutter="0"/>
          <w:cols w:space="708"/>
          <w:docGrid w:linePitch="360"/>
        </w:sectPr>
      </w:pPr>
    </w:p>
    <w:p w:rsidR="0031347F" w:rsidRPr="00910784" w:rsidRDefault="0031347F" w:rsidP="00910784">
      <w:pPr>
        <w:pStyle w:val="Titre2"/>
        <w:spacing w:before="0" w:after="0" w:line="240" w:lineRule="auto"/>
        <w:rPr>
          <w:rFonts w:ascii="Times New Roman" w:hAnsi="Times New Roman" w:cs="Times New Roman"/>
          <w:i w:val="0"/>
        </w:rPr>
      </w:pPr>
      <w:bookmarkStart w:id="227" w:name="_Toc382322972"/>
      <w:r w:rsidRPr="00910784">
        <w:rPr>
          <w:rFonts w:ascii="Times New Roman" w:hAnsi="Times New Roman" w:cs="Times New Roman"/>
          <w:i w:val="0"/>
        </w:rPr>
        <w:t>A3</w:t>
      </w:r>
      <w:r w:rsidR="002A3B41" w:rsidRPr="00910784">
        <w:rPr>
          <w:rFonts w:ascii="Times New Roman" w:hAnsi="Times New Roman" w:cs="Times New Roman"/>
          <w:i w:val="0"/>
        </w:rPr>
        <w:t> :</w:t>
      </w:r>
      <w:r w:rsidR="00F733A7">
        <w:rPr>
          <w:rFonts w:ascii="Times New Roman" w:hAnsi="Times New Roman" w:cs="Times New Roman"/>
          <w:i w:val="0"/>
        </w:rPr>
        <w:t xml:space="preserve"> </w:t>
      </w:r>
      <w:r w:rsidRPr="00910784">
        <w:rPr>
          <w:rFonts w:ascii="Times New Roman" w:hAnsi="Times New Roman" w:cs="Times New Roman"/>
          <w:i w:val="0"/>
        </w:rPr>
        <w:t xml:space="preserve">Tableaux complémentaires du chapitre </w:t>
      </w:r>
      <w:r w:rsidR="00C26AB2">
        <w:rPr>
          <w:rFonts w:ascii="Times New Roman" w:hAnsi="Times New Roman" w:cs="Times New Roman"/>
          <w:i w:val="0"/>
        </w:rPr>
        <w:t>3</w:t>
      </w:r>
      <w:bookmarkEnd w:id="227"/>
    </w:p>
    <w:p w:rsidR="00B40A6D" w:rsidRDefault="00B40A6D"/>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876"/>
        <w:gridCol w:w="586"/>
        <w:gridCol w:w="585"/>
        <w:gridCol w:w="585"/>
        <w:gridCol w:w="585"/>
        <w:gridCol w:w="585"/>
        <w:gridCol w:w="585"/>
        <w:gridCol w:w="278"/>
        <w:gridCol w:w="617"/>
        <w:gridCol w:w="614"/>
        <w:gridCol w:w="614"/>
        <w:gridCol w:w="614"/>
        <w:gridCol w:w="602"/>
        <w:gridCol w:w="278"/>
        <w:gridCol w:w="688"/>
        <w:gridCol w:w="688"/>
        <w:gridCol w:w="688"/>
        <w:gridCol w:w="688"/>
        <w:gridCol w:w="585"/>
      </w:tblGrid>
      <w:tr w:rsidR="00B40A6D" w:rsidRPr="00B40A6D" w:rsidTr="0069692A">
        <w:trPr>
          <w:trHeight w:val="300"/>
          <w:tblHeader/>
        </w:trPr>
        <w:tc>
          <w:tcPr>
            <w:tcW w:w="5000" w:type="pct"/>
            <w:gridSpan w:val="19"/>
            <w:tcBorders>
              <w:top w:val="nil"/>
              <w:bottom w:val="double" w:sz="4" w:space="0" w:color="auto"/>
            </w:tcBorders>
            <w:shd w:val="clear" w:color="auto" w:fill="92CDDC" w:themeFill="accent5" w:themeFillTint="99"/>
            <w:noWrap/>
            <w:vAlign w:val="center"/>
            <w:hideMark/>
          </w:tcPr>
          <w:p w:rsidR="00832112" w:rsidRPr="00832112" w:rsidRDefault="00832112" w:rsidP="00832112">
            <w:pPr>
              <w:spacing w:line="240" w:lineRule="auto"/>
              <w:jc w:val="left"/>
              <w:rPr>
                <w:rFonts w:ascii="Times New Roman" w:eastAsia="Times New Roman" w:hAnsi="Times New Roman"/>
                <w:b/>
                <w:bCs/>
                <w:color w:val="000000"/>
                <w:sz w:val="24"/>
                <w:szCs w:val="24"/>
                <w:lang w:eastAsia="fr-FR"/>
              </w:rPr>
            </w:pPr>
            <w:bookmarkStart w:id="228" w:name="_Toc373430391"/>
            <w:r w:rsidRPr="00832112">
              <w:rPr>
                <w:rFonts w:ascii="Times New Roman" w:hAnsi="Times New Roman"/>
                <w:sz w:val="24"/>
                <w:szCs w:val="24"/>
              </w:rPr>
              <w:t xml:space="preserve">Tableau A3. </w:t>
            </w:r>
            <w:r w:rsidR="00182C97" w:rsidRPr="00832112">
              <w:rPr>
                <w:rFonts w:ascii="Times New Roman" w:hAnsi="Times New Roman"/>
                <w:sz w:val="24"/>
                <w:szCs w:val="24"/>
              </w:rPr>
              <w:fldChar w:fldCharType="begin"/>
            </w:r>
            <w:r w:rsidRPr="00832112">
              <w:rPr>
                <w:rFonts w:ascii="Times New Roman" w:eastAsia="Times New Roman" w:hAnsi="Times New Roman"/>
                <w:bCs/>
                <w:sz w:val="24"/>
                <w:szCs w:val="24"/>
              </w:rPr>
              <w:instrText xml:space="preserve"> SEQ Tableau_A3. \* ARABIC </w:instrText>
            </w:r>
            <w:r w:rsidR="00182C97" w:rsidRPr="00832112">
              <w:rPr>
                <w:rFonts w:ascii="Times New Roman" w:eastAsia="Times New Roman" w:hAnsi="Times New Roman"/>
                <w:bCs/>
                <w:sz w:val="24"/>
                <w:szCs w:val="24"/>
              </w:rPr>
              <w:fldChar w:fldCharType="separate"/>
            </w:r>
            <w:r w:rsidR="00AB1967">
              <w:rPr>
                <w:rFonts w:ascii="Times New Roman" w:eastAsia="Times New Roman" w:hAnsi="Times New Roman"/>
                <w:bCs/>
                <w:noProof/>
                <w:sz w:val="24"/>
                <w:szCs w:val="24"/>
              </w:rPr>
              <w:t>1</w:t>
            </w:r>
            <w:r w:rsidR="00182C97" w:rsidRPr="00832112">
              <w:rPr>
                <w:rFonts w:ascii="Times New Roman" w:eastAsia="Times New Roman" w:hAnsi="Times New Roman"/>
                <w:bCs/>
                <w:sz w:val="24"/>
                <w:szCs w:val="24"/>
              </w:rPr>
              <w:fldChar w:fldCharType="end"/>
            </w:r>
            <w:r w:rsidR="00B40A6D" w:rsidRPr="00B40A6D">
              <w:rPr>
                <w:rFonts w:ascii="Times New Roman" w:eastAsia="Times New Roman" w:hAnsi="Times New Roman"/>
                <w:bCs/>
                <w:sz w:val="24"/>
                <w:szCs w:val="24"/>
              </w:rPr>
              <w:t>: Indicateurs économiques relatifs au produit intérieur brut (PIB)</w:t>
            </w:r>
            <w:bookmarkEnd w:id="228"/>
          </w:p>
        </w:tc>
      </w:tr>
      <w:tr w:rsidR="00873C70" w:rsidRPr="00A33632" w:rsidTr="00B40A6D">
        <w:trPr>
          <w:trHeight w:val="300"/>
          <w:tblHeader/>
        </w:trPr>
        <w:tc>
          <w:tcPr>
            <w:tcW w:w="1351" w:type="pct"/>
            <w:vMerge w:val="restart"/>
            <w:tcBorders>
              <w:top w:val="double" w:sz="4" w:space="0" w:color="auto"/>
            </w:tcBorders>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b/>
                <w:color w:val="000000"/>
                <w:sz w:val="18"/>
                <w:szCs w:val="18"/>
                <w:lang w:eastAsia="fr-FR"/>
              </w:rPr>
            </w:pPr>
            <w:r w:rsidRPr="00A33632">
              <w:rPr>
                <w:rFonts w:ascii="Times New Roman" w:eastAsia="Times New Roman" w:hAnsi="Times New Roman"/>
                <w:b/>
                <w:sz w:val="18"/>
                <w:szCs w:val="18"/>
                <w:lang w:eastAsia="fr-FR"/>
              </w:rPr>
              <w:t>Branches d'activité</w:t>
            </w:r>
          </w:p>
        </w:tc>
        <w:tc>
          <w:tcPr>
            <w:tcW w:w="1224" w:type="pct"/>
            <w:gridSpan w:val="6"/>
            <w:tcBorders>
              <w:top w:val="double" w:sz="4" w:space="0" w:color="auto"/>
              <w:bottom w:val="single" w:sz="4" w:space="0" w:color="auto"/>
            </w:tcBorders>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Structure du PIB</w:t>
            </w:r>
          </w:p>
        </w:tc>
        <w:tc>
          <w:tcPr>
            <w:tcW w:w="97" w:type="pct"/>
            <w:tcBorders>
              <w:top w:val="double" w:sz="4" w:space="0" w:color="auto"/>
              <w:bottom w:val="nil"/>
            </w:tcBorders>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1067" w:type="pct"/>
            <w:gridSpan w:val="5"/>
            <w:tcBorders>
              <w:top w:val="double" w:sz="4" w:space="0" w:color="auto"/>
              <w:bottom w:val="single" w:sz="4" w:space="0" w:color="auto"/>
            </w:tcBorders>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Taux de croissance des branches</w:t>
            </w:r>
          </w:p>
        </w:tc>
        <w:tc>
          <w:tcPr>
            <w:tcW w:w="97" w:type="pct"/>
            <w:tcBorders>
              <w:top w:val="double" w:sz="4" w:space="0" w:color="auto"/>
              <w:bottom w:val="nil"/>
            </w:tcBorders>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1163" w:type="pct"/>
            <w:gridSpan w:val="5"/>
            <w:tcBorders>
              <w:top w:val="double" w:sz="4" w:space="0" w:color="auto"/>
              <w:bottom w:val="single" w:sz="4" w:space="0" w:color="auto"/>
            </w:tcBorders>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Contribution à la croissance du PIB</w:t>
            </w:r>
          </w:p>
        </w:tc>
      </w:tr>
      <w:tr w:rsidR="00873C70" w:rsidRPr="00A33632" w:rsidTr="00CE1899">
        <w:trPr>
          <w:trHeight w:val="300"/>
          <w:tblHeader/>
        </w:trPr>
        <w:tc>
          <w:tcPr>
            <w:tcW w:w="1351" w:type="pct"/>
            <w:vMerge/>
            <w:tcBorders>
              <w:bottom w:val="single" w:sz="4" w:space="0" w:color="auto"/>
            </w:tcBorders>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2006</w:t>
            </w: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2007</w:t>
            </w: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2008</w:t>
            </w: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2009</w:t>
            </w: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2010</w:t>
            </w: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2011</w:t>
            </w:r>
          </w:p>
        </w:tc>
        <w:tc>
          <w:tcPr>
            <w:tcW w:w="97" w:type="pct"/>
            <w:tcBorders>
              <w:top w:val="nil"/>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2007</w:t>
            </w:r>
          </w:p>
        </w:tc>
        <w:tc>
          <w:tcPr>
            <w:tcW w:w="21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2008</w:t>
            </w:r>
          </w:p>
        </w:tc>
        <w:tc>
          <w:tcPr>
            <w:tcW w:w="21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2009</w:t>
            </w:r>
          </w:p>
        </w:tc>
        <w:tc>
          <w:tcPr>
            <w:tcW w:w="21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2010</w:t>
            </w:r>
          </w:p>
        </w:tc>
        <w:tc>
          <w:tcPr>
            <w:tcW w:w="210"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2011</w:t>
            </w:r>
          </w:p>
        </w:tc>
        <w:tc>
          <w:tcPr>
            <w:tcW w:w="97" w:type="pct"/>
            <w:tcBorders>
              <w:top w:val="nil"/>
              <w:bottom w:val="single" w:sz="4" w:space="0" w:color="auto"/>
            </w:tcBorders>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2007</w:t>
            </w:r>
          </w:p>
        </w:tc>
        <w:tc>
          <w:tcPr>
            <w:tcW w:w="240"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2008</w:t>
            </w:r>
          </w:p>
        </w:tc>
        <w:tc>
          <w:tcPr>
            <w:tcW w:w="240"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2009</w:t>
            </w:r>
          </w:p>
        </w:tc>
        <w:tc>
          <w:tcPr>
            <w:tcW w:w="240"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2010</w:t>
            </w:r>
          </w:p>
        </w:tc>
        <w:tc>
          <w:tcPr>
            <w:tcW w:w="204" w:type="pct"/>
            <w:tcBorders>
              <w:top w:val="single" w:sz="4" w:space="0" w:color="auto"/>
              <w:bottom w:val="single" w:sz="4" w:space="0" w:color="auto"/>
            </w:tcBorders>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2011</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Agriculture hors coton</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24,7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24,8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25,0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24,9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2,7</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4,9</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5,1</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3,7</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0,67</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1,19</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1,23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0,91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0,73</w:t>
            </w:r>
          </w:p>
        </w:tc>
      </w:tr>
      <w:tr w:rsidR="00873C70" w:rsidRPr="00A33632" w:rsidTr="001141F4">
        <w:trPr>
          <w:trHeight w:val="300"/>
        </w:trPr>
        <w:tc>
          <w:tcPr>
            <w:tcW w:w="1351" w:type="pct"/>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agriculture vivrière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15,6</w:t>
            </w:r>
          </w:p>
        </w:tc>
        <w:tc>
          <w:tcPr>
            <w:tcW w:w="97" w:type="pct"/>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5,7</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5,3</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2,4</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0,87</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0,80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0,48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0,37</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agriculture destinée à l'industrie ou l'exportation</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1,4</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3,4</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11,5</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0,15</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élevage et chasse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4,1</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3,5</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3,5</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3,5</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1,1</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0,15</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0,15</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0,13</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sylviculture et services annexes</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2,8</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3,4</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6,1</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9,6</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0,09</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0,08</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r>
      <w:tr w:rsidR="00873C70" w:rsidRPr="00A33632" w:rsidTr="001141F4">
        <w:trPr>
          <w:trHeight w:val="300"/>
        </w:trPr>
        <w:tc>
          <w:tcPr>
            <w:tcW w:w="1351" w:type="pct"/>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pêche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1,0</w:t>
            </w:r>
          </w:p>
        </w:tc>
        <w:tc>
          <w:tcPr>
            <w:tcW w:w="97" w:type="pct"/>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3,4</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6,1</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9,6</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r>
      <w:tr w:rsidR="00873C70" w:rsidRPr="00A33632" w:rsidTr="001141F4">
        <w:trPr>
          <w:trHeight w:val="300"/>
        </w:trPr>
        <w:tc>
          <w:tcPr>
            <w:tcW w:w="1351" w:type="pct"/>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Coton-Textile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4,4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3,7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3,0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2,9</w:t>
            </w:r>
          </w:p>
        </w:tc>
        <w:tc>
          <w:tcPr>
            <w:tcW w:w="97" w:type="pct"/>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10,7</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-11,6</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-16,4</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-12,8</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17,2</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0,45</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  0,51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  0,61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  0,39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0,44</w:t>
            </w:r>
          </w:p>
        </w:tc>
      </w:tr>
      <w:tr w:rsidR="00873C70" w:rsidRPr="00A33632" w:rsidTr="001141F4">
        <w:trPr>
          <w:trHeight w:val="300"/>
        </w:trPr>
        <w:tc>
          <w:tcPr>
            <w:tcW w:w="1351" w:type="pct"/>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coton</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2,1</w:t>
            </w:r>
          </w:p>
        </w:tc>
        <w:tc>
          <w:tcPr>
            <w:tcW w:w="97" w:type="pct"/>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14,6</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-21,1</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-16,8</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22,9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0,47</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0,53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0,60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0,37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0,41</w:t>
            </w:r>
          </w:p>
        </w:tc>
      </w:tr>
      <w:tr w:rsidR="00873C70" w:rsidRPr="00A33632" w:rsidTr="001141F4">
        <w:trPr>
          <w:trHeight w:val="300"/>
        </w:trPr>
        <w:tc>
          <w:tcPr>
            <w:tcW w:w="1351" w:type="pct"/>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textile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97" w:type="pct"/>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-28,8</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-4,9</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-25,1</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-53,4</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28,1</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0,05</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0,01</w:t>
            </w:r>
          </w:p>
        </w:tc>
      </w:tr>
      <w:tr w:rsidR="00873C70" w:rsidRPr="00A33632" w:rsidTr="001141F4">
        <w:trPr>
          <w:trHeight w:val="300"/>
        </w:trPr>
        <w:tc>
          <w:tcPr>
            <w:tcW w:w="1351" w:type="pct"/>
            <w:shd w:val="clear" w:color="auto" w:fill="DAEEF3" w:themeFill="accent5" w:themeFillTint="33"/>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artisanat</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0,7</w:t>
            </w:r>
          </w:p>
        </w:tc>
        <w:tc>
          <w:tcPr>
            <w:tcW w:w="97" w:type="pct"/>
            <w:shd w:val="clear" w:color="auto" w:fill="DAEEF3" w:themeFill="accent5" w:themeFillTint="33"/>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3,2</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Commerce-logistique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16,8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17,0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17,4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17,7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17,5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17,4</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5,9</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7,4</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4,2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1,8</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2,6</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0,99</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1,26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0,73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0,32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0,45</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commerce formel</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5,5</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5,8</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0,5</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1,8</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0,32</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0,46</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0,09</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commerce informel</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5,8</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0,5</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1,8</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1,5</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0,02</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logistique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7,4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7,5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7,6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6,3</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9,0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3,8</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0,44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0,48</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0,68</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0,15</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0,30</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Agroalimentaire</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5,7</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5,3</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3,0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2,4</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0,17</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0,44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0,41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0,24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0,19</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industries</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5,7</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5,3</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2,4</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0,05</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artisanat</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5,7</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5,3</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2,4</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0,14</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BTP - matériaux de construction</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8,4</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7,2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8,2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3,0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6,0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0,60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0,70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0,27</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  0,00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0,52</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construction, génie civil</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2,8</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2,9</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7,2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0,09</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0,17</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artisanat</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4,1</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4,3</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4,2</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4,3</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7,2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0,29</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0,34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0,13</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0,25</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matériaux de construction</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1,6</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1,7</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1,7</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7,2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8,2</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3,0</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6,0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0,12</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0,14</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0,05</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0,10</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Mines et hydrocarbures</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bCs/>
                <w:color w:val="000000"/>
                <w:sz w:val="18"/>
                <w:szCs w:val="18"/>
                <w:lang w:eastAsia="fr-FR"/>
              </w:rPr>
            </w:pPr>
            <w:r w:rsidRPr="00A33632">
              <w:rPr>
                <w:rFonts w:ascii="Times New Roman" w:eastAsia="Times New Roman" w:hAnsi="Times New Roman"/>
                <w:b/>
                <w:bCs/>
                <w:color w:val="000000"/>
                <w:sz w:val="18"/>
                <w:szCs w:val="18"/>
                <w:lang w:eastAsia="fr-FR"/>
              </w:rPr>
              <w:t>-  0,01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color w:val="000000"/>
                <w:sz w:val="18"/>
                <w:szCs w:val="18"/>
                <w:lang w:eastAsia="fr-FR"/>
              </w:rPr>
            </w:pPr>
            <w:r w:rsidRPr="00A33632">
              <w:rPr>
                <w:rFonts w:ascii="Times New Roman" w:eastAsia="Times New Roman" w:hAnsi="Times New Roman"/>
                <w:b/>
                <w:color w:val="000000"/>
                <w:sz w:val="18"/>
                <w:szCs w:val="18"/>
                <w:lang w:eastAsia="fr-FR"/>
              </w:rPr>
              <w:t>0,00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b/>
                <w:color w:val="000000"/>
                <w:sz w:val="18"/>
                <w:szCs w:val="18"/>
                <w:lang w:eastAsia="fr-FR"/>
              </w:rPr>
            </w:pPr>
            <w:r w:rsidRPr="00A33632">
              <w:rPr>
                <w:rFonts w:ascii="Times New Roman" w:eastAsia="Times New Roman" w:hAnsi="Times New Roman"/>
                <w:b/>
                <w:color w:val="000000"/>
                <w:sz w:val="18"/>
                <w:szCs w:val="18"/>
                <w:lang w:eastAsia="fr-FR"/>
              </w:rPr>
              <w:t>0,00</w:t>
            </w:r>
          </w:p>
        </w:tc>
      </w:tr>
      <w:tr w:rsidR="00873C70" w:rsidRPr="00A33632"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industries</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0,01</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r>
      <w:tr w:rsidR="00873C70" w:rsidRPr="00375086" w:rsidTr="001141F4">
        <w:trPr>
          <w:trHeight w:val="300"/>
        </w:trPr>
        <w:tc>
          <w:tcPr>
            <w:tcW w:w="1351" w:type="pct"/>
            <w:shd w:val="clear" w:color="auto" w:fill="DAEEF3" w:themeFill="accent5" w:themeFillTint="33"/>
            <w:noWrap/>
            <w:vAlign w:val="center"/>
            <w:hideMark/>
          </w:tcPr>
          <w:p w:rsidR="00873C70" w:rsidRPr="00A33632" w:rsidRDefault="00873C70" w:rsidP="00873C70">
            <w:pPr>
              <w:spacing w:line="240" w:lineRule="auto"/>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xml:space="preserve">   artisanat</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20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21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  0,00</w:t>
            </w:r>
          </w:p>
        </w:tc>
        <w:tc>
          <w:tcPr>
            <w:tcW w:w="240" w:type="pct"/>
            <w:shd w:val="clear" w:color="auto" w:fill="DAEEF3" w:themeFill="accent5" w:themeFillTint="33"/>
            <w:noWrap/>
            <w:vAlign w:val="center"/>
            <w:hideMark/>
          </w:tcPr>
          <w:p w:rsidR="00873C70" w:rsidRPr="00A33632"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A33632">
              <w:rPr>
                <w:rFonts w:ascii="Times New Roman" w:eastAsia="Times New Roman" w:hAnsi="Times New Roman"/>
                <w:color w:val="000000"/>
                <w:sz w:val="18"/>
                <w:szCs w:val="18"/>
                <w:lang w:eastAsia="fr-FR"/>
              </w:rPr>
              <w:t>0,00</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Electricité, gaz, eau</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0,5</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0,6</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7,7</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6,9</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4,7</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  0,01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0,04</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0,03</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Autres activités industrielles et artisanales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4,0</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3,2</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0,13</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0,13</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0,13</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0,13</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autres activités industrielles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1,8</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0,06</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0,06</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artisanat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2,2</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0,07</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0,07</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0,07</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0,07</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Services financiers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1,8</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0,12</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0,02</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0,07</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services financiers formels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6,4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6,8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0,02</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0,05</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0,06</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services financiers informels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6,4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6,8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0,00</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Services d'administration publique</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6,5</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6,5</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4,6</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4,7</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3,3</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0,29</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0,32</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0,30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0,19</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Services d'éducation</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4,3</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4,6</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4,7</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3,3</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0,19</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0,19</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0,12</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Services de santé et d'action sociale</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4,6</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4,7</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3,3</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0,04</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0,05</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0,04</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0,03</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Autres services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8,3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8,3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8,3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8,3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8,4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8,4</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4,5</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3,3</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3,4</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3,3</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0,37</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0,40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0,27</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0,28</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non artisanaux</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5,3</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5,5</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5,5</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5,7</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3,5</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3,4</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0,28</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0,30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0,18</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0,19</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artisanaux</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2,9</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3,2</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0,10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0,09</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0,09</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0,09</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DTI</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11,9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11,9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12,0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11,4</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11,7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11,6</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6,0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5,5</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2,5</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0,57</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  0,36</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0,62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0,29</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Artisanat, culture et tourisme</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16,6</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16,8</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16,8</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3,9</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5,4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3,9</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2,3</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3,6</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0,64</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0,90</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0,64</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0,39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0,61</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ensemble artisanat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16,0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15,9</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16,0</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16,2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16,1</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16,1</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3,8</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5,4</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3,9</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2,3</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3,6</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0,61</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0,86</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0,62</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0,37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0,58</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culture, tourisme</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0,7</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4,6</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5,0</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2,7</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2,6</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3,5</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0,03</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0,03</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0,02</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0,02</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0,02</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Chômeurs</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Inactif</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r>
      <w:tr w:rsidR="00873C70" w:rsidRPr="00375086" w:rsidTr="001141F4">
        <w:trPr>
          <w:trHeight w:val="300"/>
        </w:trPr>
        <w:tc>
          <w:tcPr>
            <w:tcW w:w="1351" w:type="pct"/>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 xml:space="preserve"> Non déclaré </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5"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1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97"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40"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c>
          <w:tcPr>
            <w:tcW w:w="204" w:type="pct"/>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color w:val="000000"/>
                <w:sz w:val="18"/>
                <w:szCs w:val="18"/>
                <w:lang w:eastAsia="fr-FR"/>
              </w:rPr>
            </w:pPr>
            <w:r w:rsidRPr="00375086">
              <w:rPr>
                <w:rFonts w:ascii="Times New Roman" w:eastAsia="Times New Roman" w:hAnsi="Times New Roman"/>
                <w:color w:val="000000"/>
                <w:sz w:val="18"/>
                <w:szCs w:val="18"/>
                <w:lang w:eastAsia="fr-FR"/>
              </w:rPr>
              <w:t>-</w:t>
            </w:r>
          </w:p>
        </w:tc>
      </w:tr>
      <w:tr w:rsidR="00873C70" w:rsidRPr="00375086" w:rsidTr="001D5F9A">
        <w:trPr>
          <w:trHeight w:val="300"/>
        </w:trPr>
        <w:tc>
          <w:tcPr>
            <w:tcW w:w="1351"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rPr>
                <w:rFonts w:ascii="Times New Roman" w:eastAsia="Times New Roman" w:hAnsi="Times New Roman"/>
                <w:b/>
                <w:color w:val="000000"/>
                <w:sz w:val="18"/>
                <w:szCs w:val="18"/>
                <w:lang w:eastAsia="fr-FR"/>
              </w:rPr>
            </w:pPr>
            <w:r w:rsidRPr="00375086">
              <w:rPr>
                <w:rFonts w:ascii="Times New Roman" w:eastAsia="Times New Roman" w:hAnsi="Times New Roman"/>
                <w:b/>
                <w:color w:val="000000"/>
                <w:sz w:val="18"/>
                <w:szCs w:val="18"/>
                <w:lang w:eastAsia="fr-FR"/>
              </w:rPr>
              <w:t>PIB</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100</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100</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100</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100</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100</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100</w:t>
            </w:r>
          </w:p>
        </w:tc>
        <w:tc>
          <w:tcPr>
            <w:tcW w:w="97"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color w:val="000000"/>
                <w:sz w:val="18"/>
                <w:szCs w:val="18"/>
                <w:lang w:eastAsia="fr-FR"/>
              </w:rPr>
            </w:pPr>
          </w:p>
        </w:tc>
        <w:tc>
          <w:tcPr>
            <w:tcW w:w="215"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color w:val="000000"/>
                <w:sz w:val="18"/>
                <w:szCs w:val="18"/>
                <w:lang w:eastAsia="fr-FR"/>
              </w:rPr>
            </w:pPr>
            <w:r w:rsidRPr="00375086">
              <w:rPr>
                <w:rFonts w:ascii="Times New Roman" w:eastAsia="Times New Roman" w:hAnsi="Times New Roman"/>
                <w:b/>
                <w:color w:val="000000"/>
                <w:sz w:val="18"/>
                <w:szCs w:val="18"/>
                <w:lang w:eastAsia="fr-FR"/>
              </w:rPr>
              <w:t>4,6</w:t>
            </w:r>
          </w:p>
        </w:tc>
        <w:tc>
          <w:tcPr>
            <w:tcW w:w="21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5,0</w:t>
            </w:r>
          </w:p>
        </w:tc>
        <w:tc>
          <w:tcPr>
            <w:tcW w:w="21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2,7</w:t>
            </w:r>
          </w:p>
        </w:tc>
        <w:tc>
          <w:tcPr>
            <w:tcW w:w="21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2,6</w:t>
            </w:r>
          </w:p>
        </w:tc>
        <w:tc>
          <w:tcPr>
            <w:tcW w:w="210"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3,5</w:t>
            </w:r>
          </w:p>
        </w:tc>
        <w:tc>
          <w:tcPr>
            <w:tcW w:w="97"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color w:val="000000"/>
                <w:sz w:val="18"/>
                <w:szCs w:val="18"/>
                <w:lang w:eastAsia="fr-FR"/>
              </w:rPr>
            </w:pPr>
          </w:p>
        </w:tc>
        <w:tc>
          <w:tcPr>
            <w:tcW w:w="240"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color w:val="000000"/>
                <w:sz w:val="18"/>
                <w:szCs w:val="18"/>
                <w:lang w:eastAsia="fr-FR"/>
              </w:rPr>
            </w:pPr>
            <w:r w:rsidRPr="00375086">
              <w:rPr>
                <w:rFonts w:ascii="Times New Roman" w:eastAsia="Times New Roman" w:hAnsi="Times New Roman"/>
                <w:b/>
                <w:color w:val="000000"/>
                <w:sz w:val="18"/>
                <w:szCs w:val="18"/>
                <w:lang w:eastAsia="fr-FR"/>
              </w:rPr>
              <w:t>4,6</w:t>
            </w:r>
          </w:p>
        </w:tc>
        <w:tc>
          <w:tcPr>
            <w:tcW w:w="240"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5,0</w:t>
            </w:r>
          </w:p>
        </w:tc>
        <w:tc>
          <w:tcPr>
            <w:tcW w:w="240"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2,7</w:t>
            </w:r>
          </w:p>
        </w:tc>
        <w:tc>
          <w:tcPr>
            <w:tcW w:w="240"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2,6</w:t>
            </w:r>
          </w:p>
        </w:tc>
        <w:tc>
          <w:tcPr>
            <w:tcW w:w="204" w:type="pct"/>
            <w:tcBorders>
              <w:bottom w:val="double" w:sz="4" w:space="0" w:color="auto"/>
            </w:tcBorders>
            <w:shd w:val="clear" w:color="auto" w:fill="DAEEF3" w:themeFill="accent5" w:themeFillTint="33"/>
            <w:noWrap/>
            <w:vAlign w:val="center"/>
            <w:hideMark/>
          </w:tcPr>
          <w:p w:rsidR="00873C70" w:rsidRPr="00375086" w:rsidRDefault="00873C70" w:rsidP="00873C70">
            <w:pPr>
              <w:spacing w:line="240" w:lineRule="auto"/>
              <w:jc w:val="center"/>
              <w:rPr>
                <w:rFonts w:ascii="Times New Roman" w:eastAsia="Times New Roman" w:hAnsi="Times New Roman"/>
                <w:b/>
                <w:bCs/>
                <w:color w:val="000000"/>
                <w:sz w:val="18"/>
                <w:szCs w:val="18"/>
                <w:lang w:eastAsia="fr-FR"/>
              </w:rPr>
            </w:pPr>
            <w:r w:rsidRPr="00375086">
              <w:rPr>
                <w:rFonts w:ascii="Times New Roman" w:eastAsia="Times New Roman" w:hAnsi="Times New Roman"/>
                <w:b/>
                <w:bCs/>
                <w:color w:val="000000"/>
                <w:sz w:val="18"/>
                <w:szCs w:val="18"/>
                <w:lang w:eastAsia="fr-FR"/>
              </w:rPr>
              <w:t>3,5</w:t>
            </w:r>
          </w:p>
        </w:tc>
      </w:tr>
      <w:tr w:rsidR="001141F4" w:rsidRPr="00375086" w:rsidTr="001D5F9A">
        <w:trPr>
          <w:trHeight w:val="300"/>
        </w:trPr>
        <w:tc>
          <w:tcPr>
            <w:tcW w:w="5000" w:type="pct"/>
            <w:gridSpan w:val="19"/>
            <w:tcBorders>
              <w:top w:val="double" w:sz="4" w:space="0" w:color="auto"/>
              <w:bottom w:val="nil"/>
            </w:tcBorders>
            <w:shd w:val="clear" w:color="auto" w:fill="DAEEF3" w:themeFill="accent5" w:themeFillTint="33"/>
            <w:noWrap/>
            <w:vAlign w:val="center"/>
            <w:hideMark/>
          </w:tcPr>
          <w:p w:rsidR="001141F4" w:rsidRPr="001D5F9A" w:rsidRDefault="001141F4" w:rsidP="001D5F9A">
            <w:pPr>
              <w:tabs>
                <w:tab w:val="left" w:pos="1335"/>
              </w:tabs>
              <w:spacing w:line="276" w:lineRule="auto"/>
              <w:jc w:val="left"/>
              <w:rPr>
                <w:rFonts w:ascii="Times New Roman" w:hAnsi="Times New Roman"/>
                <w:sz w:val="18"/>
                <w:szCs w:val="18"/>
              </w:rPr>
            </w:pPr>
            <w:r w:rsidRPr="00003998">
              <w:rPr>
                <w:rFonts w:ascii="Times New Roman" w:hAnsi="Times New Roman"/>
                <w:sz w:val="18"/>
                <w:szCs w:val="18"/>
              </w:rPr>
              <w:t>Source : INSAE</w:t>
            </w:r>
            <w:r w:rsidR="001D5F9A">
              <w:rPr>
                <w:rFonts w:ascii="Times New Roman" w:hAnsi="Times New Roman"/>
                <w:sz w:val="18"/>
                <w:szCs w:val="18"/>
              </w:rPr>
              <w:t xml:space="preserve"> 2013</w:t>
            </w:r>
            <w:r w:rsidRPr="00003998">
              <w:rPr>
                <w:rFonts w:ascii="Times New Roman" w:hAnsi="Times New Roman"/>
                <w:sz w:val="18"/>
                <w:szCs w:val="18"/>
              </w:rPr>
              <w:t>, Service des comptes nationau</w:t>
            </w:r>
            <w:r w:rsidR="001D5F9A">
              <w:rPr>
                <w:rFonts w:ascii="Times New Roman" w:hAnsi="Times New Roman"/>
                <w:sz w:val="18"/>
                <w:szCs w:val="18"/>
              </w:rPr>
              <w:t>x</w:t>
            </w:r>
          </w:p>
        </w:tc>
      </w:tr>
    </w:tbl>
    <w:p w:rsidR="001141F4" w:rsidRDefault="001141F4" w:rsidP="00873C70">
      <w:pPr>
        <w:tabs>
          <w:tab w:val="left" w:pos="1335"/>
        </w:tabs>
        <w:rPr>
          <w:rFonts w:ascii="Times New Roman" w:hAnsi="Times New Roman"/>
          <w:sz w:val="18"/>
          <w:szCs w:val="18"/>
        </w:rPr>
      </w:pPr>
    </w:p>
    <w:p w:rsidR="00873C70" w:rsidRDefault="00873C70" w:rsidP="003B44B5">
      <w:pPr>
        <w:spacing w:line="276" w:lineRule="auto"/>
        <w:rPr>
          <w:rFonts w:ascii="Times New Roman" w:hAnsi="Times New Roman"/>
          <w:b/>
          <w:sz w:val="24"/>
          <w:szCs w:val="24"/>
        </w:rPr>
      </w:pPr>
    </w:p>
    <w:p w:rsidR="00E87C89" w:rsidRDefault="00E87C89" w:rsidP="003B44B5">
      <w:pPr>
        <w:spacing w:line="276" w:lineRule="auto"/>
        <w:rPr>
          <w:rFonts w:ascii="Times New Roman" w:hAnsi="Times New Roman"/>
          <w:b/>
          <w:sz w:val="24"/>
          <w:szCs w:val="24"/>
        </w:rPr>
        <w:sectPr w:rsidR="00E87C89" w:rsidSect="00AF5F7B">
          <w:pgSz w:w="16838" w:h="11906" w:orient="landscape"/>
          <w:pgMar w:top="1418" w:right="1219" w:bottom="1418" w:left="1418" w:header="284" w:footer="708" w:gutter="0"/>
          <w:cols w:space="708"/>
          <w:docGrid w:linePitch="360"/>
        </w:sectPr>
      </w:pPr>
    </w:p>
    <w:p w:rsidR="00E87C89" w:rsidRDefault="00E87C89" w:rsidP="003B44B5">
      <w:pPr>
        <w:spacing w:line="276" w:lineRule="auto"/>
        <w:rPr>
          <w:rFonts w:ascii="Times New Roman" w:hAnsi="Times New Roman"/>
          <w:b/>
          <w:sz w:val="24"/>
          <w:szCs w:val="24"/>
        </w:rPr>
      </w:pPr>
    </w:p>
    <w:p w:rsidR="00E87C89" w:rsidRDefault="00E87C89" w:rsidP="003B44B5">
      <w:pPr>
        <w:spacing w:line="276" w:lineRule="auto"/>
        <w:rPr>
          <w:rFonts w:ascii="Times New Roman" w:hAnsi="Times New Roman"/>
          <w:b/>
          <w:sz w:val="24"/>
          <w:szCs w:val="24"/>
        </w:rPr>
      </w:pPr>
    </w:p>
    <w:p w:rsidR="00873C70" w:rsidRDefault="00E87C89" w:rsidP="003B44B5">
      <w:pPr>
        <w:spacing w:line="276" w:lineRule="auto"/>
        <w:rPr>
          <w:rFonts w:ascii="Times New Roman" w:hAnsi="Times New Roman"/>
          <w:b/>
          <w:sz w:val="24"/>
          <w:szCs w:val="24"/>
        </w:rPr>
      </w:pPr>
      <w:r>
        <w:rPr>
          <w:rFonts w:ascii="Times New Roman" w:hAnsi="Times New Roman"/>
          <w:b/>
          <w:sz w:val="24"/>
          <w:szCs w:val="24"/>
        </w:rPr>
        <w:t xml:space="preserve">Graphique A3.1 : Courbes </w:t>
      </w:r>
      <w:r w:rsidR="006A7852">
        <w:rPr>
          <w:rFonts w:ascii="Times New Roman" w:hAnsi="Times New Roman"/>
          <w:b/>
          <w:sz w:val="24"/>
          <w:szCs w:val="24"/>
        </w:rPr>
        <w:t>de</w:t>
      </w:r>
      <w:r>
        <w:rPr>
          <w:rFonts w:ascii="Times New Roman" w:hAnsi="Times New Roman"/>
          <w:b/>
          <w:sz w:val="24"/>
          <w:szCs w:val="24"/>
        </w:rPr>
        <w:t xml:space="preserve"> Croissance</w:t>
      </w:r>
      <w:r w:rsidR="006A7852">
        <w:rPr>
          <w:rFonts w:ascii="Times New Roman" w:hAnsi="Times New Roman"/>
          <w:b/>
          <w:sz w:val="24"/>
          <w:szCs w:val="24"/>
        </w:rPr>
        <w:t xml:space="preserve"> de la Pauvreté </w:t>
      </w:r>
      <w:r>
        <w:rPr>
          <w:rFonts w:ascii="Times New Roman" w:hAnsi="Times New Roman"/>
          <w:b/>
          <w:sz w:val="24"/>
          <w:szCs w:val="24"/>
        </w:rPr>
        <w:t xml:space="preserve"> (Benin, Milieux de </w:t>
      </w:r>
      <w:r w:rsidR="006A7852">
        <w:rPr>
          <w:rFonts w:ascii="Times New Roman" w:hAnsi="Times New Roman"/>
          <w:b/>
          <w:sz w:val="24"/>
          <w:szCs w:val="24"/>
        </w:rPr>
        <w:t>résidence)</w:t>
      </w:r>
      <w:r>
        <w:rPr>
          <w:rFonts w:ascii="Times New Roman" w:hAnsi="Times New Roman"/>
          <w:b/>
          <w:sz w:val="24"/>
          <w:szCs w:val="24"/>
        </w:rPr>
        <w:t xml:space="preserve"> entre 2006 et 2009</w:t>
      </w:r>
      <w:r w:rsidR="006A7852">
        <w:rPr>
          <w:rFonts w:ascii="Times New Roman" w:hAnsi="Times New Roman"/>
          <w:b/>
          <w:sz w:val="24"/>
          <w:szCs w:val="24"/>
        </w:rPr>
        <w:t xml:space="preserve"> (Approche absolue)</w:t>
      </w:r>
    </w:p>
    <w:p w:rsidR="006A7852" w:rsidRDefault="006A7852" w:rsidP="003B44B5">
      <w:pPr>
        <w:spacing w:line="276" w:lineRule="auto"/>
        <w:rPr>
          <w:rFonts w:ascii="Times New Roman" w:hAnsi="Times New Roman"/>
          <w:b/>
          <w:sz w:val="24"/>
          <w:szCs w:val="24"/>
        </w:rPr>
      </w:pPr>
      <w:r w:rsidRPr="00C15C6F">
        <w:rPr>
          <w:rFonts w:ascii="Times New Roman" w:hAnsi="Times New Roman"/>
          <w:b/>
          <w:noProof/>
          <w:sz w:val="24"/>
          <w:szCs w:val="24"/>
          <w:lang w:eastAsia="fr-FR"/>
        </w:rPr>
        <w:drawing>
          <wp:inline distT="0" distB="0" distL="0" distR="0" wp14:anchorId="5C2EE2AE" wp14:editId="0DBB2207">
            <wp:extent cx="5429250" cy="2952750"/>
            <wp:effectExtent l="0" t="0" r="0" b="0"/>
            <wp:docPr id="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srcRect/>
                    <a:stretch>
                      <a:fillRect/>
                    </a:stretch>
                  </pic:blipFill>
                  <pic:spPr bwMode="auto">
                    <a:xfrm>
                      <a:off x="0" y="0"/>
                      <a:ext cx="5429250" cy="2952750"/>
                    </a:xfrm>
                    <a:prstGeom prst="rect">
                      <a:avLst/>
                    </a:prstGeom>
                    <a:noFill/>
                    <a:ln w="9525">
                      <a:noFill/>
                      <a:miter lim="800000"/>
                      <a:headEnd/>
                      <a:tailEnd/>
                    </a:ln>
                  </pic:spPr>
                </pic:pic>
              </a:graphicData>
            </a:graphic>
          </wp:inline>
        </w:drawing>
      </w:r>
    </w:p>
    <w:p w:rsidR="00873C70" w:rsidRDefault="00873C70" w:rsidP="003B44B5">
      <w:pPr>
        <w:spacing w:line="276" w:lineRule="auto"/>
        <w:rPr>
          <w:rFonts w:ascii="Times New Roman" w:hAnsi="Times New Roman"/>
          <w:b/>
          <w:sz w:val="24"/>
          <w:szCs w:val="24"/>
        </w:rPr>
      </w:pPr>
    </w:p>
    <w:p w:rsidR="00E87C89" w:rsidRDefault="00E87C89" w:rsidP="003B44B5">
      <w:pPr>
        <w:spacing w:line="276" w:lineRule="auto"/>
        <w:rPr>
          <w:rFonts w:ascii="Times New Roman" w:hAnsi="Times New Roman"/>
          <w:b/>
          <w:sz w:val="24"/>
          <w:szCs w:val="24"/>
        </w:rPr>
      </w:pPr>
    </w:p>
    <w:p w:rsidR="006A7852" w:rsidRDefault="00E87C89" w:rsidP="006A7852">
      <w:pPr>
        <w:spacing w:line="276" w:lineRule="auto"/>
        <w:rPr>
          <w:rFonts w:ascii="Times New Roman" w:hAnsi="Times New Roman"/>
          <w:b/>
          <w:sz w:val="24"/>
          <w:szCs w:val="24"/>
        </w:rPr>
      </w:pPr>
      <w:r>
        <w:rPr>
          <w:rFonts w:ascii="Times New Roman" w:hAnsi="Times New Roman"/>
          <w:b/>
          <w:sz w:val="24"/>
          <w:szCs w:val="24"/>
        </w:rPr>
        <w:t xml:space="preserve">Graphique A3.2 : </w:t>
      </w:r>
      <w:r w:rsidR="006A7852">
        <w:rPr>
          <w:rFonts w:ascii="Times New Roman" w:hAnsi="Times New Roman"/>
          <w:b/>
          <w:sz w:val="24"/>
          <w:szCs w:val="24"/>
        </w:rPr>
        <w:t>Courbes de Croissance de la Pauvreté  (Pôles de croissance) entre 2006 et 2009 (Approche absolue)</w:t>
      </w:r>
    </w:p>
    <w:p w:rsidR="00E87C89" w:rsidRDefault="006A7852" w:rsidP="00E87C89">
      <w:pPr>
        <w:spacing w:line="276" w:lineRule="auto"/>
        <w:rPr>
          <w:rFonts w:ascii="Times New Roman" w:hAnsi="Times New Roman"/>
          <w:b/>
          <w:sz w:val="24"/>
          <w:szCs w:val="24"/>
        </w:rPr>
      </w:pPr>
      <w:r w:rsidRPr="00C15C6F">
        <w:rPr>
          <w:rFonts w:ascii="Times New Roman" w:hAnsi="Times New Roman"/>
          <w:b/>
          <w:noProof/>
          <w:sz w:val="24"/>
          <w:szCs w:val="24"/>
          <w:lang w:eastAsia="fr-FR"/>
        </w:rPr>
        <w:drawing>
          <wp:inline distT="0" distB="0" distL="0" distR="0" wp14:anchorId="07BF47D2" wp14:editId="5032F437">
            <wp:extent cx="5553075" cy="3743325"/>
            <wp:effectExtent l="0" t="0" r="0" b="0"/>
            <wp:docPr id="4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srcRect/>
                    <a:stretch>
                      <a:fillRect/>
                    </a:stretch>
                  </pic:blipFill>
                  <pic:spPr bwMode="auto">
                    <a:xfrm>
                      <a:off x="0" y="0"/>
                      <a:ext cx="5553075" cy="3743325"/>
                    </a:xfrm>
                    <a:prstGeom prst="rect">
                      <a:avLst/>
                    </a:prstGeom>
                    <a:noFill/>
                    <a:ln w="9525">
                      <a:noFill/>
                      <a:miter lim="800000"/>
                      <a:headEnd/>
                      <a:tailEnd/>
                    </a:ln>
                  </pic:spPr>
                </pic:pic>
              </a:graphicData>
            </a:graphic>
          </wp:inline>
        </w:drawing>
      </w:r>
    </w:p>
    <w:p w:rsidR="00E87C89" w:rsidRDefault="00E87C89" w:rsidP="003B44B5">
      <w:pPr>
        <w:spacing w:line="276" w:lineRule="auto"/>
        <w:rPr>
          <w:rFonts w:ascii="Times New Roman" w:hAnsi="Times New Roman"/>
          <w:b/>
          <w:sz w:val="24"/>
          <w:szCs w:val="24"/>
        </w:rPr>
      </w:pPr>
    </w:p>
    <w:p w:rsidR="00E87C89" w:rsidRDefault="00E87C89" w:rsidP="003B44B5">
      <w:pPr>
        <w:spacing w:line="276" w:lineRule="auto"/>
        <w:rPr>
          <w:rFonts w:ascii="Times New Roman" w:hAnsi="Times New Roman"/>
          <w:b/>
          <w:sz w:val="24"/>
          <w:szCs w:val="24"/>
        </w:rPr>
        <w:sectPr w:rsidR="00E87C89" w:rsidSect="00C15C6F">
          <w:pgSz w:w="11906" w:h="16838"/>
          <w:pgMar w:top="1219" w:right="1418" w:bottom="1418" w:left="1418" w:header="284" w:footer="708" w:gutter="0"/>
          <w:cols w:space="708"/>
          <w:docGrid w:linePitch="360"/>
        </w:sectPr>
      </w:pPr>
    </w:p>
    <w:p w:rsidR="0040514A" w:rsidRDefault="0040514A" w:rsidP="00910784">
      <w:pPr>
        <w:pStyle w:val="Titre2"/>
        <w:spacing w:before="0" w:after="0" w:line="240" w:lineRule="auto"/>
        <w:rPr>
          <w:rFonts w:ascii="Times New Roman" w:hAnsi="Times New Roman" w:cs="Times New Roman"/>
          <w:i w:val="0"/>
        </w:rPr>
      </w:pPr>
      <w:bookmarkStart w:id="229" w:name="_Toc382322973"/>
    </w:p>
    <w:p w:rsidR="0040514A" w:rsidRDefault="0040514A" w:rsidP="0040514A">
      <w:pPr>
        <w:spacing w:line="276" w:lineRule="auto"/>
        <w:rPr>
          <w:rFonts w:ascii="Times New Roman" w:hAnsi="Times New Roman"/>
          <w:b/>
          <w:sz w:val="24"/>
          <w:szCs w:val="24"/>
        </w:rPr>
      </w:pPr>
      <w:r>
        <w:rPr>
          <w:rFonts w:ascii="Times New Roman" w:hAnsi="Times New Roman"/>
          <w:b/>
          <w:sz w:val="24"/>
          <w:szCs w:val="24"/>
        </w:rPr>
        <w:t>Graphique A3.3 : Courbes d’Incidence de la Pauvreté (Benin, Milieux de résidence) entre 2006 et 2009 (Approche absolue)</w:t>
      </w:r>
    </w:p>
    <w:p w:rsidR="0040514A" w:rsidRDefault="0040514A" w:rsidP="00910784">
      <w:pPr>
        <w:pStyle w:val="Titre2"/>
        <w:spacing w:before="0" w:after="0" w:line="240" w:lineRule="auto"/>
        <w:rPr>
          <w:rFonts w:ascii="Times New Roman" w:hAnsi="Times New Roman" w:cs="Times New Roman"/>
          <w:i w:val="0"/>
        </w:rPr>
      </w:pPr>
      <w:r w:rsidRPr="00C15C6F">
        <w:rPr>
          <w:rFonts w:ascii="Times New Roman" w:hAnsi="Times New Roman" w:cs="Times New Roman"/>
          <w:i w:val="0"/>
          <w:noProof/>
          <w:lang w:eastAsia="fr-FR"/>
        </w:rPr>
        <w:drawing>
          <wp:inline distT="0" distB="0" distL="0" distR="0" wp14:anchorId="4DCFD346" wp14:editId="38E8F07C">
            <wp:extent cx="5848350" cy="3743325"/>
            <wp:effectExtent l="0" t="0" r="0" b="0"/>
            <wp:docPr id="4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srcRect/>
                    <a:stretch>
                      <a:fillRect/>
                    </a:stretch>
                  </pic:blipFill>
                  <pic:spPr bwMode="auto">
                    <a:xfrm>
                      <a:off x="0" y="0"/>
                      <a:ext cx="5848350" cy="3743325"/>
                    </a:xfrm>
                    <a:prstGeom prst="rect">
                      <a:avLst/>
                    </a:prstGeom>
                    <a:noFill/>
                    <a:ln w="9525">
                      <a:noFill/>
                      <a:miter lim="800000"/>
                      <a:headEnd/>
                      <a:tailEnd/>
                    </a:ln>
                  </pic:spPr>
                </pic:pic>
              </a:graphicData>
            </a:graphic>
          </wp:inline>
        </w:drawing>
      </w:r>
    </w:p>
    <w:p w:rsidR="0040514A" w:rsidRDefault="0040514A" w:rsidP="00910784">
      <w:pPr>
        <w:pStyle w:val="Titre2"/>
        <w:spacing w:before="0" w:after="0" w:line="240" w:lineRule="auto"/>
        <w:rPr>
          <w:rFonts w:ascii="Times New Roman" w:hAnsi="Times New Roman" w:cs="Times New Roman"/>
          <w:i w:val="0"/>
        </w:rPr>
      </w:pPr>
    </w:p>
    <w:p w:rsidR="0040514A" w:rsidRDefault="0040514A" w:rsidP="0040514A">
      <w:pPr>
        <w:spacing w:line="276" w:lineRule="auto"/>
        <w:rPr>
          <w:rFonts w:ascii="Times New Roman" w:hAnsi="Times New Roman"/>
          <w:b/>
          <w:sz w:val="24"/>
          <w:szCs w:val="24"/>
        </w:rPr>
      </w:pPr>
      <w:r>
        <w:rPr>
          <w:rFonts w:ascii="Times New Roman" w:hAnsi="Times New Roman"/>
          <w:b/>
          <w:sz w:val="24"/>
          <w:szCs w:val="24"/>
        </w:rPr>
        <w:t>Graphique A3.4 : Courbes d’Incidence de la Pauvreté (pôles de croissance) entre 2006 et 2009 (Approche absolue)</w:t>
      </w:r>
    </w:p>
    <w:p w:rsidR="0040514A" w:rsidRDefault="0040514A" w:rsidP="0040514A">
      <w:pPr>
        <w:spacing w:line="276" w:lineRule="auto"/>
        <w:rPr>
          <w:rFonts w:ascii="Times New Roman" w:hAnsi="Times New Roman"/>
          <w:b/>
          <w:sz w:val="24"/>
          <w:szCs w:val="24"/>
        </w:rPr>
      </w:pPr>
      <w:r w:rsidRPr="00C15C6F">
        <w:rPr>
          <w:rFonts w:ascii="Times New Roman" w:hAnsi="Times New Roman"/>
          <w:b/>
          <w:noProof/>
          <w:sz w:val="24"/>
          <w:szCs w:val="24"/>
          <w:lang w:eastAsia="fr-FR"/>
        </w:rPr>
        <w:drawing>
          <wp:inline distT="0" distB="0" distL="0" distR="0" wp14:anchorId="5B5E8688" wp14:editId="545C062B">
            <wp:extent cx="5619750" cy="3743325"/>
            <wp:effectExtent l="0" t="0" r="0" b="0"/>
            <wp:docPr id="5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srcRect/>
                    <a:stretch>
                      <a:fillRect/>
                    </a:stretch>
                  </pic:blipFill>
                  <pic:spPr bwMode="auto">
                    <a:xfrm>
                      <a:off x="0" y="0"/>
                      <a:ext cx="5620703" cy="3743960"/>
                    </a:xfrm>
                    <a:prstGeom prst="rect">
                      <a:avLst/>
                    </a:prstGeom>
                    <a:noFill/>
                    <a:ln w="9525">
                      <a:noFill/>
                      <a:miter lim="800000"/>
                      <a:headEnd/>
                      <a:tailEnd/>
                    </a:ln>
                  </pic:spPr>
                </pic:pic>
              </a:graphicData>
            </a:graphic>
          </wp:inline>
        </w:drawing>
      </w:r>
    </w:p>
    <w:p w:rsidR="00C80C3F" w:rsidRDefault="00C80C3F" w:rsidP="00910784">
      <w:pPr>
        <w:pStyle w:val="Titre2"/>
        <w:spacing w:before="0" w:after="0" w:line="240" w:lineRule="auto"/>
        <w:rPr>
          <w:rFonts w:ascii="Times New Roman" w:hAnsi="Times New Roman" w:cs="Times New Roman"/>
          <w:i w:val="0"/>
        </w:rPr>
      </w:pPr>
      <w:r w:rsidRPr="00910784">
        <w:rPr>
          <w:rFonts w:ascii="Times New Roman" w:hAnsi="Times New Roman" w:cs="Times New Roman"/>
          <w:i w:val="0"/>
        </w:rPr>
        <w:t>A4</w:t>
      </w:r>
      <w:r w:rsidR="002A3B41" w:rsidRPr="00910784">
        <w:rPr>
          <w:rFonts w:ascii="Times New Roman" w:hAnsi="Times New Roman" w:cs="Times New Roman"/>
          <w:i w:val="0"/>
        </w:rPr>
        <w:t> :</w:t>
      </w:r>
      <w:r w:rsidR="00E34C10">
        <w:rPr>
          <w:rFonts w:ascii="Times New Roman" w:hAnsi="Times New Roman" w:cs="Times New Roman"/>
          <w:i w:val="0"/>
        </w:rPr>
        <w:t xml:space="preserve"> </w:t>
      </w:r>
      <w:r w:rsidRPr="00910784">
        <w:rPr>
          <w:rFonts w:ascii="Times New Roman" w:hAnsi="Times New Roman" w:cs="Times New Roman"/>
          <w:i w:val="0"/>
        </w:rPr>
        <w:t xml:space="preserve">Tableaux complémentaires du chapitre </w:t>
      </w:r>
      <w:r w:rsidR="00AF5F7B" w:rsidRPr="00910784">
        <w:rPr>
          <w:rFonts w:ascii="Times New Roman" w:hAnsi="Times New Roman" w:cs="Times New Roman"/>
          <w:i w:val="0"/>
        </w:rPr>
        <w:t>5</w:t>
      </w:r>
      <w:bookmarkEnd w:id="229"/>
    </w:p>
    <w:p w:rsidR="00832112" w:rsidRPr="00832112" w:rsidRDefault="00832112" w:rsidP="00832112">
      <w:pPr>
        <w:rPr>
          <w:i/>
          <w:sz w:val="12"/>
          <w:szCs w:val="12"/>
        </w:rPr>
      </w:pPr>
    </w:p>
    <w:tbl>
      <w:tblPr>
        <w:tblW w:w="9073" w:type="dxa"/>
        <w:tblInd w:w="-34" w:type="dxa"/>
        <w:tblLook w:val="04A0" w:firstRow="1" w:lastRow="0" w:firstColumn="1" w:lastColumn="0" w:noHBand="0" w:noVBand="1"/>
      </w:tblPr>
      <w:tblGrid>
        <w:gridCol w:w="4059"/>
        <w:gridCol w:w="1348"/>
        <w:gridCol w:w="1516"/>
        <w:gridCol w:w="2150"/>
      </w:tblGrid>
      <w:tr w:rsidR="0008018E" w:rsidRPr="0008018E" w:rsidTr="00E34C10">
        <w:trPr>
          <w:trHeight w:val="320"/>
        </w:trPr>
        <w:tc>
          <w:tcPr>
            <w:tcW w:w="9073" w:type="dxa"/>
            <w:gridSpan w:val="4"/>
            <w:tcBorders>
              <w:left w:val="nil"/>
              <w:bottom w:val="double" w:sz="4" w:space="0" w:color="auto"/>
              <w:right w:val="nil"/>
            </w:tcBorders>
            <w:shd w:val="clear" w:color="auto" w:fill="92CDDC" w:themeFill="accent5" w:themeFillTint="99"/>
            <w:noWrap/>
            <w:vAlign w:val="bottom"/>
            <w:hideMark/>
          </w:tcPr>
          <w:p w:rsidR="0008018E" w:rsidRPr="0008018E" w:rsidRDefault="0008018E" w:rsidP="0008018E">
            <w:pPr>
              <w:spacing w:line="240" w:lineRule="auto"/>
              <w:jc w:val="left"/>
              <w:rPr>
                <w:rFonts w:ascii="Times New Roman" w:eastAsia="Times New Roman" w:hAnsi="Times New Roman"/>
                <w:b/>
                <w:bCs/>
                <w:sz w:val="24"/>
                <w:szCs w:val="24"/>
              </w:rPr>
            </w:pPr>
            <w:bookmarkStart w:id="230" w:name="_Toc373430543"/>
            <w:r w:rsidRPr="0008018E">
              <w:rPr>
                <w:rFonts w:ascii="Times New Roman" w:hAnsi="Times New Roman"/>
                <w:sz w:val="24"/>
                <w:szCs w:val="24"/>
              </w:rPr>
              <w:t xml:space="preserve">Tableau A4. </w:t>
            </w:r>
            <w:r w:rsidR="00182C97" w:rsidRPr="0008018E">
              <w:rPr>
                <w:rFonts w:ascii="Times New Roman" w:hAnsi="Times New Roman"/>
                <w:sz w:val="24"/>
                <w:szCs w:val="24"/>
              </w:rPr>
              <w:fldChar w:fldCharType="begin"/>
            </w:r>
            <w:r w:rsidRPr="0008018E">
              <w:rPr>
                <w:rFonts w:ascii="Times New Roman" w:hAnsi="Times New Roman"/>
                <w:sz w:val="24"/>
                <w:szCs w:val="24"/>
              </w:rPr>
              <w:instrText xml:space="preserve"> SEQ Tableau_A4. \* ARABIC </w:instrText>
            </w:r>
            <w:r w:rsidR="00182C97" w:rsidRPr="0008018E">
              <w:rPr>
                <w:rFonts w:ascii="Times New Roman" w:hAnsi="Times New Roman"/>
                <w:sz w:val="24"/>
                <w:szCs w:val="24"/>
              </w:rPr>
              <w:fldChar w:fldCharType="separate"/>
            </w:r>
            <w:r w:rsidR="00AB1967">
              <w:rPr>
                <w:rFonts w:ascii="Times New Roman" w:hAnsi="Times New Roman"/>
                <w:noProof/>
                <w:sz w:val="24"/>
                <w:szCs w:val="24"/>
              </w:rPr>
              <w:t>1</w:t>
            </w:r>
            <w:r w:rsidR="00182C97" w:rsidRPr="0008018E">
              <w:rPr>
                <w:rFonts w:ascii="Times New Roman" w:hAnsi="Times New Roman"/>
                <w:sz w:val="24"/>
                <w:szCs w:val="24"/>
              </w:rPr>
              <w:fldChar w:fldCharType="end"/>
            </w:r>
            <w:r w:rsidRPr="0008018E">
              <w:rPr>
                <w:rFonts w:ascii="Times New Roman" w:hAnsi="Times New Roman"/>
                <w:sz w:val="24"/>
                <w:szCs w:val="24"/>
              </w:rPr>
              <w:t> : Répartition des actifs occupés selon la branche d'activité et le sexe en 2010</w:t>
            </w:r>
            <w:bookmarkEnd w:id="230"/>
          </w:p>
        </w:tc>
      </w:tr>
      <w:tr w:rsidR="001D5F9A" w:rsidTr="00E34C10">
        <w:trPr>
          <w:trHeight w:val="484"/>
        </w:trPr>
        <w:tc>
          <w:tcPr>
            <w:tcW w:w="4059" w:type="dxa"/>
            <w:tcBorders>
              <w:top w:val="double" w:sz="4" w:space="0" w:color="auto"/>
              <w:left w:val="nil"/>
              <w:bottom w:val="single" w:sz="4" w:space="0" w:color="auto"/>
              <w:right w:val="nil"/>
            </w:tcBorders>
            <w:shd w:val="clear" w:color="auto" w:fill="DAEEF3" w:themeFill="accent5" w:themeFillTint="33"/>
            <w:noWrap/>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Pôles de croissance</w:t>
            </w:r>
          </w:p>
        </w:tc>
        <w:tc>
          <w:tcPr>
            <w:tcW w:w="1348" w:type="dxa"/>
            <w:tcBorders>
              <w:top w:val="double" w:sz="4" w:space="0" w:color="auto"/>
              <w:left w:val="nil"/>
              <w:bottom w:val="single" w:sz="4" w:space="0" w:color="auto"/>
              <w:right w:val="nil"/>
            </w:tcBorders>
            <w:shd w:val="clear" w:color="auto" w:fill="DAEEF3" w:themeFill="accent5" w:themeFillTint="33"/>
            <w:noWrap/>
            <w:vAlign w:val="bottom"/>
            <w:hideMark/>
          </w:tcPr>
          <w:p w:rsidR="001D5F9A" w:rsidRDefault="001D5F9A">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Masculin</w:t>
            </w:r>
          </w:p>
        </w:tc>
        <w:tc>
          <w:tcPr>
            <w:tcW w:w="1516" w:type="dxa"/>
            <w:tcBorders>
              <w:top w:val="double" w:sz="4" w:space="0" w:color="auto"/>
              <w:left w:val="nil"/>
              <w:bottom w:val="single" w:sz="4" w:space="0" w:color="auto"/>
              <w:right w:val="nil"/>
            </w:tcBorders>
            <w:shd w:val="clear" w:color="auto" w:fill="DAEEF3" w:themeFill="accent5" w:themeFillTint="33"/>
            <w:noWrap/>
            <w:vAlign w:val="bottom"/>
            <w:hideMark/>
          </w:tcPr>
          <w:p w:rsidR="001D5F9A" w:rsidRDefault="001D5F9A">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Féminin</w:t>
            </w:r>
          </w:p>
        </w:tc>
        <w:tc>
          <w:tcPr>
            <w:tcW w:w="2150"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Effectif Total</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Agriculture</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55,4</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44,6</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1232329</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Coton-Textile</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45,8</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54,2</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126906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Commerce-logistique</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37,5</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62,5</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3061</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Agroalimentaire</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19,2</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80,8</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49006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BTP - matériaux de construction</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100,0</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0,0</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506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Culture et tourisme</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18,1</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81,9</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215529</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Autres activités industrielles et artisanales</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89,7</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10,3</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74305</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Autres services</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65,7</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34,3</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209536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Total autres pôles</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52,0</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48,0</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1911178</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Commerce-logistique secteur formel</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72,5</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27,5</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42606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Commerce-logistique secteur informel</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28,0</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72,0</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722846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Commerce-logistique</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30,5</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69,5</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765452</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BTP-matériaux de construction secteur formel</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91,1</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8,9</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6077</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BTP-matériaux de construction secteur informel</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94,6</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5,4</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72026</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BTP-Matériaux de construction</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94,3</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5,7</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78102</w:t>
            </w:r>
          </w:p>
        </w:tc>
      </w:tr>
      <w:tr w:rsidR="001D5F9A" w:rsidTr="00E34C10">
        <w:trPr>
          <w:trHeight w:val="340"/>
        </w:trPr>
        <w:tc>
          <w:tcPr>
            <w:tcW w:w="4059"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Non déclaré</w:t>
            </w:r>
          </w:p>
        </w:tc>
        <w:tc>
          <w:tcPr>
            <w:tcW w:w="1348"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56,7</w:t>
            </w:r>
          </w:p>
        </w:tc>
        <w:tc>
          <w:tcPr>
            <w:tcW w:w="151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43,3</w:t>
            </w:r>
          </w:p>
        </w:tc>
        <w:tc>
          <w:tcPr>
            <w:tcW w:w="2150"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29433</w:t>
            </w:r>
          </w:p>
        </w:tc>
      </w:tr>
      <w:tr w:rsidR="001D5F9A" w:rsidTr="00E34C10">
        <w:trPr>
          <w:trHeight w:val="340"/>
        </w:trPr>
        <w:tc>
          <w:tcPr>
            <w:tcW w:w="4059" w:type="dxa"/>
            <w:tcBorders>
              <w:top w:val="nil"/>
              <w:left w:val="nil"/>
              <w:bottom w:val="double" w:sz="4" w:space="0" w:color="auto"/>
              <w:right w:val="nil"/>
            </w:tcBorders>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Total</w:t>
            </w:r>
          </w:p>
        </w:tc>
        <w:tc>
          <w:tcPr>
            <w:tcW w:w="1348"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47,4</w:t>
            </w:r>
          </w:p>
        </w:tc>
        <w:tc>
          <w:tcPr>
            <w:tcW w:w="1516"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52,6</w:t>
            </w:r>
          </w:p>
        </w:tc>
        <w:tc>
          <w:tcPr>
            <w:tcW w:w="2150"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2784165</w:t>
            </w:r>
          </w:p>
        </w:tc>
      </w:tr>
      <w:tr w:rsidR="001D5F9A" w:rsidTr="00E34C10">
        <w:trPr>
          <w:trHeight w:val="266"/>
        </w:trPr>
        <w:tc>
          <w:tcPr>
            <w:tcW w:w="9073" w:type="dxa"/>
            <w:gridSpan w:val="4"/>
            <w:tcBorders>
              <w:top w:val="double" w:sz="4" w:space="0" w:color="auto"/>
              <w:left w:val="nil"/>
              <w:bottom w:val="nil"/>
              <w:right w:val="nil"/>
            </w:tcBorders>
            <w:shd w:val="clear" w:color="auto" w:fill="DAEEF3" w:themeFill="accent5" w:themeFillTint="33"/>
            <w:hideMark/>
          </w:tcPr>
          <w:p w:rsidR="001D5F9A" w:rsidRDefault="001D5F9A" w:rsidP="001D5F9A">
            <w:pPr>
              <w:spacing w:line="240" w:lineRule="auto"/>
              <w:rPr>
                <w:rFonts w:ascii="Times New Roman" w:hAnsi="Times New Roman"/>
                <w:sz w:val="24"/>
                <w:szCs w:val="24"/>
              </w:rPr>
            </w:pPr>
            <w:r>
              <w:rPr>
                <w:rFonts w:ascii="Times New Roman" w:hAnsi="Times New Roman"/>
                <w:sz w:val="24"/>
                <w:szCs w:val="24"/>
              </w:rPr>
              <w:t>Source : INSAE, EMICoV 2010</w:t>
            </w:r>
          </w:p>
        </w:tc>
      </w:tr>
    </w:tbl>
    <w:p w:rsidR="00E34C10" w:rsidRDefault="00E34C10" w:rsidP="001D5F9A">
      <w:pPr>
        <w:rPr>
          <w:rFonts w:ascii="Times New Roman" w:hAnsi="Times New Roman"/>
          <w:sz w:val="12"/>
          <w:szCs w:val="12"/>
        </w:rPr>
      </w:pPr>
    </w:p>
    <w:p w:rsidR="00E34C10" w:rsidRDefault="00E34C10" w:rsidP="001D5F9A">
      <w:pPr>
        <w:rPr>
          <w:rFonts w:ascii="Times New Roman" w:hAnsi="Times New Roman"/>
          <w:sz w:val="12"/>
          <w:szCs w:val="12"/>
        </w:rPr>
      </w:pPr>
    </w:p>
    <w:tbl>
      <w:tblPr>
        <w:tblW w:w="9039" w:type="dxa"/>
        <w:tblLayout w:type="fixed"/>
        <w:tblLook w:val="04A0" w:firstRow="1" w:lastRow="0" w:firstColumn="1" w:lastColumn="0" w:noHBand="0" w:noVBand="1"/>
      </w:tblPr>
      <w:tblGrid>
        <w:gridCol w:w="2977"/>
        <w:gridCol w:w="992"/>
        <w:gridCol w:w="1134"/>
        <w:gridCol w:w="1276"/>
        <w:gridCol w:w="1276"/>
        <w:gridCol w:w="1384"/>
      </w:tblGrid>
      <w:tr w:rsidR="00E34C10" w:rsidRPr="00E34C10" w:rsidTr="0051485C">
        <w:trPr>
          <w:trHeight w:val="480"/>
        </w:trPr>
        <w:tc>
          <w:tcPr>
            <w:tcW w:w="9039" w:type="dxa"/>
            <w:gridSpan w:val="6"/>
            <w:tcBorders>
              <w:left w:val="nil"/>
              <w:bottom w:val="double" w:sz="4" w:space="0" w:color="auto"/>
              <w:right w:val="nil"/>
            </w:tcBorders>
            <w:shd w:val="clear" w:color="auto" w:fill="92CDDC" w:themeFill="accent5" w:themeFillTint="99"/>
            <w:vAlign w:val="bottom"/>
            <w:hideMark/>
          </w:tcPr>
          <w:p w:rsidR="00E34C10" w:rsidRPr="00E34C10" w:rsidRDefault="00E34C10" w:rsidP="00E34C10">
            <w:pPr>
              <w:spacing w:line="240" w:lineRule="auto"/>
              <w:jc w:val="left"/>
              <w:rPr>
                <w:rFonts w:ascii="Times New Roman" w:eastAsia="Times New Roman" w:hAnsi="Times New Roman"/>
                <w:bCs/>
                <w:sz w:val="24"/>
                <w:szCs w:val="24"/>
              </w:rPr>
            </w:pPr>
            <w:bookmarkStart w:id="231" w:name="_Toc373430544"/>
            <w:r w:rsidRPr="00E34C10">
              <w:rPr>
                <w:rFonts w:ascii="Times New Roman" w:hAnsi="Times New Roman"/>
                <w:sz w:val="24"/>
                <w:szCs w:val="24"/>
              </w:rPr>
              <w:t xml:space="preserve">Tableau A4. </w:t>
            </w:r>
            <w:r w:rsidR="00182C97" w:rsidRPr="00E34C10">
              <w:rPr>
                <w:rFonts w:ascii="Times New Roman" w:hAnsi="Times New Roman"/>
                <w:sz w:val="24"/>
                <w:szCs w:val="24"/>
              </w:rPr>
              <w:fldChar w:fldCharType="begin"/>
            </w:r>
            <w:r w:rsidRPr="00E34C10">
              <w:rPr>
                <w:rFonts w:ascii="Times New Roman" w:hAnsi="Times New Roman"/>
                <w:sz w:val="24"/>
                <w:szCs w:val="24"/>
              </w:rPr>
              <w:instrText xml:space="preserve"> SEQ Tableau_A4. \* ARABIC </w:instrText>
            </w:r>
            <w:r w:rsidR="00182C97" w:rsidRPr="00E34C10">
              <w:rPr>
                <w:rFonts w:ascii="Times New Roman" w:hAnsi="Times New Roman"/>
                <w:sz w:val="24"/>
                <w:szCs w:val="24"/>
              </w:rPr>
              <w:fldChar w:fldCharType="separate"/>
            </w:r>
            <w:r w:rsidR="00AB1967">
              <w:rPr>
                <w:rFonts w:ascii="Times New Roman" w:hAnsi="Times New Roman"/>
                <w:noProof/>
                <w:sz w:val="24"/>
                <w:szCs w:val="24"/>
              </w:rPr>
              <w:t>2</w:t>
            </w:r>
            <w:r w:rsidR="00182C97" w:rsidRPr="00E34C10">
              <w:rPr>
                <w:rFonts w:ascii="Times New Roman" w:hAnsi="Times New Roman"/>
                <w:sz w:val="24"/>
                <w:szCs w:val="24"/>
              </w:rPr>
              <w:fldChar w:fldCharType="end"/>
            </w:r>
            <w:r w:rsidRPr="00E34C10">
              <w:rPr>
                <w:rFonts w:ascii="Times New Roman" w:hAnsi="Times New Roman"/>
                <w:sz w:val="24"/>
                <w:szCs w:val="24"/>
              </w:rPr>
              <w:t>: Répartition des actifs occupés selon la branche d'activité et le niveau d’instruction en 2010</w:t>
            </w:r>
            <w:bookmarkEnd w:id="231"/>
          </w:p>
        </w:tc>
      </w:tr>
      <w:tr w:rsidR="001D5F9A" w:rsidTr="0051485C">
        <w:trPr>
          <w:trHeight w:val="480"/>
        </w:trPr>
        <w:tc>
          <w:tcPr>
            <w:tcW w:w="2977"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rPr>
                <w:rFonts w:ascii="Times New Roman" w:eastAsia="Times New Roman" w:hAnsi="Times New Roman"/>
                <w:sz w:val="24"/>
                <w:szCs w:val="24"/>
              </w:rPr>
            </w:pPr>
            <w:r>
              <w:rPr>
                <w:rFonts w:ascii="Times New Roman" w:eastAsia="Times New Roman" w:hAnsi="Times New Roman"/>
                <w:sz w:val="24"/>
                <w:szCs w:val="24"/>
              </w:rPr>
              <w:t> </w:t>
            </w:r>
          </w:p>
        </w:tc>
        <w:tc>
          <w:tcPr>
            <w:tcW w:w="992"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Aucun niveau</w:t>
            </w:r>
          </w:p>
        </w:tc>
        <w:tc>
          <w:tcPr>
            <w:tcW w:w="1134"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Primaire</w:t>
            </w:r>
          </w:p>
        </w:tc>
        <w:tc>
          <w:tcPr>
            <w:tcW w:w="1276"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Secondaire1</w:t>
            </w:r>
          </w:p>
        </w:tc>
        <w:tc>
          <w:tcPr>
            <w:tcW w:w="1276"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Secondaire2 ou plus</w:t>
            </w:r>
          </w:p>
        </w:tc>
        <w:tc>
          <w:tcPr>
            <w:tcW w:w="1384"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Total</w:t>
            </w:r>
          </w:p>
        </w:tc>
      </w:tr>
      <w:tr w:rsidR="001D5F9A" w:rsidTr="0051485C">
        <w:trPr>
          <w:trHeight w:val="264"/>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Agriculture</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56,9</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22,7</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15,1</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3,4</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44,3</w:t>
            </w:r>
          </w:p>
        </w:tc>
      </w:tr>
      <w:tr w:rsidR="001D5F9A" w:rsidTr="0051485C">
        <w:trPr>
          <w:trHeight w:val="264"/>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Coton-Textile</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3,6</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8,7</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6,6</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4,6</w:t>
            </w:r>
          </w:p>
        </w:tc>
      </w:tr>
      <w:tr w:rsidR="001D5F9A" w:rsidTr="0051485C">
        <w:trPr>
          <w:trHeight w:val="289"/>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Commerce-logistique</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24,7</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35,5</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36,3</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26,2</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27,6</w:t>
            </w:r>
          </w:p>
        </w:tc>
      </w:tr>
      <w:tr w:rsidR="001D5F9A" w:rsidTr="0051485C">
        <w:trPr>
          <w:trHeight w:val="348"/>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Agroalimentaire</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2,1</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w:t>
            </w:r>
          </w:p>
        </w:tc>
      </w:tr>
      <w:tr w:rsidR="001D5F9A" w:rsidTr="0051485C">
        <w:trPr>
          <w:trHeight w:val="369"/>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BTP - matériaux de construction</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6,8</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5,5</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5,0</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2,8</w:t>
            </w:r>
          </w:p>
        </w:tc>
      </w:tr>
      <w:tr w:rsidR="001D5F9A" w:rsidTr="0051485C">
        <w:trPr>
          <w:trHeight w:val="221"/>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Culture et tourisme</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6,4</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12,2</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11,1</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5,7</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7,7</w:t>
            </w:r>
          </w:p>
        </w:tc>
      </w:tr>
      <w:tr w:rsidR="001D5F9A" w:rsidTr="0051485C">
        <w:trPr>
          <w:trHeight w:val="437"/>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Autres activités industrielles et artisanales</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5,8</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6,4</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2,7</w:t>
            </w:r>
          </w:p>
        </w:tc>
      </w:tr>
      <w:tr w:rsidR="001D5F9A" w:rsidTr="0051485C">
        <w:trPr>
          <w:trHeight w:val="372"/>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Autres services</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2,6</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6,0</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16,9</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53,7</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r>
      <w:tr w:rsidR="001D5F9A" w:rsidTr="0051485C">
        <w:trPr>
          <w:trHeight w:val="264"/>
        </w:trPr>
        <w:tc>
          <w:tcPr>
            <w:tcW w:w="2977" w:type="dxa"/>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Non déclaré</w:t>
            </w:r>
          </w:p>
        </w:tc>
        <w:tc>
          <w:tcPr>
            <w:tcW w:w="992"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13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1276"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1384" w:type="dxa"/>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r>
      <w:tr w:rsidR="001D5F9A" w:rsidTr="0051485C">
        <w:trPr>
          <w:trHeight w:val="264"/>
        </w:trPr>
        <w:tc>
          <w:tcPr>
            <w:tcW w:w="2977" w:type="dxa"/>
            <w:tcBorders>
              <w:top w:val="nil"/>
              <w:left w:val="nil"/>
              <w:bottom w:val="double" w:sz="4" w:space="0" w:color="auto"/>
              <w:right w:val="nil"/>
            </w:tcBorders>
            <w:shd w:val="clear" w:color="auto" w:fill="DAEEF3" w:themeFill="accent5" w:themeFillTint="33"/>
            <w:vAlign w:val="center"/>
            <w:hideMark/>
          </w:tcPr>
          <w:p w:rsidR="001D5F9A" w:rsidRDefault="001D5F9A">
            <w:pPr>
              <w:spacing w:line="240" w:lineRule="auto"/>
              <w:jc w:val="lef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Total</w:t>
            </w:r>
          </w:p>
        </w:tc>
        <w:tc>
          <w:tcPr>
            <w:tcW w:w="992"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100,0</w:t>
            </w:r>
          </w:p>
        </w:tc>
        <w:tc>
          <w:tcPr>
            <w:tcW w:w="1134"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100,0</w:t>
            </w:r>
          </w:p>
        </w:tc>
        <w:tc>
          <w:tcPr>
            <w:tcW w:w="1276"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100,0</w:t>
            </w:r>
          </w:p>
        </w:tc>
        <w:tc>
          <w:tcPr>
            <w:tcW w:w="1276"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100,0</w:t>
            </w:r>
          </w:p>
        </w:tc>
        <w:tc>
          <w:tcPr>
            <w:tcW w:w="1384" w:type="dxa"/>
            <w:tcBorders>
              <w:top w:val="nil"/>
              <w:left w:val="nil"/>
              <w:bottom w:val="double" w:sz="4" w:space="0" w:color="auto"/>
              <w:right w:val="nil"/>
            </w:tcBorders>
            <w:shd w:val="clear" w:color="auto" w:fill="DAEEF3" w:themeFill="accent5" w:themeFillTint="33"/>
            <w:noWrap/>
            <w:vAlign w:val="center"/>
            <w:hideMark/>
          </w:tcPr>
          <w:p w:rsidR="001D5F9A" w:rsidRDefault="001D5F9A">
            <w:pPr>
              <w:spacing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100,0</w:t>
            </w:r>
          </w:p>
        </w:tc>
      </w:tr>
      <w:tr w:rsidR="001D5F9A" w:rsidTr="0051485C">
        <w:trPr>
          <w:trHeight w:val="264"/>
        </w:trPr>
        <w:tc>
          <w:tcPr>
            <w:tcW w:w="9039" w:type="dxa"/>
            <w:gridSpan w:val="6"/>
            <w:tcBorders>
              <w:top w:val="double" w:sz="4" w:space="0" w:color="auto"/>
              <w:left w:val="nil"/>
              <w:bottom w:val="nil"/>
              <w:right w:val="nil"/>
            </w:tcBorders>
            <w:shd w:val="clear" w:color="auto" w:fill="DAEEF3" w:themeFill="accent5" w:themeFillTint="33"/>
            <w:hideMark/>
          </w:tcPr>
          <w:p w:rsidR="001D5F9A" w:rsidRDefault="001D5F9A" w:rsidP="001D5F9A">
            <w:pPr>
              <w:spacing w:line="240" w:lineRule="auto"/>
              <w:rPr>
                <w:rFonts w:ascii="Times New Roman" w:hAnsi="Times New Roman"/>
                <w:sz w:val="24"/>
                <w:szCs w:val="24"/>
              </w:rPr>
            </w:pPr>
            <w:r>
              <w:rPr>
                <w:rFonts w:ascii="Times New Roman" w:hAnsi="Times New Roman"/>
                <w:sz w:val="24"/>
                <w:szCs w:val="24"/>
              </w:rPr>
              <w:t>Source : INSAE, EMICoV 2010</w:t>
            </w:r>
          </w:p>
        </w:tc>
      </w:tr>
    </w:tbl>
    <w:p w:rsidR="001D5F9A" w:rsidRDefault="001D5F9A" w:rsidP="001D5F9A">
      <w:pPr>
        <w:rPr>
          <w:rFonts w:ascii="Times New Roman" w:hAnsi="Times New Roman"/>
          <w:b/>
          <w:sz w:val="12"/>
          <w:szCs w:val="12"/>
        </w:rPr>
      </w:pPr>
    </w:p>
    <w:p w:rsidR="00E34C10" w:rsidRDefault="00E34C10" w:rsidP="001D5F9A">
      <w:pPr>
        <w:rPr>
          <w:rFonts w:ascii="Times New Roman" w:hAnsi="Times New Roman"/>
          <w:b/>
          <w:sz w:val="12"/>
          <w:szCs w:val="12"/>
        </w:rPr>
      </w:pPr>
    </w:p>
    <w:tbl>
      <w:tblPr>
        <w:tblW w:w="9053" w:type="dxa"/>
        <w:tblInd w:w="-176" w:type="dxa"/>
        <w:tblLook w:val="04A0" w:firstRow="1" w:lastRow="0" w:firstColumn="1" w:lastColumn="0" w:noHBand="0" w:noVBand="1"/>
      </w:tblPr>
      <w:tblGrid>
        <w:gridCol w:w="2487"/>
        <w:gridCol w:w="1101"/>
        <w:gridCol w:w="1368"/>
        <w:gridCol w:w="1425"/>
        <w:gridCol w:w="1336"/>
        <w:gridCol w:w="1336"/>
      </w:tblGrid>
      <w:tr w:rsidR="00E34C10" w:rsidRPr="00E34C10" w:rsidTr="00E34C10">
        <w:trPr>
          <w:trHeight w:val="663"/>
        </w:trPr>
        <w:tc>
          <w:tcPr>
            <w:tcW w:w="9053" w:type="dxa"/>
            <w:gridSpan w:val="6"/>
            <w:tcBorders>
              <w:left w:val="nil"/>
              <w:bottom w:val="double" w:sz="4" w:space="0" w:color="auto"/>
              <w:right w:val="nil"/>
            </w:tcBorders>
            <w:shd w:val="clear" w:color="auto" w:fill="92CDDC" w:themeFill="accent5" w:themeFillTint="99"/>
            <w:vAlign w:val="bottom"/>
            <w:hideMark/>
          </w:tcPr>
          <w:p w:rsidR="00E34C10" w:rsidRPr="00E34C10" w:rsidRDefault="00E34C10">
            <w:pPr>
              <w:spacing w:line="240" w:lineRule="auto"/>
              <w:jc w:val="left"/>
              <w:rPr>
                <w:rFonts w:ascii="Times New Roman" w:eastAsia="Times New Roman" w:hAnsi="Times New Roman"/>
                <w:bCs/>
                <w:sz w:val="24"/>
                <w:szCs w:val="24"/>
              </w:rPr>
            </w:pPr>
            <w:bookmarkStart w:id="232" w:name="_Toc373430545"/>
            <w:r w:rsidRPr="00E34C10">
              <w:rPr>
                <w:rFonts w:ascii="Times New Roman" w:hAnsi="Times New Roman"/>
                <w:sz w:val="24"/>
                <w:szCs w:val="24"/>
              </w:rPr>
              <w:t xml:space="preserve">Tableau A4. </w:t>
            </w:r>
            <w:r w:rsidR="00182C97" w:rsidRPr="00E34C10">
              <w:rPr>
                <w:rFonts w:ascii="Times New Roman" w:hAnsi="Times New Roman"/>
                <w:sz w:val="24"/>
                <w:szCs w:val="24"/>
              </w:rPr>
              <w:fldChar w:fldCharType="begin"/>
            </w:r>
            <w:r w:rsidRPr="00E34C10">
              <w:rPr>
                <w:rFonts w:ascii="Times New Roman" w:hAnsi="Times New Roman"/>
                <w:sz w:val="24"/>
                <w:szCs w:val="24"/>
              </w:rPr>
              <w:instrText xml:space="preserve"> SEQ Tableau_A4. \* ARABIC </w:instrText>
            </w:r>
            <w:r w:rsidR="00182C97" w:rsidRPr="00E34C10">
              <w:rPr>
                <w:rFonts w:ascii="Times New Roman" w:hAnsi="Times New Roman"/>
                <w:sz w:val="24"/>
                <w:szCs w:val="24"/>
              </w:rPr>
              <w:fldChar w:fldCharType="separate"/>
            </w:r>
            <w:r w:rsidR="00AB1967">
              <w:rPr>
                <w:rFonts w:ascii="Times New Roman" w:hAnsi="Times New Roman"/>
                <w:noProof/>
                <w:sz w:val="24"/>
                <w:szCs w:val="24"/>
              </w:rPr>
              <w:t>3</w:t>
            </w:r>
            <w:r w:rsidR="00182C97" w:rsidRPr="00E34C10">
              <w:rPr>
                <w:rFonts w:ascii="Times New Roman" w:hAnsi="Times New Roman"/>
                <w:sz w:val="24"/>
                <w:szCs w:val="24"/>
              </w:rPr>
              <w:fldChar w:fldCharType="end"/>
            </w:r>
            <w:r w:rsidRPr="00E34C10">
              <w:rPr>
                <w:rFonts w:ascii="Times New Roman" w:hAnsi="Times New Roman"/>
                <w:sz w:val="24"/>
                <w:szCs w:val="24"/>
              </w:rPr>
              <w:t>: Répartition des actifs occupés selon le niveau d'instruction, la branche d'activité et la catégorie socio-professionnelle en 2010</w:t>
            </w:r>
            <w:bookmarkEnd w:id="232"/>
          </w:p>
        </w:tc>
      </w:tr>
      <w:tr w:rsidR="001D5F9A" w:rsidTr="00E34C10">
        <w:trPr>
          <w:trHeight w:val="663"/>
        </w:trPr>
        <w:tc>
          <w:tcPr>
            <w:tcW w:w="2487"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rPr>
                <w:rFonts w:ascii="Times New Roman" w:eastAsia="Times New Roman" w:hAnsi="Times New Roman"/>
                <w:bCs/>
                <w:sz w:val="24"/>
                <w:szCs w:val="24"/>
              </w:rPr>
            </w:pPr>
            <w:r>
              <w:rPr>
                <w:rFonts w:ascii="Times New Roman" w:eastAsia="Times New Roman" w:hAnsi="Times New Roman"/>
                <w:bCs/>
                <w:sz w:val="24"/>
                <w:szCs w:val="24"/>
              </w:rPr>
              <w:t> </w:t>
            </w:r>
          </w:p>
        </w:tc>
        <w:tc>
          <w:tcPr>
            <w:tcW w:w="1101"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left"/>
              <w:rPr>
                <w:rFonts w:ascii="Times New Roman" w:eastAsia="Times New Roman" w:hAnsi="Times New Roman"/>
                <w:bCs/>
                <w:sz w:val="24"/>
                <w:szCs w:val="24"/>
              </w:rPr>
            </w:pPr>
            <w:r>
              <w:rPr>
                <w:rFonts w:ascii="Times New Roman" w:eastAsia="Times New Roman" w:hAnsi="Times New Roman"/>
                <w:bCs/>
                <w:sz w:val="24"/>
                <w:szCs w:val="24"/>
              </w:rPr>
              <w:t>Salariés</w:t>
            </w:r>
          </w:p>
        </w:tc>
        <w:tc>
          <w:tcPr>
            <w:tcW w:w="1368"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left"/>
              <w:rPr>
                <w:rFonts w:ascii="Times New Roman" w:eastAsia="Times New Roman" w:hAnsi="Times New Roman"/>
                <w:bCs/>
                <w:sz w:val="24"/>
                <w:szCs w:val="24"/>
              </w:rPr>
            </w:pPr>
            <w:r>
              <w:rPr>
                <w:rFonts w:ascii="Times New Roman" w:eastAsia="Times New Roman" w:hAnsi="Times New Roman"/>
                <w:bCs/>
                <w:sz w:val="24"/>
                <w:szCs w:val="24"/>
              </w:rPr>
              <w:t>Employeur</w:t>
            </w:r>
          </w:p>
        </w:tc>
        <w:tc>
          <w:tcPr>
            <w:tcW w:w="1425"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left"/>
              <w:rPr>
                <w:rFonts w:ascii="Times New Roman" w:eastAsia="Times New Roman" w:hAnsi="Times New Roman"/>
                <w:bCs/>
                <w:sz w:val="24"/>
                <w:szCs w:val="24"/>
              </w:rPr>
            </w:pPr>
            <w:r>
              <w:rPr>
                <w:rFonts w:ascii="Times New Roman" w:eastAsia="Times New Roman" w:hAnsi="Times New Roman"/>
                <w:bCs/>
                <w:sz w:val="24"/>
                <w:szCs w:val="24"/>
              </w:rPr>
              <w:t>Travailleur à son propre compte</w:t>
            </w:r>
          </w:p>
        </w:tc>
        <w:tc>
          <w:tcPr>
            <w:tcW w:w="1336"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left"/>
              <w:rPr>
                <w:rFonts w:ascii="Times New Roman" w:eastAsia="Times New Roman" w:hAnsi="Times New Roman"/>
                <w:bCs/>
                <w:sz w:val="24"/>
                <w:szCs w:val="24"/>
              </w:rPr>
            </w:pPr>
            <w:r>
              <w:rPr>
                <w:rFonts w:ascii="Times New Roman" w:eastAsia="Times New Roman" w:hAnsi="Times New Roman"/>
                <w:bCs/>
                <w:sz w:val="24"/>
                <w:szCs w:val="24"/>
              </w:rPr>
              <w:t>Apprenti/ Aide familial</w:t>
            </w:r>
          </w:p>
        </w:tc>
        <w:tc>
          <w:tcPr>
            <w:tcW w:w="1336" w:type="dxa"/>
            <w:tcBorders>
              <w:top w:val="double" w:sz="4" w:space="0" w:color="auto"/>
              <w:left w:val="nil"/>
              <w:bottom w:val="single" w:sz="4" w:space="0" w:color="auto"/>
              <w:right w:val="nil"/>
            </w:tcBorders>
            <w:shd w:val="clear" w:color="auto" w:fill="DAEEF3" w:themeFill="accent5" w:themeFillTint="33"/>
            <w:vAlign w:val="bottom"/>
            <w:hideMark/>
          </w:tcPr>
          <w:p w:rsidR="001D5F9A" w:rsidRDefault="001D5F9A">
            <w:pPr>
              <w:spacing w:line="240" w:lineRule="auto"/>
              <w:jc w:val="left"/>
              <w:rPr>
                <w:rFonts w:ascii="Times New Roman" w:eastAsia="Times New Roman" w:hAnsi="Times New Roman"/>
                <w:bCs/>
                <w:sz w:val="24"/>
                <w:szCs w:val="24"/>
              </w:rPr>
            </w:pPr>
            <w:r>
              <w:rPr>
                <w:rFonts w:ascii="Times New Roman" w:eastAsia="Times New Roman" w:hAnsi="Times New Roman"/>
                <w:bCs/>
                <w:sz w:val="24"/>
                <w:szCs w:val="24"/>
              </w:rPr>
              <w:t>Total</w:t>
            </w:r>
          </w:p>
        </w:tc>
      </w:tr>
      <w:tr w:rsidR="001D5F9A" w:rsidTr="001D5F9A">
        <w:trPr>
          <w:trHeight w:val="264"/>
        </w:trPr>
        <w:tc>
          <w:tcPr>
            <w:tcW w:w="2487" w:type="dxa"/>
            <w:shd w:val="clear" w:color="auto" w:fill="DAEEF3" w:themeFill="accent5" w:themeFillTint="33"/>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Niveau d'instruction</w:t>
            </w:r>
          </w:p>
        </w:tc>
        <w:tc>
          <w:tcPr>
            <w:tcW w:w="1101" w:type="dxa"/>
            <w:shd w:val="clear" w:color="auto" w:fill="DAEEF3" w:themeFill="accent5" w:themeFillTint="33"/>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w:t>
            </w:r>
          </w:p>
        </w:tc>
        <w:tc>
          <w:tcPr>
            <w:tcW w:w="1368" w:type="dxa"/>
            <w:shd w:val="clear" w:color="auto" w:fill="DAEEF3" w:themeFill="accent5" w:themeFillTint="33"/>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w:t>
            </w:r>
          </w:p>
        </w:tc>
        <w:tc>
          <w:tcPr>
            <w:tcW w:w="1425" w:type="dxa"/>
            <w:shd w:val="clear" w:color="auto" w:fill="DAEEF3" w:themeFill="accent5" w:themeFillTint="33"/>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w:t>
            </w:r>
          </w:p>
        </w:tc>
        <w:tc>
          <w:tcPr>
            <w:tcW w:w="1336" w:type="dxa"/>
            <w:shd w:val="clear" w:color="auto" w:fill="DAEEF3" w:themeFill="accent5" w:themeFillTint="33"/>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w:t>
            </w:r>
          </w:p>
        </w:tc>
        <w:tc>
          <w:tcPr>
            <w:tcW w:w="1336" w:type="dxa"/>
            <w:shd w:val="clear" w:color="auto" w:fill="DAEEF3" w:themeFill="accent5" w:themeFillTint="33"/>
            <w:vAlign w:val="bottom"/>
            <w:hideMark/>
          </w:tcPr>
          <w:p w:rsidR="001D5F9A" w:rsidRDefault="001D5F9A">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Aucun niveau</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2,2</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0,6</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76,8</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20,5</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1896682</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Primaire</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8,6</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2,4</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71,2</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17,7</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471563</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Secondaire1</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22,0</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2,3</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62,2</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13,4</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234153</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Secondaire2+</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61,9</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3,6</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30,6</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171473</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Total</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8,6</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71,7</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18,4</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2773872</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Pôles de croissance</w:t>
            </w:r>
          </w:p>
        </w:tc>
        <w:tc>
          <w:tcPr>
            <w:tcW w:w="1101" w:type="dxa"/>
            <w:shd w:val="clear" w:color="auto" w:fill="DAEEF3" w:themeFill="accent5" w:themeFillTint="33"/>
            <w:noWrap/>
            <w:hideMark/>
          </w:tcPr>
          <w:p w:rsidR="001D5F9A" w:rsidRDefault="001D5F9A">
            <w:pPr>
              <w:spacing w:line="240" w:lineRule="auto"/>
              <w:jc w:val="left"/>
              <w:rPr>
                <w:rFonts w:ascii="Times New Roman" w:eastAsia="Times New Roman" w:hAnsi="Times New Roman"/>
                <w:sz w:val="20"/>
                <w:szCs w:val="20"/>
                <w:lang w:eastAsia="fr-FR"/>
              </w:rPr>
            </w:pPr>
          </w:p>
        </w:tc>
        <w:tc>
          <w:tcPr>
            <w:tcW w:w="1368" w:type="dxa"/>
            <w:shd w:val="clear" w:color="auto" w:fill="DAEEF3" w:themeFill="accent5" w:themeFillTint="33"/>
            <w:noWrap/>
            <w:hideMark/>
          </w:tcPr>
          <w:p w:rsidR="001D5F9A" w:rsidRDefault="001D5F9A">
            <w:pPr>
              <w:spacing w:line="240" w:lineRule="auto"/>
              <w:jc w:val="left"/>
              <w:rPr>
                <w:rFonts w:ascii="Times New Roman" w:eastAsia="Times New Roman" w:hAnsi="Times New Roman"/>
                <w:sz w:val="20"/>
                <w:szCs w:val="20"/>
                <w:lang w:eastAsia="fr-FR"/>
              </w:rPr>
            </w:pPr>
          </w:p>
        </w:tc>
        <w:tc>
          <w:tcPr>
            <w:tcW w:w="1425" w:type="dxa"/>
            <w:shd w:val="clear" w:color="auto" w:fill="DAEEF3" w:themeFill="accent5" w:themeFillTint="33"/>
            <w:noWrap/>
            <w:hideMark/>
          </w:tcPr>
          <w:p w:rsidR="001D5F9A" w:rsidRDefault="001D5F9A">
            <w:pPr>
              <w:spacing w:line="240" w:lineRule="auto"/>
              <w:jc w:val="left"/>
              <w:rPr>
                <w:rFonts w:ascii="Times New Roman" w:eastAsia="Times New Roman" w:hAnsi="Times New Roman"/>
                <w:sz w:val="20"/>
                <w:szCs w:val="20"/>
                <w:lang w:eastAsia="fr-FR"/>
              </w:rPr>
            </w:pPr>
          </w:p>
        </w:tc>
        <w:tc>
          <w:tcPr>
            <w:tcW w:w="1336" w:type="dxa"/>
            <w:shd w:val="clear" w:color="auto" w:fill="DAEEF3" w:themeFill="accent5" w:themeFillTint="33"/>
            <w:noWrap/>
            <w:hideMark/>
          </w:tcPr>
          <w:p w:rsidR="001D5F9A" w:rsidRDefault="001D5F9A">
            <w:pPr>
              <w:spacing w:line="240" w:lineRule="auto"/>
              <w:jc w:val="left"/>
              <w:rPr>
                <w:rFonts w:ascii="Times New Roman" w:eastAsia="Times New Roman" w:hAnsi="Times New Roman"/>
                <w:sz w:val="20"/>
                <w:szCs w:val="20"/>
                <w:lang w:eastAsia="fr-FR"/>
              </w:rPr>
            </w:pPr>
          </w:p>
        </w:tc>
        <w:tc>
          <w:tcPr>
            <w:tcW w:w="1336" w:type="dxa"/>
            <w:shd w:val="clear" w:color="auto" w:fill="DAEEF3" w:themeFill="accent5" w:themeFillTint="33"/>
            <w:noWrap/>
            <w:hideMark/>
          </w:tcPr>
          <w:p w:rsidR="001D5F9A" w:rsidRDefault="001D5F9A">
            <w:pPr>
              <w:spacing w:line="240" w:lineRule="auto"/>
              <w:jc w:val="left"/>
              <w:rPr>
                <w:rFonts w:ascii="Times New Roman" w:eastAsia="Times New Roman" w:hAnsi="Times New Roman"/>
                <w:sz w:val="20"/>
                <w:szCs w:val="20"/>
                <w:lang w:eastAsia="fr-FR"/>
              </w:rPr>
            </w:pP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Agriculture</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0,3</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70,3</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28,2</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1232248</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Coton-Textile</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2,7</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66,2</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29,5</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126906</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Commerce-logistique</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7,2</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85,7</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6,0</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768513</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Agroalimentaire</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6,8</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88,7</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49006</w:t>
            </w:r>
          </w:p>
        </w:tc>
      </w:tr>
      <w:tr w:rsidR="001D5F9A" w:rsidTr="001D5F9A">
        <w:trPr>
          <w:trHeight w:val="456"/>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BTP - matériaux de construction</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10,8</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8,8</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61,5</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18,9</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78609</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Culture et tourisme</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7,0</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2,2</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77,0</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13,8</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215529</w:t>
            </w:r>
          </w:p>
        </w:tc>
      </w:tr>
      <w:tr w:rsidR="001D5F9A" w:rsidTr="001D5F9A">
        <w:trPr>
          <w:trHeight w:val="456"/>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Autres activités industrielles et artisanales</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6,7</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5,2</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76,0</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12,1</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74305</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Autres services</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63,4</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27,1</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8,6</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209536</w:t>
            </w:r>
          </w:p>
        </w:tc>
      </w:tr>
      <w:tr w:rsidR="001D5F9A" w:rsidTr="001D5F9A">
        <w:trPr>
          <w:trHeight w:val="264"/>
        </w:trPr>
        <w:tc>
          <w:tcPr>
            <w:tcW w:w="2487" w:type="dxa"/>
            <w:shd w:val="clear" w:color="auto" w:fill="DAEEF3" w:themeFill="accent5" w:themeFillTint="33"/>
            <w:hideMark/>
          </w:tcPr>
          <w:p w:rsidR="001D5F9A" w:rsidRDefault="001D5F9A" w:rsidP="001D5F9A">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Non déclaré</w:t>
            </w:r>
          </w:p>
        </w:tc>
        <w:tc>
          <w:tcPr>
            <w:tcW w:w="1101"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7,1</w:t>
            </w:r>
          </w:p>
        </w:tc>
        <w:tc>
          <w:tcPr>
            <w:tcW w:w="1368"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425"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57,1</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34,8</w:t>
            </w:r>
          </w:p>
        </w:tc>
        <w:tc>
          <w:tcPr>
            <w:tcW w:w="1336" w:type="dxa"/>
            <w:shd w:val="clear" w:color="auto" w:fill="DAEEF3" w:themeFill="accent5" w:themeFillTint="33"/>
            <w:noWrap/>
            <w:hideMark/>
          </w:tcPr>
          <w:p w:rsidR="001D5F9A" w:rsidRDefault="001D5F9A">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17455</w:t>
            </w:r>
          </w:p>
        </w:tc>
      </w:tr>
      <w:tr w:rsidR="001D5F9A" w:rsidTr="001D5F9A">
        <w:trPr>
          <w:trHeight w:val="264"/>
        </w:trPr>
        <w:tc>
          <w:tcPr>
            <w:tcW w:w="2487" w:type="dxa"/>
            <w:tcBorders>
              <w:top w:val="nil"/>
              <w:left w:val="nil"/>
              <w:bottom w:val="double" w:sz="4" w:space="0" w:color="auto"/>
              <w:right w:val="nil"/>
            </w:tcBorders>
            <w:shd w:val="clear" w:color="auto" w:fill="DAEEF3" w:themeFill="accent5" w:themeFillTint="33"/>
            <w:hideMark/>
          </w:tcPr>
          <w:p w:rsidR="001D5F9A" w:rsidRDefault="001D5F9A" w:rsidP="001D5F9A">
            <w:pPr>
              <w:spacing w:line="240" w:lineRule="auto"/>
              <w:jc w:val="lef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Total</w:t>
            </w:r>
          </w:p>
        </w:tc>
        <w:tc>
          <w:tcPr>
            <w:tcW w:w="1101" w:type="dxa"/>
            <w:tcBorders>
              <w:top w:val="nil"/>
              <w:left w:val="nil"/>
              <w:bottom w:val="double" w:sz="4" w:space="0" w:color="auto"/>
              <w:right w:val="nil"/>
            </w:tcBorders>
            <w:shd w:val="clear" w:color="auto" w:fill="DAEEF3" w:themeFill="accent5" w:themeFillTint="33"/>
            <w:noWrap/>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8,6</w:t>
            </w:r>
          </w:p>
        </w:tc>
        <w:tc>
          <w:tcPr>
            <w:tcW w:w="1368" w:type="dxa"/>
            <w:tcBorders>
              <w:top w:val="nil"/>
              <w:left w:val="nil"/>
              <w:bottom w:val="double" w:sz="4" w:space="0" w:color="auto"/>
              <w:right w:val="nil"/>
            </w:tcBorders>
            <w:shd w:val="clear" w:color="auto" w:fill="DAEEF3" w:themeFill="accent5" w:themeFillTint="33"/>
            <w:noWrap/>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1,2</w:t>
            </w:r>
          </w:p>
        </w:tc>
        <w:tc>
          <w:tcPr>
            <w:tcW w:w="1425" w:type="dxa"/>
            <w:tcBorders>
              <w:top w:val="nil"/>
              <w:left w:val="nil"/>
              <w:bottom w:val="double" w:sz="4" w:space="0" w:color="auto"/>
              <w:right w:val="nil"/>
            </w:tcBorders>
            <w:shd w:val="clear" w:color="auto" w:fill="DAEEF3" w:themeFill="accent5" w:themeFillTint="33"/>
            <w:noWrap/>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71,8</w:t>
            </w:r>
          </w:p>
        </w:tc>
        <w:tc>
          <w:tcPr>
            <w:tcW w:w="1336" w:type="dxa"/>
            <w:tcBorders>
              <w:top w:val="nil"/>
              <w:left w:val="nil"/>
              <w:bottom w:val="double" w:sz="4" w:space="0" w:color="auto"/>
              <w:right w:val="nil"/>
            </w:tcBorders>
            <w:shd w:val="clear" w:color="auto" w:fill="DAEEF3" w:themeFill="accent5" w:themeFillTint="33"/>
            <w:noWrap/>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18,4</w:t>
            </w:r>
          </w:p>
        </w:tc>
        <w:tc>
          <w:tcPr>
            <w:tcW w:w="1336" w:type="dxa"/>
            <w:tcBorders>
              <w:top w:val="nil"/>
              <w:left w:val="nil"/>
              <w:bottom w:val="double" w:sz="4" w:space="0" w:color="auto"/>
              <w:right w:val="nil"/>
            </w:tcBorders>
            <w:shd w:val="clear" w:color="auto" w:fill="DAEEF3" w:themeFill="accent5" w:themeFillTint="33"/>
            <w:noWrap/>
            <w:hideMark/>
          </w:tcPr>
          <w:p w:rsidR="001D5F9A" w:rsidRDefault="001D5F9A">
            <w:pPr>
              <w:spacing w:line="240" w:lineRule="auto"/>
              <w:jc w:val="right"/>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2772107</w:t>
            </w:r>
          </w:p>
        </w:tc>
      </w:tr>
      <w:tr w:rsidR="001D5F9A" w:rsidTr="00E34C10">
        <w:trPr>
          <w:trHeight w:val="264"/>
        </w:trPr>
        <w:tc>
          <w:tcPr>
            <w:tcW w:w="9053" w:type="dxa"/>
            <w:gridSpan w:val="6"/>
            <w:tcBorders>
              <w:top w:val="double" w:sz="4" w:space="0" w:color="auto"/>
              <w:left w:val="nil"/>
              <w:bottom w:val="nil"/>
              <w:right w:val="nil"/>
            </w:tcBorders>
            <w:shd w:val="clear" w:color="auto" w:fill="DAEEF3" w:themeFill="accent5" w:themeFillTint="33"/>
            <w:hideMark/>
          </w:tcPr>
          <w:p w:rsidR="001D5F9A" w:rsidRDefault="001D5F9A">
            <w:pPr>
              <w:rPr>
                <w:rFonts w:ascii="Times New Roman" w:hAnsi="Times New Roman"/>
                <w:sz w:val="24"/>
                <w:szCs w:val="24"/>
              </w:rPr>
            </w:pPr>
            <w:r>
              <w:rPr>
                <w:rFonts w:ascii="Times New Roman" w:hAnsi="Times New Roman"/>
                <w:sz w:val="24"/>
                <w:szCs w:val="24"/>
              </w:rPr>
              <w:t>Source : INSAE, EMICoV 2010</w:t>
            </w:r>
          </w:p>
        </w:tc>
      </w:tr>
    </w:tbl>
    <w:p w:rsidR="001D5F9A" w:rsidRDefault="001D5F9A" w:rsidP="00C80C3F">
      <w:pPr>
        <w:spacing w:line="240" w:lineRule="auto"/>
        <w:rPr>
          <w:rFonts w:ascii="Times New Roman" w:hAnsi="Times New Roman"/>
          <w:sz w:val="24"/>
          <w:szCs w:val="24"/>
        </w:rPr>
      </w:pPr>
    </w:p>
    <w:tbl>
      <w:tblPr>
        <w:tblW w:w="8677" w:type="dxa"/>
        <w:tblLook w:val="04A0" w:firstRow="1" w:lastRow="0" w:firstColumn="1" w:lastColumn="0" w:noHBand="0" w:noVBand="1"/>
      </w:tblPr>
      <w:tblGrid>
        <w:gridCol w:w="2588"/>
        <w:gridCol w:w="1240"/>
        <w:gridCol w:w="1163"/>
        <w:gridCol w:w="1247"/>
        <w:gridCol w:w="1276"/>
        <w:gridCol w:w="1163"/>
      </w:tblGrid>
      <w:tr w:rsidR="0008018E" w:rsidRPr="0008018E" w:rsidTr="0008018E">
        <w:trPr>
          <w:trHeight w:val="262"/>
        </w:trPr>
        <w:tc>
          <w:tcPr>
            <w:tcW w:w="8677" w:type="dxa"/>
            <w:gridSpan w:val="6"/>
            <w:tcBorders>
              <w:left w:val="nil"/>
              <w:bottom w:val="double" w:sz="4" w:space="0" w:color="auto"/>
              <w:right w:val="nil"/>
            </w:tcBorders>
            <w:shd w:val="clear" w:color="auto" w:fill="92CDDC" w:themeFill="accent5" w:themeFillTint="99"/>
            <w:noWrap/>
            <w:vAlign w:val="bottom"/>
            <w:hideMark/>
          </w:tcPr>
          <w:p w:rsidR="00832112" w:rsidRPr="00832112" w:rsidRDefault="00832112" w:rsidP="00832112">
            <w:pPr>
              <w:rPr>
                <w:rFonts w:ascii="Times New Roman" w:hAnsi="Times New Roman"/>
                <w:sz w:val="24"/>
                <w:szCs w:val="24"/>
              </w:rPr>
            </w:pPr>
            <w:bookmarkStart w:id="233" w:name="_Toc373430546"/>
            <w:r w:rsidRPr="00832112">
              <w:rPr>
                <w:rFonts w:ascii="Times New Roman" w:hAnsi="Times New Roman"/>
                <w:sz w:val="24"/>
                <w:szCs w:val="24"/>
              </w:rPr>
              <w:t xml:space="preserve">Tableau A4. </w:t>
            </w:r>
            <w:r w:rsidR="00182C97" w:rsidRPr="00832112">
              <w:rPr>
                <w:rFonts w:ascii="Times New Roman" w:hAnsi="Times New Roman"/>
                <w:sz w:val="24"/>
                <w:szCs w:val="24"/>
              </w:rPr>
              <w:fldChar w:fldCharType="begin"/>
            </w:r>
            <w:r w:rsidRPr="00832112">
              <w:rPr>
                <w:rFonts w:ascii="Times New Roman" w:hAnsi="Times New Roman"/>
                <w:sz w:val="24"/>
                <w:szCs w:val="24"/>
              </w:rPr>
              <w:instrText xml:space="preserve"> SEQ Tableau_A4. \* ARABIC </w:instrText>
            </w:r>
            <w:r w:rsidR="00182C97" w:rsidRPr="00832112">
              <w:rPr>
                <w:rFonts w:ascii="Times New Roman" w:hAnsi="Times New Roman"/>
                <w:sz w:val="24"/>
                <w:szCs w:val="24"/>
              </w:rPr>
              <w:fldChar w:fldCharType="separate"/>
            </w:r>
            <w:r w:rsidR="00AB1967">
              <w:rPr>
                <w:rFonts w:ascii="Times New Roman" w:hAnsi="Times New Roman"/>
                <w:noProof/>
                <w:sz w:val="24"/>
                <w:szCs w:val="24"/>
              </w:rPr>
              <w:t>4</w:t>
            </w:r>
            <w:r w:rsidR="00182C97" w:rsidRPr="00832112">
              <w:rPr>
                <w:rFonts w:ascii="Times New Roman" w:hAnsi="Times New Roman"/>
                <w:sz w:val="24"/>
                <w:szCs w:val="24"/>
              </w:rPr>
              <w:fldChar w:fldCharType="end"/>
            </w:r>
            <w:r w:rsidRPr="00832112">
              <w:rPr>
                <w:rFonts w:ascii="Times New Roman" w:hAnsi="Times New Roman"/>
                <w:sz w:val="24"/>
                <w:szCs w:val="24"/>
              </w:rPr>
              <w:t>: Raison d'inactivité selon le milieu de résidence et l'âge en 2010</w:t>
            </w:r>
            <w:bookmarkEnd w:id="233"/>
          </w:p>
        </w:tc>
      </w:tr>
      <w:tr w:rsidR="0008018E" w:rsidTr="0008018E">
        <w:trPr>
          <w:trHeight w:val="262"/>
        </w:trPr>
        <w:tc>
          <w:tcPr>
            <w:tcW w:w="2588"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240"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163"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rPr>
                <w:rFonts w:ascii="Times New Roman" w:eastAsia="Times New Roman" w:hAnsi="Times New Roman"/>
                <w:sz w:val="24"/>
                <w:szCs w:val="24"/>
              </w:rPr>
            </w:pPr>
            <w:r>
              <w:rPr>
                <w:rFonts w:ascii="Times New Roman" w:eastAsia="Times New Roman" w:hAnsi="Times New Roman"/>
                <w:b/>
                <w:bCs/>
                <w:sz w:val="24"/>
                <w:szCs w:val="24"/>
              </w:rPr>
              <w:t>Rural</w:t>
            </w:r>
          </w:p>
        </w:tc>
        <w:tc>
          <w:tcPr>
            <w:tcW w:w="1247"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276"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163"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r>
      <w:tr w:rsidR="0008018E" w:rsidTr="0041521E">
        <w:trPr>
          <w:trHeight w:val="262"/>
        </w:trPr>
        <w:tc>
          <w:tcPr>
            <w:tcW w:w="2588" w:type="dxa"/>
            <w:tcBorders>
              <w:top w:val="sing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 </w:t>
            </w:r>
          </w:p>
        </w:tc>
        <w:tc>
          <w:tcPr>
            <w:tcW w:w="1240" w:type="dxa"/>
            <w:tcBorders>
              <w:top w:val="single" w:sz="4" w:space="0" w:color="auto"/>
              <w:left w:val="nil"/>
              <w:bottom w:val="single" w:sz="4" w:space="0" w:color="auto"/>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15-24 ans</w:t>
            </w:r>
          </w:p>
        </w:tc>
        <w:tc>
          <w:tcPr>
            <w:tcW w:w="1163" w:type="dxa"/>
            <w:tcBorders>
              <w:top w:val="single" w:sz="4" w:space="0" w:color="auto"/>
              <w:left w:val="nil"/>
              <w:bottom w:val="single" w:sz="4" w:space="0" w:color="auto"/>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25-49 ans</w:t>
            </w:r>
          </w:p>
        </w:tc>
        <w:tc>
          <w:tcPr>
            <w:tcW w:w="1247" w:type="dxa"/>
            <w:tcBorders>
              <w:top w:val="single" w:sz="4" w:space="0" w:color="auto"/>
              <w:left w:val="nil"/>
              <w:bottom w:val="single" w:sz="4" w:space="0" w:color="auto"/>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50-64 ans</w:t>
            </w:r>
          </w:p>
        </w:tc>
        <w:tc>
          <w:tcPr>
            <w:tcW w:w="1276" w:type="dxa"/>
            <w:tcBorders>
              <w:top w:val="single" w:sz="4" w:space="0" w:color="auto"/>
              <w:left w:val="nil"/>
              <w:bottom w:val="single" w:sz="4" w:space="0" w:color="auto"/>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65 ans+</w:t>
            </w:r>
          </w:p>
        </w:tc>
        <w:tc>
          <w:tcPr>
            <w:tcW w:w="1163" w:type="dxa"/>
            <w:tcBorders>
              <w:top w:val="single" w:sz="4" w:space="0" w:color="auto"/>
              <w:left w:val="nil"/>
              <w:bottom w:val="single" w:sz="4" w:space="0" w:color="auto"/>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Ensemble</w:t>
            </w:r>
          </w:p>
        </w:tc>
      </w:tr>
      <w:tr w:rsidR="0008018E" w:rsidTr="0041521E">
        <w:trPr>
          <w:trHeight w:val="488"/>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Invalide ou en maladie de longue durée</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4,9</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31,7</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54,6</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11,4</w:t>
            </w:r>
          </w:p>
        </w:tc>
      </w:tr>
      <w:tr w:rsidR="0008018E" w:rsidTr="0041521E">
        <w:trPr>
          <w:trHeight w:val="274"/>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En cours de scolarité</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67,0</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4,3</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2,9</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35,0</w:t>
            </w:r>
          </w:p>
        </w:tc>
      </w:tr>
      <w:tr w:rsidR="0008018E" w:rsidTr="0041521E">
        <w:trPr>
          <w:trHeight w:val="26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Retraité</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0,0</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0,0</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2,6</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5,5</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0,8</w:t>
            </w:r>
          </w:p>
        </w:tc>
      </w:tr>
      <w:tr w:rsidR="0008018E" w:rsidTr="0041521E">
        <w:trPr>
          <w:trHeight w:val="297"/>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Femme au foyer</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18,4</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85,7</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47,5</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7,3</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41,2</w:t>
            </w:r>
          </w:p>
        </w:tc>
      </w:tr>
      <w:tr w:rsidR="0008018E" w:rsidTr="0041521E">
        <w:trPr>
          <w:trHeight w:val="26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Rentier</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0,1</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0,3</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0,4</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0,3</w:t>
            </w:r>
          </w:p>
        </w:tc>
      </w:tr>
      <w:tr w:rsidR="0008018E" w:rsidTr="0041521E">
        <w:trPr>
          <w:trHeight w:val="26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11,5</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4,8</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14,0</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28,4</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11,3</w:t>
            </w:r>
          </w:p>
        </w:tc>
      </w:tr>
      <w:tr w:rsidR="0008018E" w:rsidTr="0041521E">
        <w:trPr>
          <w:trHeight w:val="262"/>
        </w:trPr>
        <w:tc>
          <w:tcPr>
            <w:tcW w:w="2588"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240" w:type="dxa"/>
            <w:tcBorders>
              <w:top w:val="nil"/>
              <w:left w:val="nil"/>
              <w:bottom w:val="doub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163" w:type="dxa"/>
            <w:tcBorders>
              <w:top w:val="nil"/>
              <w:left w:val="nil"/>
              <w:bottom w:val="double" w:sz="4" w:space="0" w:color="auto"/>
              <w:right w:val="nil"/>
            </w:tcBorders>
            <w:shd w:val="clear" w:color="auto" w:fill="DAEEF3" w:themeFill="accent5" w:themeFillTint="33"/>
            <w:noWrap/>
            <w:vAlign w:val="bottom"/>
            <w:hideMark/>
          </w:tcPr>
          <w:p w:rsidR="0008018E" w:rsidRDefault="0008018E" w:rsidP="0041521E">
            <w:pPr>
              <w:spacing w:line="240" w:lineRule="auto"/>
              <w:rPr>
                <w:rFonts w:ascii="Times New Roman" w:eastAsia="Times New Roman" w:hAnsi="Times New Roman"/>
                <w:sz w:val="24"/>
                <w:szCs w:val="24"/>
              </w:rPr>
            </w:pPr>
            <w:r>
              <w:rPr>
                <w:rFonts w:ascii="Times New Roman" w:eastAsia="Times New Roman" w:hAnsi="Times New Roman"/>
                <w:b/>
                <w:bCs/>
                <w:sz w:val="24"/>
                <w:szCs w:val="24"/>
              </w:rPr>
              <w:t>Urbain</w:t>
            </w:r>
          </w:p>
        </w:tc>
        <w:tc>
          <w:tcPr>
            <w:tcW w:w="1247" w:type="dxa"/>
            <w:tcBorders>
              <w:top w:val="nil"/>
              <w:left w:val="nil"/>
              <w:bottom w:val="doub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276" w:type="dxa"/>
            <w:tcBorders>
              <w:top w:val="nil"/>
              <w:left w:val="nil"/>
              <w:bottom w:val="doub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c>
          <w:tcPr>
            <w:tcW w:w="1163" w:type="dxa"/>
            <w:tcBorders>
              <w:top w:val="nil"/>
              <w:left w:val="nil"/>
              <w:bottom w:val="double" w:sz="4" w:space="0" w:color="auto"/>
              <w:right w:val="nil"/>
            </w:tcBorders>
            <w:shd w:val="clear" w:color="auto" w:fill="DAEEF3" w:themeFill="accent5" w:themeFillTint="33"/>
            <w:noWrap/>
            <w:vAlign w:val="bottom"/>
            <w:hideMark/>
          </w:tcPr>
          <w:p w:rsidR="0008018E" w:rsidRDefault="0008018E" w:rsidP="0041521E">
            <w:pPr>
              <w:spacing w:line="240" w:lineRule="auto"/>
              <w:jc w:val="left"/>
              <w:rPr>
                <w:rFonts w:ascii="Times New Roman" w:eastAsia="Times New Roman" w:hAnsi="Times New Roman"/>
                <w:sz w:val="20"/>
                <w:szCs w:val="20"/>
                <w:lang w:eastAsia="fr-FR"/>
              </w:rPr>
            </w:pPr>
          </w:p>
        </w:tc>
      </w:tr>
      <w:tr w:rsidR="0008018E" w:rsidTr="0041521E">
        <w:trPr>
          <w:trHeight w:val="262"/>
        </w:trPr>
        <w:tc>
          <w:tcPr>
            <w:tcW w:w="2588" w:type="dxa"/>
            <w:tcBorders>
              <w:top w:val="double" w:sz="4" w:space="0" w:color="auto"/>
              <w:left w:val="nil"/>
              <w:bottom w:val="single" w:sz="4" w:space="0" w:color="auto"/>
              <w:right w:val="nil"/>
            </w:tcBorders>
            <w:shd w:val="clear" w:color="auto" w:fill="DAEEF3" w:themeFill="accent5" w:themeFillTint="33"/>
            <w:noWrap/>
            <w:vAlign w:val="center"/>
            <w:hideMark/>
          </w:tcPr>
          <w:p w:rsidR="0008018E" w:rsidRDefault="0008018E" w:rsidP="0041521E">
            <w:pPr>
              <w:spacing w:line="240" w:lineRule="auto"/>
              <w:jc w:val="left"/>
              <w:rPr>
                <w:rFonts w:ascii="Times New Roman" w:eastAsia="Times New Roman" w:hAnsi="Times New Roman"/>
                <w:b/>
                <w:bCs/>
                <w:sz w:val="24"/>
                <w:szCs w:val="24"/>
              </w:rPr>
            </w:pPr>
            <w:r>
              <w:rPr>
                <w:rFonts w:ascii="Times New Roman" w:eastAsia="Times New Roman" w:hAnsi="Times New Roman"/>
                <w:b/>
                <w:bCs/>
                <w:sz w:val="24"/>
                <w:szCs w:val="24"/>
              </w:rPr>
              <w:t> </w:t>
            </w:r>
          </w:p>
        </w:tc>
        <w:tc>
          <w:tcPr>
            <w:tcW w:w="1240" w:type="dxa"/>
            <w:tcBorders>
              <w:top w:val="double" w:sz="4" w:space="0" w:color="auto"/>
              <w:left w:val="nil"/>
              <w:bottom w:val="nil"/>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15-24 ans</w:t>
            </w:r>
          </w:p>
        </w:tc>
        <w:tc>
          <w:tcPr>
            <w:tcW w:w="1163" w:type="dxa"/>
            <w:tcBorders>
              <w:top w:val="double" w:sz="4" w:space="0" w:color="auto"/>
              <w:left w:val="nil"/>
              <w:bottom w:val="nil"/>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25-49 ans</w:t>
            </w:r>
          </w:p>
        </w:tc>
        <w:tc>
          <w:tcPr>
            <w:tcW w:w="1247" w:type="dxa"/>
            <w:tcBorders>
              <w:top w:val="double" w:sz="4" w:space="0" w:color="auto"/>
              <w:left w:val="nil"/>
              <w:bottom w:val="nil"/>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50-64 ans</w:t>
            </w:r>
          </w:p>
        </w:tc>
        <w:tc>
          <w:tcPr>
            <w:tcW w:w="1276" w:type="dxa"/>
            <w:tcBorders>
              <w:top w:val="double" w:sz="4" w:space="0" w:color="auto"/>
              <w:left w:val="nil"/>
              <w:bottom w:val="nil"/>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65 ans+</w:t>
            </w:r>
          </w:p>
        </w:tc>
        <w:tc>
          <w:tcPr>
            <w:tcW w:w="1163" w:type="dxa"/>
            <w:tcBorders>
              <w:top w:val="double" w:sz="4" w:space="0" w:color="auto"/>
              <w:left w:val="nil"/>
              <w:bottom w:val="nil"/>
              <w:right w:val="nil"/>
            </w:tcBorders>
            <w:shd w:val="clear" w:color="auto" w:fill="DAEEF3" w:themeFill="accent5" w:themeFillTint="33"/>
            <w:vAlign w:val="bottom"/>
            <w:hideMark/>
          </w:tcPr>
          <w:p w:rsidR="0008018E" w:rsidRDefault="0008018E" w:rsidP="0041521E">
            <w:pPr>
              <w:spacing w:line="240" w:lineRule="auto"/>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Ensemble</w:t>
            </w:r>
          </w:p>
        </w:tc>
      </w:tr>
      <w:tr w:rsidR="0008018E" w:rsidTr="0041521E">
        <w:trPr>
          <w:trHeight w:val="45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Invalide ou en maladie de longue durée</w:t>
            </w:r>
          </w:p>
        </w:tc>
        <w:tc>
          <w:tcPr>
            <w:tcW w:w="1240" w:type="dxa"/>
            <w:tcBorders>
              <w:top w:val="single" w:sz="4" w:space="0" w:color="auto"/>
              <w:left w:val="nil"/>
              <w:bottom w:val="nil"/>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1,60</w:t>
            </w:r>
          </w:p>
        </w:tc>
        <w:tc>
          <w:tcPr>
            <w:tcW w:w="1163" w:type="dxa"/>
            <w:tcBorders>
              <w:top w:val="single" w:sz="4" w:space="0" w:color="auto"/>
              <w:left w:val="nil"/>
              <w:bottom w:val="nil"/>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5,02</w:t>
            </w:r>
          </w:p>
        </w:tc>
        <w:tc>
          <w:tcPr>
            <w:tcW w:w="1247" w:type="dxa"/>
            <w:tcBorders>
              <w:top w:val="single" w:sz="4" w:space="0" w:color="auto"/>
              <w:left w:val="nil"/>
              <w:bottom w:val="nil"/>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18,49</w:t>
            </w:r>
          </w:p>
        </w:tc>
        <w:tc>
          <w:tcPr>
            <w:tcW w:w="1276" w:type="dxa"/>
            <w:tcBorders>
              <w:top w:val="single" w:sz="4" w:space="0" w:color="auto"/>
              <w:left w:val="nil"/>
              <w:bottom w:val="nil"/>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40,41</w:t>
            </w:r>
          </w:p>
        </w:tc>
        <w:tc>
          <w:tcPr>
            <w:tcW w:w="1163" w:type="dxa"/>
            <w:tcBorders>
              <w:top w:val="single" w:sz="4" w:space="0" w:color="auto"/>
              <w:left w:val="nil"/>
              <w:bottom w:val="nil"/>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7,38</w:t>
            </w:r>
          </w:p>
        </w:tc>
      </w:tr>
      <w:tr w:rsidR="0008018E" w:rsidTr="0041521E">
        <w:trPr>
          <w:trHeight w:val="26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En cours de scolarité</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80,48</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15,06</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1,32</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2,86</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50,12</w:t>
            </w:r>
          </w:p>
        </w:tc>
      </w:tr>
      <w:tr w:rsidR="0008018E" w:rsidTr="0041521E">
        <w:trPr>
          <w:trHeight w:val="26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Retraité</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0,07</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0,00</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19,75</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16,04</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3,04</w:t>
            </w:r>
          </w:p>
        </w:tc>
      </w:tr>
      <w:tr w:rsidR="0008018E" w:rsidTr="0041521E">
        <w:trPr>
          <w:trHeight w:val="285"/>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Femme au foyer</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10,50</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71,16</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43,30</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12,03</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29,01</w:t>
            </w:r>
          </w:p>
        </w:tc>
      </w:tr>
      <w:tr w:rsidR="0008018E" w:rsidTr="0041521E">
        <w:trPr>
          <w:trHeight w:val="262"/>
        </w:trPr>
        <w:tc>
          <w:tcPr>
            <w:tcW w:w="2588"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Rentier</w:t>
            </w:r>
          </w:p>
        </w:tc>
        <w:tc>
          <w:tcPr>
            <w:tcW w:w="1240"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0,02</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0,34</w:t>
            </w:r>
          </w:p>
        </w:tc>
        <w:tc>
          <w:tcPr>
            <w:tcW w:w="1247"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2,01</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3,97</w:t>
            </w:r>
          </w:p>
        </w:tc>
        <w:tc>
          <w:tcPr>
            <w:tcW w:w="1163"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0,62</w:t>
            </w:r>
          </w:p>
        </w:tc>
      </w:tr>
      <w:tr w:rsidR="0008018E" w:rsidTr="0041521E">
        <w:trPr>
          <w:trHeight w:val="262"/>
        </w:trPr>
        <w:tc>
          <w:tcPr>
            <w:tcW w:w="2588" w:type="dxa"/>
            <w:tcBorders>
              <w:top w:val="nil"/>
              <w:left w:val="nil"/>
              <w:bottom w:val="double" w:sz="4" w:space="0" w:color="auto"/>
              <w:right w:val="nil"/>
            </w:tcBorders>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Autre</w:t>
            </w:r>
          </w:p>
        </w:tc>
        <w:tc>
          <w:tcPr>
            <w:tcW w:w="1240"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7,34</w:t>
            </w:r>
          </w:p>
        </w:tc>
        <w:tc>
          <w:tcPr>
            <w:tcW w:w="1163"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8,43</w:t>
            </w:r>
          </w:p>
        </w:tc>
        <w:tc>
          <w:tcPr>
            <w:tcW w:w="1247"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15,14</w:t>
            </w:r>
          </w:p>
        </w:tc>
        <w:tc>
          <w:tcPr>
            <w:tcW w:w="1276"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24,70</w:t>
            </w:r>
          </w:p>
        </w:tc>
        <w:tc>
          <w:tcPr>
            <w:tcW w:w="1163"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9,83</w:t>
            </w:r>
          </w:p>
        </w:tc>
      </w:tr>
      <w:tr w:rsidR="0008018E" w:rsidTr="0041521E">
        <w:trPr>
          <w:trHeight w:val="262"/>
        </w:trPr>
        <w:tc>
          <w:tcPr>
            <w:tcW w:w="8677" w:type="dxa"/>
            <w:gridSpan w:val="6"/>
            <w:tcBorders>
              <w:top w:val="double" w:sz="4" w:space="0" w:color="auto"/>
              <w:left w:val="nil"/>
              <w:bottom w:val="nil"/>
              <w:right w:val="nil"/>
            </w:tcBorders>
            <w:shd w:val="clear" w:color="auto" w:fill="DAEEF3" w:themeFill="accent5" w:themeFillTint="33"/>
            <w:noWrap/>
            <w:vAlign w:val="bottom"/>
            <w:hideMark/>
          </w:tcPr>
          <w:p w:rsidR="0008018E" w:rsidRDefault="0008018E" w:rsidP="0041521E">
            <w:pPr>
              <w:spacing w:line="240" w:lineRule="auto"/>
              <w:rPr>
                <w:rFonts w:ascii="Times New Roman" w:eastAsia="Times New Roman" w:hAnsi="Times New Roman"/>
                <w:sz w:val="24"/>
                <w:szCs w:val="24"/>
              </w:rPr>
            </w:pPr>
            <w:r>
              <w:rPr>
                <w:rFonts w:ascii="Times New Roman" w:hAnsi="Times New Roman"/>
                <w:sz w:val="24"/>
                <w:szCs w:val="24"/>
              </w:rPr>
              <w:t>Source : INSAE, EMICoV 2010</w:t>
            </w:r>
          </w:p>
        </w:tc>
      </w:tr>
    </w:tbl>
    <w:p w:rsidR="0008018E" w:rsidRDefault="0008018E" w:rsidP="00D60CFD">
      <w:pPr>
        <w:pStyle w:val="Lgende"/>
        <w:framePr w:wrap="around"/>
      </w:pPr>
    </w:p>
    <w:tbl>
      <w:tblPr>
        <w:tblW w:w="8464" w:type="dxa"/>
        <w:tblInd w:w="93" w:type="dxa"/>
        <w:tblLook w:val="04A0" w:firstRow="1" w:lastRow="0" w:firstColumn="1" w:lastColumn="0" w:noHBand="0" w:noVBand="1"/>
      </w:tblPr>
      <w:tblGrid>
        <w:gridCol w:w="4551"/>
        <w:gridCol w:w="1276"/>
        <w:gridCol w:w="1418"/>
        <w:gridCol w:w="1219"/>
      </w:tblGrid>
      <w:tr w:rsidR="00500BE6" w:rsidRPr="00500BE6" w:rsidTr="001C440D">
        <w:trPr>
          <w:trHeight w:val="257"/>
        </w:trPr>
        <w:tc>
          <w:tcPr>
            <w:tcW w:w="8464" w:type="dxa"/>
            <w:gridSpan w:val="4"/>
            <w:tcBorders>
              <w:left w:val="nil"/>
              <w:bottom w:val="double" w:sz="4" w:space="0" w:color="auto"/>
              <w:right w:val="nil"/>
            </w:tcBorders>
            <w:shd w:val="clear" w:color="auto" w:fill="92CDDC" w:themeFill="accent5" w:themeFillTint="99"/>
            <w:noWrap/>
            <w:vAlign w:val="bottom"/>
            <w:hideMark/>
          </w:tcPr>
          <w:p w:rsidR="00500BE6" w:rsidRPr="00500BE6" w:rsidRDefault="00832112" w:rsidP="0041521E">
            <w:pPr>
              <w:spacing w:line="240" w:lineRule="auto"/>
              <w:rPr>
                <w:rFonts w:ascii="Times New Roman" w:eastAsia="Times New Roman" w:hAnsi="Times New Roman"/>
                <w:bCs/>
                <w:sz w:val="24"/>
                <w:szCs w:val="24"/>
              </w:rPr>
            </w:pPr>
            <w:bookmarkStart w:id="234" w:name="_Toc373430547"/>
            <w:r w:rsidRPr="00832112">
              <w:rPr>
                <w:rFonts w:ascii="Times New Roman" w:hAnsi="Times New Roman"/>
                <w:sz w:val="24"/>
                <w:szCs w:val="24"/>
              </w:rPr>
              <w:t xml:space="preserve">Tableau A4. </w:t>
            </w:r>
            <w:r w:rsidR="00182C97" w:rsidRPr="00832112">
              <w:rPr>
                <w:rFonts w:ascii="Times New Roman" w:hAnsi="Times New Roman"/>
                <w:sz w:val="24"/>
                <w:szCs w:val="24"/>
              </w:rPr>
              <w:fldChar w:fldCharType="begin"/>
            </w:r>
            <w:r w:rsidRPr="00832112">
              <w:rPr>
                <w:rFonts w:ascii="Times New Roman" w:hAnsi="Times New Roman"/>
                <w:sz w:val="24"/>
                <w:szCs w:val="24"/>
              </w:rPr>
              <w:instrText xml:space="preserve"> SEQ Tableau_A4. \* ARABIC </w:instrText>
            </w:r>
            <w:r w:rsidR="00182C97" w:rsidRPr="00832112">
              <w:rPr>
                <w:rFonts w:ascii="Times New Roman" w:hAnsi="Times New Roman"/>
                <w:sz w:val="24"/>
                <w:szCs w:val="24"/>
              </w:rPr>
              <w:fldChar w:fldCharType="separate"/>
            </w:r>
            <w:r w:rsidR="00AB1967">
              <w:rPr>
                <w:rFonts w:ascii="Times New Roman" w:hAnsi="Times New Roman"/>
                <w:noProof/>
                <w:sz w:val="24"/>
                <w:szCs w:val="24"/>
              </w:rPr>
              <w:t>5</w:t>
            </w:r>
            <w:r w:rsidR="00182C97" w:rsidRPr="00832112">
              <w:rPr>
                <w:rFonts w:ascii="Times New Roman" w:hAnsi="Times New Roman"/>
                <w:sz w:val="24"/>
                <w:szCs w:val="24"/>
              </w:rPr>
              <w:fldChar w:fldCharType="end"/>
            </w:r>
            <w:r w:rsidRPr="00832112">
              <w:rPr>
                <w:rFonts w:ascii="Times New Roman" w:hAnsi="Times New Roman"/>
                <w:sz w:val="24"/>
                <w:szCs w:val="24"/>
              </w:rPr>
              <w:t>: Répartition des actifs occupés selon le secteur d'activité, la catégorie socioprofessionnelle et le sexe en 2010</w:t>
            </w:r>
            <w:bookmarkEnd w:id="234"/>
          </w:p>
        </w:tc>
      </w:tr>
      <w:tr w:rsidR="0008018E" w:rsidTr="00500BE6">
        <w:trPr>
          <w:trHeight w:val="257"/>
        </w:trPr>
        <w:tc>
          <w:tcPr>
            <w:tcW w:w="4551"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rPr>
                <w:rFonts w:ascii="Times New Roman" w:eastAsia="Times New Roman" w:hAnsi="Times New Roman"/>
                <w:sz w:val="24"/>
                <w:szCs w:val="24"/>
              </w:rPr>
            </w:pPr>
            <w:r>
              <w:rPr>
                <w:rFonts w:ascii="Times New Roman" w:eastAsia="Times New Roman" w:hAnsi="Times New Roman"/>
                <w:sz w:val="24"/>
                <w:szCs w:val="24"/>
              </w:rPr>
              <w:t> </w:t>
            </w:r>
          </w:p>
        </w:tc>
        <w:tc>
          <w:tcPr>
            <w:tcW w:w="1276"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Masculin</w:t>
            </w:r>
          </w:p>
        </w:tc>
        <w:tc>
          <w:tcPr>
            <w:tcW w:w="1418"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Féminin</w:t>
            </w:r>
          </w:p>
        </w:tc>
        <w:tc>
          <w:tcPr>
            <w:tcW w:w="1219" w:type="dxa"/>
            <w:tcBorders>
              <w:top w:val="double" w:sz="4" w:space="0" w:color="auto"/>
              <w:left w:val="nil"/>
              <w:bottom w:val="single" w:sz="4" w:space="0" w:color="auto"/>
              <w:right w:val="nil"/>
            </w:tcBorders>
            <w:shd w:val="clear" w:color="auto" w:fill="DAEEF3" w:themeFill="accent5" w:themeFillTint="33"/>
            <w:noWrap/>
            <w:vAlign w:val="bottom"/>
            <w:hideMark/>
          </w:tcPr>
          <w:p w:rsidR="0008018E" w:rsidRDefault="0008018E" w:rsidP="0041521E">
            <w:pPr>
              <w:spacing w:line="240" w:lineRule="auto"/>
              <w:rPr>
                <w:rFonts w:ascii="Times New Roman" w:eastAsia="Times New Roman" w:hAnsi="Times New Roman"/>
                <w:bCs/>
                <w:sz w:val="24"/>
                <w:szCs w:val="24"/>
              </w:rPr>
            </w:pPr>
            <w:r>
              <w:rPr>
                <w:rFonts w:ascii="Times New Roman" w:eastAsia="Times New Roman" w:hAnsi="Times New Roman"/>
                <w:bCs/>
                <w:sz w:val="24"/>
                <w:szCs w:val="24"/>
              </w:rPr>
              <w:t>Effectif Total</w:t>
            </w:r>
          </w:p>
        </w:tc>
      </w:tr>
      <w:tr w:rsidR="0008018E" w:rsidTr="0041521E">
        <w:trPr>
          <w:trHeight w:val="231"/>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Salariés secteur moderne public</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77,0</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23,0</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91117</w:t>
            </w:r>
          </w:p>
        </w:tc>
      </w:tr>
      <w:tr w:rsidR="0008018E" w:rsidTr="0041521E">
        <w:trPr>
          <w:trHeight w:val="237"/>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Salariés secteur moderne privé</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73,3</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26,7</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55639</w:t>
            </w:r>
          </w:p>
        </w:tc>
      </w:tr>
      <w:tr w:rsidR="0008018E" w:rsidTr="0041521E">
        <w:trPr>
          <w:trHeight w:val="255"/>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Salariés secteur moderne</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75,6</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24,4</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146757</w:t>
            </w:r>
          </w:p>
        </w:tc>
      </w:tr>
      <w:tr w:rsidR="0008018E" w:rsidTr="0041521E">
        <w:trPr>
          <w:trHeight w:val="210"/>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Salariés secteur informel non agricole</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70,1</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29,9</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79168</w:t>
            </w:r>
          </w:p>
        </w:tc>
      </w:tr>
      <w:tr w:rsidR="0008018E" w:rsidTr="0041521E">
        <w:trPr>
          <w:trHeight w:val="267"/>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Salariés secteur informel agricole</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71,3</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28,7</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12730</w:t>
            </w:r>
          </w:p>
        </w:tc>
      </w:tr>
      <w:tr w:rsidR="0008018E" w:rsidTr="0041521E">
        <w:trPr>
          <w:trHeight w:val="234"/>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Salariés secteur informel</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70,3</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29,7</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91898</w:t>
            </w:r>
          </w:p>
        </w:tc>
      </w:tr>
      <w:tr w:rsidR="0008018E" w:rsidTr="0041521E">
        <w:trPr>
          <w:trHeight w:val="257"/>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Employeurs</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76,9</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23,1</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33636</w:t>
            </w:r>
          </w:p>
        </w:tc>
      </w:tr>
      <w:tr w:rsidR="0008018E" w:rsidTr="0041521E">
        <w:trPr>
          <w:trHeight w:val="257"/>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Indépendants</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47,1</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52,9</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1982669</w:t>
            </w:r>
          </w:p>
        </w:tc>
      </w:tr>
      <w:tr w:rsidR="0008018E" w:rsidTr="0041521E">
        <w:trPr>
          <w:trHeight w:val="304"/>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Apprentis/aides familiaux</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33,3</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66,7</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505008</w:t>
            </w:r>
          </w:p>
        </w:tc>
      </w:tr>
      <w:tr w:rsidR="0008018E" w:rsidTr="0041521E">
        <w:trPr>
          <w:trHeight w:val="257"/>
        </w:trPr>
        <w:tc>
          <w:tcPr>
            <w:tcW w:w="4551" w:type="dxa"/>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Non salariés</w:t>
            </w:r>
          </w:p>
        </w:tc>
        <w:tc>
          <w:tcPr>
            <w:tcW w:w="1276"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44,7</w:t>
            </w:r>
          </w:p>
        </w:tc>
        <w:tc>
          <w:tcPr>
            <w:tcW w:w="1418"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55,3</w:t>
            </w:r>
          </w:p>
        </w:tc>
        <w:tc>
          <w:tcPr>
            <w:tcW w:w="1219" w:type="dxa"/>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2521312</w:t>
            </w:r>
          </w:p>
        </w:tc>
      </w:tr>
      <w:tr w:rsidR="0008018E" w:rsidTr="0041521E">
        <w:trPr>
          <w:trHeight w:val="257"/>
        </w:trPr>
        <w:tc>
          <w:tcPr>
            <w:tcW w:w="4551" w:type="dxa"/>
            <w:tcBorders>
              <w:top w:val="nil"/>
              <w:left w:val="nil"/>
              <w:bottom w:val="double" w:sz="4" w:space="0" w:color="auto"/>
              <w:right w:val="nil"/>
            </w:tcBorders>
            <w:shd w:val="clear" w:color="auto" w:fill="DAEEF3" w:themeFill="accent5" w:themeFillTint="33"/>
            <w:vAlign w:val="center"/>
            <w:hideMark/>
          </w:tcPr>
          <w:p w:rsidR="0008018E" w:rsidRDefault="0008018E" w:rsidP="0041521E">
            <w:pPr>
              <w:spacing w:line="240" w:lineRule="auto"/>
              <w:jc w:val="left"/>
              <w:rPr>
                <w:rFonts w:ascii="Times New Roman" w:eastAsia="Times New Roman" w:hAnsi="Times New Roman"/>
                <w:color w:val="000000"/>
                <w:sz w:val="24"/>
                <w:szCs w:val="24"/>
              </w:rPr>
            </w:pPr>
            <w:r>
              <w:rPr>
                <w:rFonts w:ascii="Times New Roman" w:eastAsia="Times New Roman" w:hAnsi="Times New Roman"/>
                <w:color w:val="000000"/>
                <w:sz w:val="24"/>
                <w:szCs w:val="24"/>
              </w:rPr>
              <w:t>Non déclaré</w:t>
            </w:r>
          </w:p>
        </w:tc>
        <w:tc>
          <w:tcPr>
            <w:tcW w:w="1276"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63,0</w:t>
            </w:r>
          </w:p>
        </w:tc>
        <w:tc>
          <w:tcPr>
            <w:tcW w:w="1418"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37,0</w:t>
            </w:r>
          </w:p>
        </w:tc>
        <w:tc>
          <w:tcPr>
            <w:tcW w:w="1219" w:type="dxa"/>
            <w:tcBorders>
              <w:top w:val="nil"/>
              <w:left w:val="nil"/>
              <w:bottom w:val="double" w:sz="4" w:space="0" w:color="auto"/>
              <w:right w:val="nil"/>
            </w:tcBorders>
            <w:shd w:val="clear" w:color="auto" w:fill="DAEEF3" w:themeFill="accent5" w:themeFillTint="33"/>
            <w:noWrap/>
            <w:vAlign w:val="center"/>
            <w:hideMark/>
          </w:tcPr>
          <w:p w:rsidR="0008018E" w:rsidRDefault="0008018E" w:rsidP="0041521E">
            <w:pPr>
              <w:spacing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25883</w:t>
            </w:r>
          </w:p>
        </w:tc>
      </w:tr>
      <w:tr w:rsidR="0008018E" w:rsidTr="0041521E">
        <w:trPr>
          <w:trHeight w:val="304"/>
        </w:trPr>
        <w:tc>
          <w:tcPr>
            <w:tcW w:w="8464" w:type="dxa"/>
            <w:gridSpan w:val="4"/>
            <w:tcBorders>
              <w:top w:val="double" w:sz="4" w:space="0" w:color="auto"/>
              <w:left w:val="nil"/>
              <w:bottom w:val="nil"/>
              <w:right w:val="nil"/>
            </w:tcBorders>
            <w:shd w:val="clear" w:color="auto" w:fill="DAEEF3" w:themeFill="accent5" w:themeFillTint="33"/>
            <w:noWrap/>
            <w:vAlign w:val="bottom"/>
            <w:hideMark/>
          </w:tcPr>
          <w:p w:rsidR="0008018E" w:rsidRDefault="0008018E" w:rsidP="0041521E">
            <w:pPr>
              <w:spacing w:line="240" w:lineRule="auto"/>
              <w:rPr>
                <w:rFonts w:ascii="Times New Roman" w:hAnsi="Times New Roman"/>
                <w:sz w:val="24"/>
                <w:szCs w:val="24"/>
              </w:rPr>
            </w:pPr>
            <w:r>
              <w:rPr>
                <w:rFonts w:ascii="Times New Roman" w:hAnsi="Times New Roman"/>
                <w:sz w:val="24"/>
                <w:szCs w:val="24"/>
              </w:rPr>
              <w:t>Source : INSAE, EMICoV 2010</w:t>
            </w:r>
          </w:p>
        </w:tc>
      </w:tr>
    </w:tbl>
    <w:p w:rsidR="0008018E" w:rsidRDefault="0008018E" w:rsidP="0008018E">
      <w:pPr>
        <w:pStyle w:val="Paragraphedeliste"/>
        <w:spacing w:line="276" w:lineRule="auto"/>
        <w:ind w:left="360"/>
        <w:rPr>
          <w:rFonts w:ascii="Times New Roman" w:hAnsi="Times New Roman"/>
          <w:sz w:val="24"/>
          <w:szCs w:val="24"/>
        </w:rPr>
        <w:sectPr w:rsidR="0008018E" w:rsidSect="0008018E">
          <w:pgSz w:w="11906" w:h="16838"/>
          <w:pgMar w:top="752" w:right="1418" w:bottom="1418" w:left="1418" w:header="284" w:footer="708" w:gutter="0"/>
          <w:cols w:space="708"/>
          <w:docGrid w:linePitch="360"/>
        </w:sectPr>
      </w:pPr>
    </w:p>
    <w:p w:rsidR="0008018E" w:rsidRDefault="0008018E" w:rsidP="0008018E">
      <w:pPr>
        <w:pStyle w:val="Titre2"/>
        <w:spacing w:before="0" w:after="0" w:line="240" w:lineRule="auto"/>
        <w:rPr>
          <w:rFonts w:ascii="Times New Roman" w:hAnsi="Times New Roman" w:cs="Times New Roman"/>
          <w:i w:val="0"/>
        </w:rPr>
      </w:pPr>
      <w:bookmarkStart w:id="235" w:name="_Toc382322974"/>
      <w:r w:rsidRPr="00910784">
        <w:rPr>
          <w:rFonts w:ascii="Times New Roman" w:hAnsi="Times New Roman" w:cs="Times New Roman"/>
          <w:i w:val="0"/>
        </w:rPr>
        <w:t>A5 :</w:t>
      </w:r>
      <w:r>
        <w:rPr>
          <w:rFonts w:ascii="Times New Roman" w:hAnsi="Times New Roman" w:cs="Times New Roman"/>
          <w:i w:val="0"/>
        </w:rPr>
        <w:t xml:space="preserve"> </w:t>
      </w:r>
      <w:r w:rsidRPr="00910784">
        <w:rPr>
          <w:rFonts w:ascii="Times New Roman" w:hAnsi="Times New Roman" w:cs="Times New Roman"/>
          <w:i w:val="0"/>
        </w:rPr>
        <w:t>Tableaux complémentaires du chapitre 6</w:t>
      </w:r>
      <w:bookmarkEnd w:id="235"/>
    </w:p>
    <w:tbl>
      <w:tblPr>
        <w:tblW w:w="14285" w:type="dxa"/>
        <w:jc w:val="center"/>
        <w:tblLayout w:type="fixed"/>
        <w:tblCellMar>
          <w:left w:w="70" w:type="dxa"/>
          <w:right w:w="70" w:type="dxa"/>
        </w:tblCellMar>
        <w:tblLook w:val="04A0" w:firstRow="1" w:lastRow="0" w:firstColumn="1" w:lastColumn="0" w:noHBand="0" w:noVBand="1"/>
      </w:tblPr>
      <w:tblGrid>
        <w:gridCol w:w="14285"/>
      </w:tblGrid>
      <w:tr w:rsidR="00924A7A" w:rsidRPr="00924A7A" w:rsidTr="00924A7A">
        <w:trPr>
          <w:trHeight w:hRule="exact" w:val="330"/>
          <w:tblHeader/>
          <w:jc w:val="center"/>
        </w:trPr>
        <w:tc>
          <w:tcPr>
            <w:tcW w:w="14285" w:type="dxa"/>
            <w:tcBorders>
              <w:bottom w:val="double" w:sz="4" w:space="0" w:color="auto"/>
            </w:tcBorders>
            <w:shd w:val="clear" w:color="auto" w:fill="92CDDC" w:themeFill="accent5" w:themeFillTint="99"/>
            <w:vAlign w:val="bottom"/>
            <w:hideMark/>
          </w:tcPr>
          <w:p w:rsidR="00924A7A" w:rsidRPr="00924A7A" w:rsidRDefault="00924A7A" w:rsidP="00D60CFD">
            <w:pPr>
              <w:pStyle w:val="Lgende"/>
              <w:framePr w:wrap="around"/>
            </w:pPr>
            <w:bookmarkStart w:id="236" w:name="_Toc373430574"/>
            <w:r w:rsidRPr="00924A7A">
              <w:t xml:space="preserve">Tableau A5. </w:t>
            </w:r>
            <w:r w:rsidR="004F064D">
              <w:fldChar w:fldCharType="begin"/>
            </w:r>
            <w:r w:rsidR="004F064D">
              <w:instrText xml:space="preserve"> SEQ Tableau_A5. \* ARABIC </w:instrText>
            </w:r>
            <w:r w:rsidR="004F064D">
              <w:fldChar w:fldCharType="separate"/>
            </w:r>
            <w:r w:rsidR="00AB1967">
              <w:rPr>
                <w:noProof/>
              </w:rPr>
              <w:t>1</w:t>
            </w:r>
            <w:r w:rsidR="004F064D">
              <w:rPr>
                <w:noProof/>
              </w:rPr>
              <w:fldChar w:fldCharType="end"/>
            </w:r>
            <w:r w:rsidRPr="00924A7A">
              <w:t>: Déterminants de la pauvreté selon le sexe</w:t>
            </w:r>
            <w:bookmarkEnd w:id="236"/>
          </w:p>
          <w:p w:rsidR="00924A7A" w:rsidRPr="00924A7A" w:rsidRDefault="00924A7A" w:rsidP="00924A7A">
            <w:pPr>
              <w:spacing w:line="240" w:lineRule="auto"/>
              <w:jc w:val="center"/>
              <w:rPr>
                <w:rFonts w:ascii="Times New Roman" w:hAnsi="Times New Roman"/>
                <w:color w:val="000000"/>
              </w:rPr>
            </w:pPr>
          </w:p>
        </w:tc>
      </w:tr>
    </w:tbl>
    <w:tbl>
      <w:tblPr>
        <w:tblW w:w="14285" w:type="dxa"/>
        <w:jc w:val="center"/>
        <w:tblLayout w:type="fixed"/>
        <w:tblCellMar>
          <w:left w:w="70" w:type="dxa"/>
          <w:right w:w="70" w:type="dxa"/>
        </w:tblCellMar>
        <w:tblLook w:val="04A0" w:firstRow="1" w:lastRow="0" w:firstColumn="1" w:lastColumn="0" w:noHBand="0" w:noVBand="1"/>
      </w:tblPr>
      <w:tblGrid>
        <w:gridCol w:w="3527"/>
        <w:gridCol w:w="938"/>
        <w:gridCol w:w="708"/>
        <w:gridCol w:w="993"/>
        <w:gridCol w:w="708"/>
        <w:gridCol w:w="1134"/>
        <w:gridCol w:w="803"/>
        <w:gridCol w:w="190"/>
        <w:gridCol w:w="992"/>
        <w:gridCol w:w="709"/>
        <w:gridCol w:w="850"/>
        <w:gridCol w:w="709"/>
        <w:gridCol w:w="1134"/>
        <w:gridCol w:w="890"/>
      </w:tblGrid>
      <w:tr w:rsidR="00924A7A" w:rsidRPr="00924A7A" w:rsidTr="00924A7A">
        <w:trPr>
          <w:trHeight w:hRule="exact" w:val="330"/>
          <w:tblHeader/>
          <w:jc w:val="center"/>
        </w:trPr>
        <w:tc>
          <w:tcPr>
            <w:tcW w:w="3527" w:type="dxa"/>
            <w:tcBorders>
              <w:top w:val="double" w:sz="4" w:space="0" w:color="auto"/>
            </w:tcBorders>
            <w:shd w:val="clear" w:color="auto" w:fill="DAEEF3" w:themeFill="accent5" w:themeFillTint="33"/>
            <w:vAlign w:val="bottom"/>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5284" w:type="dxa"/>
            <w:gridSpan w:val="6"/>
            <w:tcBorders>
              <w:top w:val="double" w:sz="4"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Homme</w:t>
            </w:r>
          </w:p>
        </w:tc>
        <w:tc>
          <w:tcPr>
            <w:tcW w:w="190" w:type="dxa"/>
            <w:tcBorders>
              <w:top w:val="double" w:sz="4" w:space="0" w:color="auto"/>
            </w:tcBorders>
            <w:shd w:val="clear" w:color="auto" w:fill="DAEEF3" w:themeFill="accent5" w:themeFillTint="33"/>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5284" w:type="dxa"/>
            <w:gridSpan w:val="6"/>
            <w:tcBorders>
              <w:top w:val="double" w:sz="4"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Femme</w:t>
            </w:r>
          </w:p>
        </w:tc>
      </w:tr>
      <w:tr w:rsidR="00924A7A" w:rsidRPr="00924A7A" w:rsidTr="00924A7A">
        <w:trPr>
          <w:trHeight w:val="265"/>
          <w:tblHeader/>
          <w:jc w:val="center"/>
        </w:trPr>
        <w:tc>
          <w:tcPr>
            <w:tcW w:w="3527" w:type="dxa"/>
            <w:shd w:val="clear" w:color="auto" w:fill="DAEEF3" w:themeFill="accent5" w:themeFillTint="33"/>
            <w:vAlign w:val="bottom"/>
            <w:hideMark/>
          </w:tcPr>
          <w:p w:rsidR="00924A7A" w:rsidRPr="00924A7A" w:rsidRDefault="00924A7A" w:rsidP="00924A7A">
            <w:pPr>
              <w:spacing w:line="240" w:lineRule="auto"/>
              <w:jc w:val="left"/>
              <w:rPr>
                <w:rFonts w:ascii="Times New Roman" w:hAnsi="Times New Roman"/>
                <w:color w:val="000000"/>
              </w:rPr>
            </w:pPr>
          </w:p>
        </w:tc>
        <w:tc>
          <w:tcPr>
            <w:tcW w:w="5284" w:type="dxa"/>
            <w:gridSpan w:val="6"/>
            <w:tcBorders>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Rapports de chance des variables explicatives</w:t>
            </w:r>
          </w:p>
        </w:tc>
        <w:tc>
          <w:tcPr>
            <w:tcW w:w="190" w:type="dxa"/>
            <w:shd w:val="clear" w:color="auto" w:fill="DAEEF3" w:themeFill="accent5" w:themeFillTint="33"/>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w:t>
            </w:r>
          </w:p>
        </w:tc>
        <w:tc>
          <w:tcPr>
            <w:tcW w:w="5284" w:type="dxa"/>
            <w:gridSpan w:val="6"/>
            <w:tcBorders>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Rapports de chance des variables explicatives</w:t>
            </w:r>
          </w:p>
        </w:tc>
      </w:tr>
      <w:tr w:rsidR="00924A7A" w:rsidRPr="00924A7A" w:rsidTr="00924A7A">
        <w:trPr>
          <w:trHeight w:val="570"/>
          <w:tblHeader/>
          <w:jc w:val="center"/>
        </w:trPr>
        <w:tc>
          <w:tcPr>
            <w:tcW w:w="3527" w:type="dxa"/>
            <w:vMerge w:val="restart"/>
            <w:shd w:val="clear" w:color="auto" w:fill="DAEEF3" w:themeFill="accent5" w:themeFillTint="33"/>
            <w:vAlign w:val="bottom"/>
            <w:hideMark/>
          </w:tcPr>
          <w:p w:rsidR="00924A7A" w:rsidRPr="00924A7A" w:rsidRDefault="00924A7A" w:rsidP="00924A7A">
            <w:pPr>
              <w:spacing w:line="240" w:lineRule="auto"/>
              <w:jc w:val="left"/>
              <w:rPr>
                <w:rFonts w:ascii="Times New Roman" w:hAnsi="Times New Roman"/>
                <w:color w:val="000000"/>
              </w:rPr>
            </w:pPr>
            <w:r w:rsidRPr="00924A7A">
              <w:rPr>
                <w:rFonts w:ascii="Times New Roman" w:hAnsi="Times New Roman"/>
                <w:color w:val="000000"/>
              </w:rPr>
              <w:t>Variable expliquée : Typologie de pauvreté (Base=non pauvre)</w:t>
            </w:r>
          </w:p>
          <w:p w:rsidR="00924A7A" w:rsidRPr="00924A7A" w:rsidRDefault="00924A7A" w:rsidP="00924A7A">
            <w:pPr>
              <w:jc w:val="left"/>
              <w:rPr>
                <w:rFonts w:ascii="Times New Roman" w:hAnsi="Times New Roman"/>
                <w:color w:val="000000"/>
              </w:rPr>
            </w:pPr>
            <w:r w:rsidRPr="00924A7A">
              <w:rPr>
                <w:rFonts w:ascii="Times New Roman" w:hAnsi="Times New Roman"/>
                <w:b/>
                <w:bCs/>
                <w:color w:val="000000"/>
              </w:rPr>
              <w:t> </w:t>
            </w:r>
          </w:p>
        </w:tc>
        <w:tc>
          <w:tcPr>
            <w:tcW w:w="1646" w:type="dxa"/>
            <w:gridSpan w:val="2"/>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Pauvreté monétaire</w:t>
            </w:r>
          </w:p>
        </w:tc>
        <w:tc>
          <w:tcPr>
            <w:tcW w:w="1701" w:type="dxa"/>
            <w:gridSpan w:val="2"/>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Pauvreté non monétaire</w:t>
            </w:r>
          </w:p>
        </w:tc>
        <w:tc>
          <w:tcPr>
            <w:tcW w:w="1937" w:type="dxa"/>
            <w:gridSpan w:val="2"/>
            <w:tcBorders>
              <w:top w:val="single" w:sz="8" w:space="0" w:color="auto"/>
              <w:bottom w:val="single" w:sz="8" w:space="0" w:color="auto"/>
            </w:tcBorders>
            <w:shd w:val="clear" w:color="auto" w:fill="DAEEF3" w:themeFill="accent5" w:themeFillTint="33"/>
            <w:vAlign w:val="bottom"/>
            <w:hideMark/>
          </w:tcPr>
          <w:p w:rsidR="00924A7A" w:rsidRPr="00924A7A" w:rsidRDefault="00924A7A" w:rsidP="001A2100">
            <w:pPr>
              <w:spacing w:line="240" w:lineRule="auto"/>
              <w:jc w:val="center"/>
              <w:rPr>
                <w:rFonts w:ascii="Times New Roman" w:hAnsi="Times New Roman"/>
                <w:color w:val="000000"/>
              </w:rPr>
            </w:pPr>
            <w:r w:rsidRPr="00924A7A">
              <w:rPr>
                <w:rFonts w:ascii="Times New Roman" w:hAnsi="Times New Roman"/>
                <w:color w:val="000000"/>
              </w:rPr>
              <w:t>Noyau dur (</w:t>
            </w:r>
            <w:r w:rsidR="001A2100">
              <w:rPr>
                <w:rFonts w:ascii="Times New Roman" w:hAnsi="Times New Roman"/>
                <w:color w:val="000000"/>
              </w:rPr>
              <w:t>les deux formes de p</w:t>
            </w:r>
            <w:r w:rsidR="001A2100" w:rsidRPr="00924A7A">
              <w:rPr>
                <w:rFonts w:ascii="Times New Roman" w:hAnsi="Times New Roman"/>
                <w:color w:val="000000"/>
              </w:rPr>
              <w:t>auvreté</w:t>
            </w:r>
            <w:r w:rsidRPr="00924A7A">
              <w:rPr>
                <w:rFonts w:ascii="Times New Roman" w:hAnsi="Times New Roman"/>
                <w:color w:val="000000"/>
              </w:rPr>
              <w:t>)</w:t>
            </w:r>
          </w:p>
        </w:tc>
        <w:tc>
          <w:tcPr>
            <w:tcW w:w="190" w:type="dxa"/>
            <w:tcBorders>
              <w:bottom w:val="single" w:sz="8" w:space="0" w:color="auto"/>
            </w:tcBorders>
            <w:shd w:val="clear" w:color="auto" w:fill="DAEEF3" w:themeFill="accent5" w:themeFillTint="33"/>
            <w:hideMark/>
          </w:tcPr>
          <w:p w:rsidR="00924A7A" w:rsidRPr="00924A7A" w:rsidRDefault="00924A7A" w:rsidP="0071342D">
            <w:pPr>
              <w:spacing w:line="240" w:lineRule="auto"/>
              <w:jc w:val="center"/>
              <w:rPr>
                <w:rFonts w:ascii="Times New Roman" w:hAnsi="Times New Roman"/>
                <w:color w:val="000000"/>
              </w:rPr>
            </w:pPr>
            <w:r w:rsidRPr="00924A7A">
              <w:rPr>
                <w:rFonts w:ascii="Times New Roman" w:hAnsi="Times New Roman"/>
                <w:color w:val="000000"/>
              </w:rPr>
              <w:t> </w:t>
            </w:r>
          </w:p>
        </w:tc>
        <w:tc>
          <w:tcPr>
            <w:tcW w:w="1701" w:type="dxa"/>
            <w:gridSpan w:val="2"/>
            <w:tcBorders>
              <w:top w:val="single" w:sz="8" w:space="0" w:color="auto"/>
              <w:bottom w:val="single" w:sz="8" w:space="0" w:color="auto"/>
            </w:tcBorders>
            <w:shd w:val="clear" w:color="auto" w:fill="DAEEF3" w:themeFill="accent5" w:themeFillTint="33"/>
            <w:vAlign w:val="bottom"/>
            <w:hideMark/>
          </w:tcPr>
          <w:p w:rsidR="00924A7A" w:rsidRPr="00924A7A" w:rsidRDefault="00924A7A" w:rsidP="0071342D">
            <w:pPr>
              <w:spacing w:line="240" w:lineRule="auto"/>
              <w:jc w:val="center"/>
              <w:rPr>
                <w:rFonts w:ascii="Times New Roman" w:hAnsi="Times New Roman"/>
                <w:color w:val="000000"/>
              </w:rPr>
            </w:pPr>
            <w:r w:rsidRPr="00924A7A">
              <w:rPr>
                <w:rFonts w:ascii="Times New Roman" w:hAnsi="Times New Roman"/>
                <w:color w:val="000000"/>
                <w:lang w:val="en-US"/>
              </w:rPr>
              <w:t>Pauvreté monétaire</w:t>
            </w:r>
          </w:p>
        </w:tc>
        <w:tc>
          <w:tcPr>
            <w:tcW w:w="1559" w:type="dxa"/>
            <w:gridSpan w:val="2"/>
            <w:tcBorders>
              <w:top w:val="single" w:sz="8" w:space="0" w:color="auto"/>
              <w:bottom w:val="single" w:sz="8" w:space="0" w:color="auto"/>
            </w:tcBorders>
            <w:shd w:val="clear" w:color="auto" w:fill="DAEEF3" w:themeFill="accent5" w:themeFillTint="33"/>
            <w:vAlign w:val="bottom"/>
            <w:hideMark/>
          </w:tcPr>
          <w:p w:rsidR="00924A7A" w:rsidRPr="00924A7A" w:rsidRDefault="00924A7A" w:rsidP="0071342D">
            <w:pPr>
              <w:spacing w:line="240" w:lineRule="auto"/>
              <w:jc w:val="center"/>
              <w:rPr>
                <w:rFonts w:ascii="Times New Roman" w:hAnsi="Times New Roman"/>
                <w:color w:val="000000"/>
              </w:rPr>
            </w:pPr>
            <w:r w:rsidRPr="00924A7A">
              <w:rPr>
                <w:rFonts w:ascii="Times New Roman" w:hAnsi="Times New Roman"/>
                <w:color w:val="000000"/>
              </w:rPr>
              <w:t>Pauvreté non monétaire</w:t>
            </w:r>
          </w:p>
        </w:tc>
        <w:tc>
          <w:tcPr>
            <w:tcW w:w="2024" w:type="dxa"/>
            <w:gridSpan w:val="2"/>
            <w:tcBorders>
              <w:top w:val="single" w:sz="8" w:space="0" w:color="auto"/>
              <w:bottom w:val="single" w:sz="8" w:space="0" w:color="auto"/>
            </w:tcBorders>
            <w:shd w:val="clear" w:color="auto" w:fill="DAEEF3" w:themeFill="accent5" w:themeFillTint="33"/>
            <w:vAlign w:val="bottom"/>
            <w:hideMark/>
          </w:tcPr>
          <w:p w:rsidR="00924A7A" w:rsidRPr="00924A7A" w:rsidRDefault="001A2100" w:rsidP="0071342D">
            <w:pPr>
              <w:spacing w:line="240" w:lineRule="auto"/>
              <w:jc w:val="center"/>
              <w:rPr>
                <w:rFonts w:ascii="Times New Roman" w:hAnsi="Times New Roman"/>
                <w:color w:val="000000"/>
              </w:rPr>
            </w:pPr>
            <w:r w:rsidRPr="00924A7A">
              <w:rPr>
                <w:rFonts w:ascii="Times New Roman" w:hAnsi="Times New Roman"/>
                <w:color w:val="000000"/>
              </w:rPr>
              <w:t>Noyau dur (</w:t>
            </w:r>
            <w:r>
              <w:rPr>
                <w:rFonts w:ascii="Times New Roman" w:hAnsi="Times New Roman"/>
                <w:color w:val="000000"/>
              </w:rPr>
              <w:t>les deux formes de p</w:t>
            </w:r>
            <w:r w:rsidRPr="00924A7A">
              <w:rPr>
                <w:rFonts w:ascii="Times New Roman" w:hAnsi="Times New Roman"/>
                <w:color w:val="000000"/>
              </w:rPr>
              <w:t>auvreté)</w:t>
            </w:r>
          </w:p>
        </w:tc>
      </w:tr>
      <w:tr w:rsidR="00924A7A" w:rsidRPr="00924A7A" w:rsidTr="00924A7A">
        <w:trPr>
          <w:trHeight w:hRule="exact" w:val="330"/>
          <w:tblHeader/>
          <w:jc w:val="center"/>
        </w:trPr>
        <w:tc>
          <w:tcPr>
            <w:tcW w:w="3527" w:type="dxa"/>
            <w:vMerge/>
            <w:tcBorders>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left"/>
              <w:rPr>
                <w:rFonts w:ascii="Times New Roman" w:hAnsi="Times New Roman"/>
                <w:b/>
                <w:bCs/>
                <w:color w:val="000000"/>
              </w:rPr>
            </w:pPr>
          </w:p>
        </w:tc>
        <w:tc>
          <w:tcPr>
            <w:tcW w:w="938"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Coef </w:t>
            </w:r>
          </w:p>
        </w:tc>
        <w:tc>
          <w:tcPr>
            <w:tcW w:w="708"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P-val</w:t>
            </w:r>
          </w:p>
        </w:tc>
        <w:tc>
          <w:tcPr>
            <w:tcW w:w="993"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Coef </w:t>
            </w:r>
          </w:p>
        </w:tc>
        <w:tc>
          <w:tcPr>
            <w:tcW w:w="708"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P-val</w:t>
            </w:r>
          </w:p>
        </w:tc>
        <w:tc>
          <w:tcPr>
            <w:tcW w:w="1134"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Coef </w:t>
            </w:r>
          </w:p>
        </w:tc>
        <w:tc>
          <w:tcPr>
            <w:tcW w:w="803"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P-val</w:t>
            </w:r>
          </w:p>
        </w:tc>
        <w:tc>
          <w:tcPr>
            <w:tcW w:w="190" w:type="dxa"/>
            <w:tcBorders>
              <w:top w:val="single" w:sz="8" w:space="0" w:color="auto"/>
              <w:bottom w:val="single" w:sz="8" w:space="0" w:color="auto"/>
            </w:tcBorders>
            <w:shd w:val="clear" w:color="auto" w:fill="DAEEF3" w:themeFill="accent5" w:themeFillTint="33"/>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w:t>
            </w:r>
          </w:p>
        </w:tc>
        <w:tc>
          <w:tcPr>
            <w:tcW w:w="992"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Coef </w:t>
            </w:r>
          </w:p>
        </w:tc>
        <w:tc>
          <w:tcPr>
            <w:tcW w:w="709"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P-val</w:t>
            </w:r>
          </w:p>
        </w:tc>
        <w:tc>
          <w:tcPr>
            <w:tcW w:w="850"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Coef </w:t>
            </w:r>
          </w:p>
        </w:tc>
        <w:tc>
          <w:tcPr>
            <w:tcW w:w="709"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P-val</w:t>
            </w:r>
          </w:p>
        </w:tc>
        <w:tc>
          <w:tcPr>
            <w:tcW w:w="1134"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Coef </w:t>
            </w:r>
          </w:p>
        </w:tc>
        <w:tc>
          <w:tcPr>
            <w:tcW w:w="890" w:type="dxa"/>
            <w:tcBorders>
              <w:top w:val="single" w:sz="8" w:space="0" w:color="auto"/>
              <w:bottom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rPr>
              <w:t> P-val</w:t>
            </w:r>
          </w:p>
        </w:tc>
      </w:tr>
      <w:tr w:rsidR="00924A7A" w:rsidRPr="00924A7A" w:rsidTr="00924A7A">
        <w:trPr>
          <w:trHeight w:hRule="exact" w:val="545"/>
          <w:jc w:val="center"/>
        </w:trPr>
        <w:tc>
          <w:tcPr>
            <w:tcW w:w="3527" w:type="dxa"/>
            <w:tcBorders>
              <w:top w:val="single" w:sz="8" w:space="0" w:color="auto"/>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lang w:val="en-US"/>
              </w:rPr>
              <w:t>A. Caractéristiques socio-démographiques</w:t>
            </w:r>
          </w:p>
        </w:tc>
        <w:tc>
          <w:tcPr>
            <w:tcW w:w="938"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708"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993"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708"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1134"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803"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190" w:type="dxa"/>
            <w:tcBorders>
              <w:top w:val="single" w:sz="8" w:space="0" w:color="auto"/>
            </w:tcBorders>
            <w:shd w:val="clear" w:color="auto" w:fill="DAEEF3" w:themeFill="accent5" w:themeFillTint="33"/>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992"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709"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850"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709"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1134"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c>
          <w:tcPr>
            <w:tcW w:w="890" w:type="dxa"/>
            <w:tcBorders>
              <w:top w:val="single" w:sz="8" w:space="0" w:color="auto"/>
            </w:tcBorders>
            <w:shd w:val="clear" w:color="auto" w:fill="DAEEF3" w:themeFill="accent5" w:themeFillTint="33"/>
            <w:vAlign w:val="bottom"/>
            <w:hideMark/>
          </w:tcPr>
          <w:p w:rsidR="00924A7A" w:rsidRPr="00924A7A" w:rsidRDefault="00924A7A" w:rsidP="00924A7A">
            <w:pPr>
              <w:spacing w:line="240" w:lineRule="auto"/>
              <w:jc w:val="center"/>
              <w:rPr>
                <w:rFonts w:ascii="Times New Roman" w:hAnsi="Times New Roman"/>
                <w:color w:val="000000"/>
              </w:rPr>
            </w:pPr>
            <w:r w:rsidRPr="00924A7A">
              <w:rPr>
                <w:rFonts w:ascii="Times New Roman" w:hAnsi="Times New Roman"/>
                <w:color w:val="000000"/>
                <w:lang w:val="en-US"/>
              </w:rPr>
              <w:t> </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rPr>
              <w:t>1.    Age du chef de ménage</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rPr>
              <w:t xml:space="preserve"> Moins de 35  ans</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35 à 44 ans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0,914</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0,987</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0,147</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0,825</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0,581</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0,769</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0,563</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45 à 54 ans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0,779</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1,139</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0,859</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0,484</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0,776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0,318</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55 ans et plus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0,725</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1,009</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0,295</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0,675</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0,576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0,731</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0,487</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lang w:val="en-US"/>
              </w:rPr>
              <w:t>2.    Niveau d’instruction du CM</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Aucun</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Primaire</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0,900</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0,411</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0,559</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0,620</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0,242</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0,454</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Secondaire 1er  cycle</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0,811</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0,218</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0,271</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0,287</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0,135</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0,029</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Secondaire 2 et plus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0,490</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0,045</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0,062</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0,128</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0,053</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0,107</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lang w:val="en-US"/>
              </w:rPr>
              <w:t>3.    Taille du ménage</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Moins de 3 personnes</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3 à 4 personnes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5,306</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0,796</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3,258</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5,183</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0,829</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4,291</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5 à 7 personnes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10,042</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0,723</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6,055</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10,173</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0,615</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8,516</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8 personnes et plus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14,014</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0,482</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6,220</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18,738</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0,690</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10,921</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463"/>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rPr>
              <w:t>4.    Statut migratoire du CM</w:t>
            </w:r>
          </w:p>
        </w:tc>
        <w:tc>
          <w:tcPr>
            <w:tcW w:w="938" w:type="dxa"/>
            <w:tcBorders>
              <w:top w:val="nil"/>
            </w:tcBorders>
            <w:shd w:val="clear" w:color="auto" w:fill="DAEEF3" w:themeFill="accent5" w:themeFillTint="33"/>
            <w:vAlign w:val="center"/>
            <w:hideMark/>
          </w:tcPr>
          <w:p w:rsidR="00924A7A" w:rsidRPr="00924A7A" w:rsidRDefault="00924A7A" w:rsidP="0071342D">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Non migrant</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Migrant</w:t>
            </w:r>
          </w:p>
        </w:tc>
        <w:tc>
          <w:tcPr>
            <w:tcW w:w="938"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0,638</w:t>
            </w:r>
          </w:p>
        </w:tc>
        <w:tc>
          <w:tcPr>
            <w:tcW w:w="708"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0,811</w:t>
            </w:r>
          </w:p>
        </w:tc>
        <w:tc>
          <w:tcPr>
            <w:tcW w:w="708"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0,651</w:t>
            </w:r>
          </w:p>
        </w:tc>
        <w:tc>
          <w:tcPr>
            <w:tcW w:w="803"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0,810</w:t>
            </w:r>
          </w:p>
        </w:tc>
        <w:tc>
          <w:tcPr>
            <w:tcW w:w="709"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0,664</w:t>
            </w:r>
          </w:p>
        </w:tc>
        <w:tc>
          <w:tcPr>
            <w:tcW w:w="709"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0,548</w:t>
            </w:r>
          </w:p>
        </w:tc>
        <w:tc>
          <w:tcPr>
            <w:tcW w:w="890"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648"/>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rPr>
              <w:t>5.    Situation matrimoniale du CM</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558"/>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rPr>
              <w:t xml:space="preserve">Non marié (Célibataire, </w:t>
            </w:r>
          </w:p>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rPr>
              <w:t xml:space="preserve">                    Divorcé</w:t>
            </w:r>
            <w:r w:rsidR="0051485C" w:rsidRPr="00924A7A">
              <w:rPr>
                <w:rFonts w:ascii="Times New Roman" w:hAnsi="Times New Roman"/>
                <w:color w:val="000000"/>
              </w:rPr>
              <w:t>, veuf</w:t>
            </w:r>
            <w:r w:rsidRPr="00924A7A">
              <w:rPr>
                <w:rFonts w:ascii="Times New Roman" w:hAnsi="Times New Roman"/>
                <w:color w:val="000000"/>
              </w:rPr>
              <w:t>/ve)</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Marié(e)/Union libre</w:t>
            </w:r>
          </w:p>
        </w:tc>
        <w:tc>
          <w:tcPr>
            <w:tcW w:w="938"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1,500</w:t>
            </w:r>
          </w:p>
        </w:tc>
        <w:tc>
          <w:tcPr>
            <w:tcW w:w="708"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0,701</w:t>
            </w:r>
          </w:p>
        </w:tc>
        <w:tc>
          <w:tcPr>
            <w:tcW w:w="708"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1,000</w:t>
            </w:r>
          </w:p>
        </w:tc>
        <w:tc>
          <w:tcPr>
            <w:tcW w:w="803"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0,988</w:t>
            </w:r>
          </w:p>
        </w:tc>
        <w:tc>
          <w:tcPr>
            <w:tcW w:w="190" w:type="dxa"/>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1,118</w:t>
            </w:r>
          </w:p>
        </w:tc>
        <w:tc>
          <w:tcPr>
            <w:tcW w:w="709"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0,858</w:t>
            </w:r>
          </w:p>
        </w:tc>
        <w:tc>
          <w:tcPr>
            <w:tcW w:w="709"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1,166</w:t>
            </w:r>
          </w:p>
        </w:tc>
        <w:tc>
          <w:tcPr>
            <w:tcW w:w="890" w:type="dxa"/>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562"/>
          <w:jc w:val="center"/>
        </w:trPr>
        <w:tc>
          <w:tcPr>
            <w:tcW w:w="3527" w:type="dxa"/>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rPr>
              <w:t>B. Segmentation du marché de du travail</w:t>
            </w:r>
          </w:p>
        </w:tc>
        <w:tc>
          <w:tcPr>
            <w:tcW w:w="938"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rPr>
              <w:t>6.    Type d’emploi du CM</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Emploi continu</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Emploi irrégulier</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1,100</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1,102</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1,007</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0,447</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0,565</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1,271</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0,879</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lang w:val="en-US"/>
              </w:rPr>
              <w:t>7.    Catégorie socio-économique</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Salarié public/privé</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Indépendantprivé</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1,017</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0,193</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1,270</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1,285</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0,591</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1,118</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0,007</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1,514</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Chômeurs/Inactifs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1,320</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1,155</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1,931</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1,865</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1,033</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0,573</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3,792</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58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jc w:val="left"/>
              <w:rPr>
                <w:rFonts w:ascii="Times New Roman" w:hAnsi="Times New Roman"/>
                <w:b/>
                <w:bCs/>
                <w:color w:val="000000"/>
              </w:rPr>
            </w:pPr>
            <w:r w:rsidRPr="00924A7A">
              <w:rPr>
                <w:rFonts w:ascii="Times New Roman" w:hAnsi="Times New Roman"/>
                <w:b/>
                <w:bCs/>
                <w:color w:val="000000"/>
              </w:rPr>
              <w:t>8.    Branche d’activités (Pôles de développement) du CM</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Agriculture hors cotton</w:t>
            </w:r>
          </w:p>
        </w:tc>
        <w:tc>
          <w:tcPr>
            <w:tcW w:w="93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99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8"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03"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 </w:t>
            </w:r>
          </w:p>
        </w:tc>
        <w:tc>
          <w:tcPr>
            <w:tcW w:w="992"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5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709"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1134"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c>
          <w:tcPr>
            <w:tcW w:w="890" w:type="dxa"/>
            <w:tcBorders>
              <w:top w:val="nil"/>
            </w:tcBorders>
            <w:shd w:val="clear" w:color="auto" w:fill="DAEEF3" w:themeFill="accent5" w:themeFillTint="33"/>
            <w:vAlign w:val="center"/>
            <w:hideMark/>
          </w:tcPr>
          <w:p w:rsidR="00924A7A" w:rsidRPr="00924A7A" w:rsidRDefault="00924A7A" w:rsidP="00924A7A">
            <w:pPr>
              <w:spacing w:line="240" w:lineRule="auto"/>
              <w:jc w:val="right"/>
              <w:rPr>
                <w:rFonts w:ascii="Times New Roman" w:hAnsi="Times New Roman"/>
                <w:color w:val="000000"/>
              </w:rPr>
            </w:pPr>
            <w:r w:rsidRPr="00924A7A">
              <w:rPr>
                <w:rFonts w:ascii="Times New Roman" w:hAnsi="Times New Roman"/>
                <w:color w:val="000000"/>
              </w:rPr>
              <w:t>(réf)</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Coton-Textile</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0,588</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0,309</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0,246</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0,716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0,172</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0,121</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Commerce-logistique</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0,708</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0,206</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0,195</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0,606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0,267</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0,223</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Agroalimentaire</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0,555</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0,298</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0,213</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1,161</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0,001</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1,054</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0,063</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0,710</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BTP - matériaux de construction</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0,746</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0,307</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0,187</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0,618</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0,300</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0,501</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lang w:val="en-US"/>
              </w:rPr>
              <w:t xml:space="preserve"> Culture et tourisme</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0,641</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0,225</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0,240</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0,766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0,416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0,358</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rPr>
              <w:t>Autres activités industrielles et artisanales</w:t>
            </w:r>
          </w:p>
        </w:tc>
        <w:tc>
          <w:tcPr>
            <w:tcW w:w="93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0,914</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0,315</w:t>
            </w:r>
          </w:p>
        </w:tc>
        <w:tc>
          <w:tcPr>
            <w:tcW w:w="708"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0,225</w:t>
            </w:r>
          </w:p>
        </w:tc>
        <w:tc>
          <w:tcPr>
            <w:tcW w:w="803"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top w:val="nil"/>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0,668</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0,246</w:t>
            </w:r>
          </w:p>
        </w:tc>
        <w:tc>
          <w:tcPr>
            <w:tcW w:w="709"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0,130</w:t>
            </w:r>
          </w:p>
        </w:tc>
        <w:tc>
          <w:tcPr>
            <w:tcW w:w="890" w:type="dxa"/>
            <w:tcBorders>
              <w:top w:val="nil"/>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3527" w:type="dxa"/>
            <w:tcBorders>
              <w:top w:val="nil"/>
              <w:bottom w:val="double" w:sz="4" w:space="0" w:color="auto"/>
            </w:tcBorders>
            <w:shd w:val="clear" w:color="auto" w:fill="DAEEF3" w:themeFill="accent5" w:themeFillTint="33"/>
            <w:vAlign w:val="center"/>
            <w:hideMark/>
          </w:tcPr>
          <w:p w:rsidR="00924A7A" w:rsidRPr="00924A7A" w:rsidRDefault="00924A7A" w:rsidP="00924A7A">
            <w:pPr>
              <w:spacing w:line="240" w:lineRule="auto"/>
              <w:ind w:firstLineChars="200" w:firstLine="440"/>
              <w:jc w:val="left"/>
              <w:rPr>
                <w:rFonts w:ascii="Times New Roman" w:hAnsi="Times New Roman"/>
                <w:color w:val="000000"/>
              </w:rPr>
            </w:pPr>
            <w:r w:rsidRPr="00924A7A">
              <w:rPr>
                <w:rFonts w:ascii="Times New Roman" w:hAnsi="Times New Roman"/>
                <w:color w:val="000000"/>
              </w:rPr>
              <w:t xml:space="preserve"> Autres services</w:t>
            </w:r>
          </w:p>
        </w:tc>
        <w:tc>
          <w:tcPr>
            <w:tcW w:w="938"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0,526</w:t>
            </w:r>
          </w:p>
        </w:tc>
        <w:tc>
          <w:tcPr>
            <w:tcW w:w="708"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993"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0,464</w:t>
            </w:r>
          </w:p>
        </w:tc>
        <w:tc>
          <w:tcPr>
            <w:tcW w:w="708"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0,240</w:t>
            </w:r>
          </w:p>
        </w:tc>
        <w:tc>
          <w:tcPr>
            <w:tcW w:w="803"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90" w:type="dxa"/>
            <w:tcBorders>
              <w:bottom w:val="double" w:sz="4" w:space="0" w:color="auto"/>
            </w:tcBorders>
            <w:shd w:val="clear" w:color="auto" w:fill="DAEEF3" w:themeFill="accent5" w:themeFillTint="33"/>
            <w:vAlign w:val="bottom"/>
            <w:hideMark/>
          </w:tcPr>
          <w:p w:rsidR="00924A7A" w:rsidRPr="00924A7A" w:rsidRDefault="00924A7A" w:rsidP="00924A7A">
            <w:pPr>
              <w:rPr>
                <w:rFonts w:ascii="Times New Roman" w:hAnsi="Times New Roman"/>
                <w:color w:val="000000"/>
              </w:rPr>
            </w:pPr>
          </w:p>
        </w:tc>
        <w:tc>
          <w:tcPr>
            <w:tcW w:w="992"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0,369</w:t>
            </w:r>
          </w:p>
        </w:tc>
        <w:tc>
          <w:tcPr>
            <w:tcW w:w="709"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850"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0,319</w:t>
            </w:r>
          </w:p>
        </w:tc>
        <w:tc>
          <w:tcPr>
            <w:tcW w:w="709"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c>
          <w:tcPr>
            <w:tcW w:w="1134"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0,239</w:t>
            </w:r>
          </w:p>
        </w:tc>
        <w:tc>
          <w:tcPr>
            <w:tcW w:w="890" w:type="dxa"/>
            <w:tcBorders>
              <w:top w:val="nil"/>
              <w:bottom w:val="double" w:sz="4" w:space="0" w:color="auto"/>
            </w:tcBorders>
            <w:shd w:val="clear" w:color="auto" w:fill="DAEEF3" w:themeFill="accent5" w:themeFillTint="33"/>
            <w:vAlign w:val="bottom"/>
            <w:hideMark/>
          </w:tcPr>
          <w:p w:rsidR="00924A7A" w:rsidRPr="00924A7A" w:rsidRDefault="00924A7A" w:rsidP="00924A7A">
            <w:pPr>
              <w:jc w:val="right"/>
              <w:rPr>
                <w:rFonts w:ascii="Times New Roman" w:hAnsi="Times New Roman"/>
                <w:color w:val="000000"/>
              </w:rPr>
            </w:pPr>
            <w:r w:rsidRPr="00924A7A">
              <w:rPr>
                <w:rFonts w:ascii="Times New Roman" w:hAnsi="Times New Roman"/>
                <w:color w:val="000000"/>
              </w:rPr>
              <w:t>0,000</w:t>
            </w:r>
          </w:p>
        </w:tc>
      </w:tr>
      <w:tr w:rsidR="00924A7A" w:rsidRPr="00924A7A" w:rsidTr="00924A7A">
        <w:trPr>
          <w:trHeight w:hRule="exact" w:val="312"/>
          <w:jc w:val="center"/>
        </w:trPr>
        <w:tc>
          <w:tcPr>
            <w:tcW w:w="14285" w:type="dxa"/>
            <w:gridSpan w:val="14"/>
            <w:tcBorders>
              <w:top w:val="double" w:sz="4" w:space="0" w:color="auto"/>
            </w:tcBorders>
            <w:shd w:val="clear" w:color="auto" w:fill="DAEEF3" w:themeFill="accent5" w:themeFillTint="33"/>
            <w:hideMark/>
          </w:tcPr>
          <w:p w:rsidR="00924A7A" w:rsidRPr="00924A7A" w:rsidRDefault="00924A7A" w:rsidP="00924A7A">
            <w:pPr>
              <w:spacing w:line="276" w:lineRule="auto"/>
              <w:rPr>
                <w:rFonts w:ascii="Times New Roman" w:hAnsi="Times New Roman"/>
              </w:rPr>
            </w:pPr>
            <w:r w:rsidRPr="00924A7A">
              <w:rPr>
                <w:rFonts w:ascii="Times New Roman" w:hAnsi="Times New Roman"/>
              </w:rPr>
              <w:t xml:space="preserve">Source : INSAE, Estimation à partir de </w:t>
            </w:r>
            <w:r w:rsidR="00987502">
              <w:rPr>
                <w:rFonts w:ascii="Times New Roman" w:hAnsi="Times New Roman"/>
              </w:rPr>
              <w:t>l’</w:t>
            </w:r>
            <w:r w:rsidRPr="00924A7A">
              <w:rPr>
                <w:rFonts w:ascii="Times New Roman" w:hAnsi="Times New Roman"/>
              </w:rPr>
              <w:t>EMICoV 2010</w:t>
            </w:r>
          </w:p>
        </w:tc>
      </w:tr>
    </w:tbl>
    <w:p w:rsidR="00380F42" w:rsidRDefault="00380F42" w:rsidP="00A27749">
      <w:pPr>
        <w:rPr>
          <w:rFonts w:ascii="Times New Roman" w:hAnsi="Times New Roman"/>
          <w:sz w:val="24"/>
          <w:szCs w:val="24"/>
        </w:rPr>
      </w:pPr>
    </w:p>
    <w:sectPr w:rsidR="00380F42" w:rsidSect="00E34C10">
      <w:headerReference w:type="default" r:id="rId98"/>
      <w:pgSz w:w="16838" w:h="11906" w:orient="landscape"/>
      <w:pgMar w:top="1418" w:right="1219" w:bottom="1418" w:left="1418"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64D" w:rsidRDefault="004F064D" w:rsidP="0077169B">
      <w:pPr>
        <w:spacing w:line="240" w:lineRule="auto"/>
      </w:pPr>
      <w:r>
        <w:separator/>
      </w:r>
    </w:p>
  </w:endnote>
  <w:endnote w:type="continuationSeparator" w:id="0">
    <w:p w:rsidR="004F064D" w:rsidRDefault="004F064D" w:rsidP="00771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BookmanOldStyle-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1908" w:type="dxa"/>
      <w:tblInd w:w="-1310" w:type="dxa"/>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11908"/>
    </w:tblGrid>
    <w:tr w:rsidR="008C2241" w:rsidTr="00272B35">
      <w:trPr>
        <w:trHeight w:val="412"/>
      </w:trPr>
      <w:tc>
        <w:tcPr>
          <w:tcW w:w="11908" w:type="dxa"/>
          <w:shd w:val="clear" w:color="auto" w:fill="92CDDC" w:themeFill="accent5" w:themeFillTint="99"/>
        </w:tcPr>
        <w:p w:rsidR="008C2241" w:rsidRDefault="008C2241" w:rsidP="00013228">
          <w:pPr>
            <w:pStyle w:val="Pieddepage"/>
          </w:pPr>
        </w:p>
      </w:tc>
    </w:tr>
  </w:tbl>
  <w:p w:rsidR="008C2241" w:rsidRDefault="008C2241" w:rsidP="0001322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41" w:rsidRDefault="00E9573B">
    <w:pPr>
      <w:pStyle w:val="Pieddepage"/>
      <w:jc w:val="right"/>
    </w:pPr>
    <w:r>
      <w:fldChar w:fldCharType="begin"/>
    </w:r>
    <w:r>
      <w:instrText xml:space="preserve"> PAGE   \* MERGEFORMAT </w:instrText>
    </w:r>
    <w:r>
      <w:fldChar w:fldCharType="separate"/>
    </w:r>
    <w:r w:rsidR="00C15C6F">
      <w:rPr>
        <w:noProof/>
      </w:rPr>
      <w:t>4</w:t>
    </w:r>
    <w:r>
      <w:rPr>
        <w:noProof/>
      </w:rPr>
      <w:fldChar w:fldCharType="end"/>
    </w:r>
  </w:p>
  <w:p w:rsidR="008C2241" w:rsidRDefault="008C224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41" w:rsidRDefault="00E9573B">
    <w:pPr>
      <w:pStyle w:val="Pieddepage"/>
      <w:jc w:val="right"/>
    </w:pPr>
    <w:r>
      <w:fldChar w:fldCharType="begin"/>
    </w:r>
    <w:r>
      <w:instrText xml:space="preserve"> PAGE   \* MERGEFORMAT </w:instrText>
    </w:r>
    <w:r>
      <w:fldChar w:fldCharType="separate"/>
    </w:r>
    <w:r w:rsidR="00C15C6F">
      <w:rPr>
        <w:noProof/>
      </w:rPr>
      <w:t>44</w:t>
    </w:r>
    <w:r>
      <w:rPr>
        <w:noProof/>
      </w:rPr>
      <w:fldChar w:fldCharType="end"/>
    </w:r>
  </w:p>
  <w:p w:rsidR="008C2241" w:rsidRDefault="008C2241">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41" w:rsidRDefault="00E9573B">
    <w:pPr>
      <w:pStyle w:val="Pieddepage"/>
      <w:jc w:val="right"/>
    </w:pPr>
    <w:r>
      <w:fldChar w:fldCharType="begin"/>
    </w:r>
    <w:r>
      <w:instrText>PAGE   \* MERGEFORMAT</w:instrText>
    </w:r>
    <w:r>
      <w:fldChar w:fldCharType="separate"/>
    </w:r>
    <w:r w:rsidR="00C15C6F">
      <w:rPr>
        <w:noProof/>
      </w:rPr>
      <w:t>84</w:t>
    </w:r>
    <w:r>
      <w:rPr>
        <w:noProof/>
      </w:rPr>
      <w:fldChar w:fldCharType="end"/>
    </w:r>
  </w:p>
  <w:p w:rsidR="008C2241" w:rsidRDefault="008C2241">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41" w:rsidRDefault="00E9573B">
    <w:pPr>
      <w:pStyle w:val="Pieddepage"/>
      <w:jc w:val="right"/>
    </w:pPr>
    <w:r>
      <w:fldChar w:fldCharType="begin"/>
    </w:r>
    <w:r>
      <w:instrText>PAGE   \* MERGEFORMAT</w:instrText>
    </w:r>
    <w:r>
      <w:fldChar w:fldCharType="separate"/>
    </w:r>
    <w:r w:rsidR="00C15C6F">
      <w:rPr>
        <w:noProof/>
      </w:rPr>
      <w:t>142</w:t>
    </w:r>
    <w:r>
      <w:rPr>
        <w:noProof/>
      </w:rPr>
      <w:fldChar w:fldCharType="end"/>
    </w:r>
  </w:p>
  <w:p w:rsidR="008C2241" w:rsidRDefault="008C2241">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41" w:rsidRDefault="00E9573B">
    <w:pPr>
      <w:pStyle w:val="Pieddepage"/>
      <w:jc w:val="right"/>
    </w:pPr>
    <w:r>
      <w:fldChar w:fldCharType="begin"/>
    </w:r>
    <w:r>
      <w:instrText xml:space="preserve"> PAGE   \* MERGEFORMAT </w:instrText>
    </w:r>
    <w:r>
      <w:fldChar w:fldCharType="separate"/>
    </w:r>
    <w:r w:rsidR="00C15C6F">
      <w:rPr>
        <w:noProof/>
      </w:rPr>
      <w:t>201</w:t>
    </w:r>
    <w:r>
      <w:rPr>
        <w:noProof/>
      </w:rPr>
      <w:fldChar w:fldCharType="end"/>
    </w:r>
  </w:p>
  <w:p w:rsidR="008C2241" w:rsidRDefault="008C2241">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41" w:rsidRPr="00EC13B7" w:rsidRDefault="00E9573B">
    <w:pPr>
      <w:pStyle w:val="Pieddepage"/>
      <w:jc w:val="right"/>
    </w:pPr>
    <w:r>
      <w:fldChar w:fldCharType="begin"/>
    </w:r>
    <w:r>
      <w:instrText xml:space="preserve"> PAGE   \* MERGEFORMAT </w:instrText>
    </w:r>
    <w:r>
      <w:fldChar w:fldCharType="separate"/>
    </w:r>
    <w:r w:rsidR="00C15C6F">
      <w:rPr>
        <w:noProof/>
      </w:rPr>
      <w:t>219</w:t>
    </w:r>
    <w:r>
      <w:rPr>
        <w:noProof/>
      </w:rPr>
      <w:fldChar w:fldCharType="end"/>
    </w:r>
  </w:p>
  <w:p w:rsidR="008C2241" w:rsidRDefault="008C22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64D" w:rsidRDefault="004F064D" w:rsidP="0077169B">
      <w:pPr>
        <w:spacing w:line="240" w:lineRule="auto"/>
      </w:pPr>
      <w:r>
        <w:separator/>
      </w:r>
    </w:p>
  </w:footnote>
  <w:footnote w:type="continuationSeparator" w:id="0">
    <w:p w:rsidR="004F064D" w:rsidRDefault="004F064D" w:rsidP="0077169B">
      <w:pPr>
        <w:spacing w:line="240" w:lineRule="auto"/>
      </w:pPr>
      <w:r>
        <w:continuationSeparator/>
      </w:r>
    </w:p>
  </w:footnote>
  <w:footnote w:id="1">
    <w:p w:rsidR="008C2241" w:rsidRPr="00F752BF" w:rsidRDefault="008C2241" w:rsidP="007F1584">
      <w:pPr>
        <w:spacing w:line="240" w:lineRule="auto"/>
        <w:rPr>
          <w:rFonts w:ascii="Times New Roman" w:eastAsia="Arial Unicode MS" w:hAnsi="Times New Roman"/>
          <w:sz w:val="20"/>
          <w:szCs w:val="20"/>
        </w:rPr>
      </w:pPr>
      <w:r>
        <w:rPr>
          <w:rStyle w:val="Appelnotedebasdep"/>
        </w:rPr>
        <w:footnoteRef/>
      </w:r>
      <w:r w:rsidRPr="00FE3844">
        <w:rPr>
          <w:rFonts w:ascii="Times New Roman" w:eastAsia="Arial Unicode MS" w:hAnsi="Times New Roman"/>
          <w:sz w:val="18"/>
          <w:szCs w:val="18"/>
        </w:rPr>
        <w:t>La dimension de la pauvreté non monétaire analysée dans le cadre de cette étude porte sur les «conditions d'existence». Les dimensions « éducation » et « santé » n’ont pas été prises en compte parce que dans les enquêtes EMICoV, les variables qui s’y rapportent sont</w:t>
      </w:r>
      <w:r>
        <w:rPr>
          <w:rFonts w:ascii="Times New Roman" w:eastAsia="Arial Unicode MS" w:hAnsi="Times New Roman"/>
          <w:sz w:val="18"/>
          <w:szCs w:val="18"/>
        </w:rPr>
        <w:t>,</w:t>
      </w:r>
      <w:r w:rsidRPr="00FE3844">
        <w:rPr>
          <w:rFonts w:ascii="Times New Roman" w:eastAsia="Arial Unicode MS" w:hAnsi="Times New Roman"/>
          <w:sz w:val="18"/>
          <w:szCs w:val="18"/>
        </w:rPr>
        <w:t xml:space="preserve"> soit inexistantes</w:t>
      </w:r>
      <w:r>
        <w:rPr>
          <w:rFonts w:ascii="Times New Roman" w:eastAsia="Arial Unicode MS" w:hAnsi="Times New Roman"/>
          <w:sz w:val="18"/>
          <w:szCs w:val="18"/>
        </w:rPr>
        <w:t>,</w:t>
      </w:r>
      <w:r w:rsidRPr="00FE3844">
        <w:rPr>
          <w:rFonts w:ascii="Times New Roman" w:eastAsia="Arial Unicode MS" w:hAnsi="Times New Roman"/>
          <w:sz w:val="18"/>
          <w:szCs w:val="18"/>
        </w:rPr>
        <w:t xml:space="preserve"> ou soit très spécifiques, ce qui limite la comparabilité de la pauvreté non monétaire dans le temps.</w:t>
      </w:r>
      <w:r>
        <w:rPr>
          <w:rFonts w:ascii="Times New Roman" w:eastAsia="Arial Unicode MS" w:hAnsi="Times New Roman"/>
          <w:sz w:val="18"/>
          <w:szCs w:val="18"/>
        </w:rPr>
        <w:t xml:space="preserve"> L’</w:t>
      </w:r>
      <w:r w:rsidRPr="00FE3844">
        <w:rPr>
          <w:rFonts w:ascii="Times New Roman" w:eastAsia="Arial Unicode MS" w:hAnsi="Times New Roman"/>
          <w:sz w:val="18"/>
          <w:szCs w:val="18"/>
        </w:rPr>
        <w:t xml:space="preserve">indice </w:t>
      </w:r>
      <w:r>
        <w:rPr>
          <w:rFonts w:ascii="Times New Roman" w:eastAsia="Arial Unicode MS" w:hAnsi="Times New Roman"/>
          <w:sz w:val="18"/>
          <w:szCs w:val="18"/>
        </w:rPr>
        <w:t xml:space="preserve">y afférent </w:t>
      </w:r>
      <w:r w:rsidRPr="00FE3844">
        <w:rPr>
          <w:rFonts w:ascii="Times New Roman" w:eastAsia="Arial Unicode MS" w:hAnsi="Times New Roman"/>
          <w:sz w:val="18"/>
          <w:szCs w:val="18"/>
        </w:rPr>
        <w:t>est donc construit à partir des informations relatives aux biens possédés par les ménages (voiture, radio, mobylette, bicyclette, téléviseur, réfrigérateur, cha</w:t>
      </w:r>
      <w:r>
        <w:rPr>
          <w:rFonts w:ascii="Times New Roman" w:eastAsia="Arial Unicode MS" w:hAnsi="Times New Roman"/>
          <w:sz w:val="18"/>
          <w:szCs w:val="18"/>
        </w:rPr>
        <w:t>î</w:t>
      </w:r>
      <w:r w:rsidRPr="00FE3844">
        <w:rPr>
          <w:rFonts w:ascii="Times New Roman" w:eastAsia="Arial Unicode MS" w:hAnsi="Times New Roman"/>
          <w:sz w:val="18"/>
          <w:szCs w:val="18"/>
        </w:rPr>
        <w:t xml:space="preserve">ne HI-FI, lecteur VCD/DVD, </w:t>
      </w:r>
      <w:r>
        <w:rPr>
          <w:rFonts w:ascii="Times New Roman" w:eastAsia="Arial Unicode MS" w:hAnsi="Times New Roman"/>
          <w:sz w:val="18"/>
          <w:szCs w:val="18"/>
        </w:rPr>
        <w:t>m</w:t>
      </w:r>
      <w:r w:rsidRPr="00FE3844">
        <w:rPr>
          <w:rFonts w:ascii="Times New Roman" w:eastAsia="Arial Unicode MS" w:hAnsi="Times New Roman"/>
          <w:sz w:val="18"/>
          <w:szCs w:val="18"/>
        </w:rPr>
        <w:t>agnétoscope, cuisinière, groupe électrogène, ordinateurs, téléphone mobile, téléphone fixe) et aux caractéristiques de leur logement (matériaux de sol, matériaux du mur, matériaux de toit, électricité, mode d’aisance, modes d’évacuation des ordures, eau potable).</w:t>
      </w:r>
    </w:p>
    <w:p w:rsidR="008C2241" w:rsidRDefault="008C2241" w:rsidP="007F1584">
      <w:pPr>
        <w:pStyle w:val="Notedebasdepage"/>
      </w:pPr>
    </w:p>
  </w:footnote>
  <w:footnote w:id="2">
    <w:p w:rsidR="008C2241" w:rsidRPr="00C15C6F" w:rsidRDefault="008C2241">
      <w:pPr>
        <w:pStyle w:val="Notedebasdepage"/>
        <w:rPr>
          <w:rFonts w:ascii="Times New Roman" w:hAnsi="Times New Roman"/>
          <w:sz w:val="18"/>
          <w:szCs w:val="18"/>
        </w:rPr>
      </w:pPr>
      <w:r w:rsidRPr="00C15C6F">
        <w:rPr>
          <w:rStyle w:val="Appelnotedebasdep"/>
          <w:rFonts w:ascii="Times New Roman" w:hAnsi="Times New Roman"/>
          <w:sz w:val="18"/>
          <w:szCs w:val="18"/>
        </w:rPr>
        <w:footnoteRef/>
      </w:r>
      <w:r w:rsidRPr="00C15C6F">
        <w:rPr>
          <w:rFonts w:ascii="Times New Roman" w:hAnsi="Times New Roman"/>
          <w:sz w:val="18"/>
          <w:szCs w:val="18"/>
        </w:rPr>
        <w:t xml:space="preserve"> Cependant, ils présentent un risque  plus élevé de connaitre la pauvreté.</w:t>
      </w:r>
    </w:p>
  </w:footnote>
  <w:footnote w:id="3">
    <w:p w:rsidR="008C2241" w:rsidRPr="00891B11" w:rsidRDefault="008C2241" w:rsidP="007F1584">
      <w:pPr>
        <w:pStyle w:val="Notedebasdepage"/>
        <w:rPr>
          <w:sz w:val="18"/>
          <w:szCs w:val="18"/>
        </w:rPr>
      </w:pPr>
      <w:r w:rsidRPr="00891B11">
        <w:rPr>
          <w:rFonts w:ascii="Times New Roman" w:eastAsia="Arial Unicode MS" w:hAnsi="Times New Roman"/>
          <w:sz w:val="18"/>
          <w:szCs w:val="18"/>
          <w:lang w:eastAsia="en-US"/>
        </w:rPr>
        <w:footnoteRef/>
      </w:r>
      <w:r w:rsidRPr="00891B11">
        <w:rPr>
          <w:rFonts w:ascii="Times New Roman" w:eastAsia="Arial Unicode MS" w:hAnsi="Times New Roman"/>
          <w:sz w:val="18"/>
          <w:szCs w:val="18"/>
          <w:lang w:eastAsia="en-US"/>
        </w:rPr>
        <w:t xml:space="preserve"> La taille </w:t>
      </w:r>
      <w:r>
        <w:rPr>
          <w:rFonts w:ascii="Times New Roman" w:eastAsia="Arial Unicode MS" w:hAnsi="Times New Roman"/>
          <w:sz w:val="18"/>
          <w:szCs w:val="18"/>
          <w:lang w:eastAsia="en-US"/>
        </w:rPr>
        <w:t>moyenne du ménage est de 3,71</w:t>
      </w:r>
      <w:r w:rsidRPr="00891B11">
        <w:rPr>
          <w:rFonts w:ascii="Times New Roman" w:eastAsia="Arial Unicode MS" w:hAnsi="Times New Roman"/>
          <w:sz w:val="18"/>
          <w:szCs w:val="18"/>
          <w:lang w:eastAsia="en-US"/>
        </w:rPr>
        <w:t xml:space="preserve"> pour les femmes contre 5,47 pour les hommes.</w:t>
      </w:r>
    </w:p>
  </w:footnote>
  <w:footnote w:id="4">
    <w:p w:rsidR="008C2241" w:rsidRPr="00961104" w:rsidRDefault="008C2241" w:rsidP="007F1584">
      <w:pPr>
        <w:pStyle w:val="Notedebasdepage"/>
        <w:jc w:val="both"/>
        <w:rPr>
          <w:rFonts w:ascii="Times New Roman" w:hAnsi="Times New Roman"/>
        </w:rPr>
      </w:pPr>
      <w:r w:rsidRPr="00C53298">
        <w:rPr>
          <w:rFonts w:ascii="Arial" w:eastAsia="Calibri" w:hAnsi="Arial" w:cs="Arial"/>
          <w:sz w:val="18"/>
          <w:szCs w:val="18"/>
          <w:lang w:eastAsia="en-US"/>
        </w:rPr>
        <w:footnoteRef/>
      </w:r>
      <w:r w:rsidRPr="00922551">
        <w:rPr>
          <w:rFonts w:ascii="Times New Roman" w:hAnsi="Times New Roman"/>
        </w:rPr>
        <w:t>Du fait de son taux d’accroissement naturel de 2,9% (RGPH 3), le Bénin est encore classé parmi les pays d’Afrique sub-saharienne à forte fécondité.</w:t>
      </w:r>
    </w:p>
    <w:p w:rsidR="008C2241" w:rsidRPr="00C53298" w:rsidRDefault="008C2241" w:rsidP="007F1584">
      <w:pPr>
        <w:pStyle w:val="Notedebasdepage"/>
        <w:rPr>
          <w:rFonts w:ascii="Garamond" w:eastAsia="Calibri" w:hAnsi="Garamond"/>
          <w:sz w:val="18"/>
          <w:szCs w:val="18"/>
          <w:lang w:eastAsia="en-US"/>
        </w:rPr>
      </w:pPr>
    </w:p>
  </w:footnote>
  <w:footnote w:id="5">
    <w:p w:rsidR="008C2241" w:rsidRDefault="008C2241" w:rsidP="007F1584">
      <w:pPr>
        <w:autoSpaceDE w:val="0"/>
        <w:autoSpaceDN w:val="0"/>
        <w:adjustRightInd w:val="0"/>
        <w:spacing w:line="240" w:lineRule="auto"/>
      </w:pPr>
      <w:r>
        <w:rPr>
          <w:rStyle w:val="Appelnotedebasdep"/>
        </w:rPr>
        <w:footnoteRef/>
      </w:r>
      <w:r>
        <w:rPr>
          <w:rFonts w:ascii="Times New Roman" w:hAnsi="Times New Roman"/>
          <w:sz w:val="18"/>
          <w:szCs w:val="18"/>
        </w:rPr>
        <w:t>S</w:t>
      </w:r>
      <w:r w:rsidRPr="00926D1F">
        <w:rPr>
          <w:rFonts w:ascii="Times New Roman" w:eastAsia="Times New Roman" w:hAnsi="Times New Roman"/>
          <w:sz w:val="18"/>
          <w:szCs w:val="18"/>
          <w:lang w:eastAsia="fr-FR"/>
        </w:rPr>
        <w:t>elon ces auteurs, il y a d’importantes failles dans les données concernant l’Afrique subsaharienne. En particulier, Young (2010) conclut aussi qu’en Afrique subsaharienne,</w:t>
      </w:r>
      <w:r>
        <w:rPr>
          <w:rFonts w:ascii="Times New Roman" w:eastAsia="Times New Roman" w:hAnsi="Times New Roman"/>
          <w:sz w:val="18"/>
          <w:szCs w:val="18"/>
          <w:lang w:eastAsia="fr-FR"/>
        </w:rPr>
        <w:t xml:space="preserve"> </w:t>
      </w:r>
      <w:r w:rsidRPr="00926D1F">
        <w:rPr>
          <w:rFonts w:ascii="Times New Roman" w:eastAsia="Times New Roman" w:hAnsi="Times New Roman"/>
          <w:sz w:val="18"/>
          <w:szCs w:val="18"/>
          <w:lang w:eastAsia="fr-FR"/>
        </w:rPr>
        <w:t>la croissance du revenu réel estimée au moyen des données de</w:t>
      </w:r>
      <w:r>
        <w:rPr>
          <w:rFonts w:ascii="Times New Roman" w:eastAsia="Times New Roman" w:hAnsi="Times New Roman"/>
          <w:sz w:val="18"/>
          <w:szCs w:val="18"/>
          <w:lang w:eastAsia="fr-FR"/>
        </w:rPr>
        <w:t xml:space="preserve"> la </w:t>
      </w:r>
      <w:r w:rsidRPr="00926D1F">
        <w:rPr>
          <w:rFonts w:ascii="Times New Roman" w:eastAsia="Times New Roman" w:hAnsi="Times New Roman"/>
          <w:sz w:val="18"/>
          <w:szCs w:val="18"/>
          <w:lang w:eastAsia="fr-FR"/>
        </w:rPr>
        <w:t>comptabilité nationale</w:t>
      </w:r>
      <w:r>
        <w:rPr>
          <w:rFonts w:ascii="Times New Roman" w:eastAsia="Times New Roman" w:hAnsi="Times New Roman"/>
          <w:sz w:val="18"/>
          <w:szCs w:val="18"/>
          <w:lang w:eastAsia="fr-FR"/>
        </w:rPr>
        <w:t xml:space="preserve"> </w:t>
      </w:r>
      <w:r w:rsidRPr="00926D1F">
        <w:rPr>
          <w:rFonts w:ascii="Times New Roman" w:eastAsia="Times New Roman" w:hAnsi="Times New Roman"/>
          <w:sz w:val="18"/>
          <w:szCs w:val="18"/>
          <w:lang w:eastAsia="fr-FR"/>
        </w:rPr>
        <w:t>a peut-être été sous-estimée de plusieurs points de pourcentage</w:t>
      </w:r>
      <w:r>
        <w:rPr>
          <w:rFonts w:ascii="Times New Roman" w:eastAsia="Times New Roman" w:hAnsi="Times New Roman"/>
          <w:sz w:val="18"/>
          <w:szCs w:val="18"/>
          <w:lang w:eastAsia="fr-FR"/>
        </w:rPr>
        <w:t>.</w:t>
      </w:r>
    </w:p>
  </w:footnote>
  <w:footnote w:id="6">
    <w:p w:rsidR="008C2241" w:rsidRDefault="008C2241" w:rsidP="00E6625F">
      <w:pPr>
        <w:pStyle w:val="Notedebasdepage"/>
        <w:jc w:val="both"/>
      </w:pPr>
      <w:r>
        <w:rPr>
          <w:rStyle w:val="Appelnotedebasdep"/>
        </w:rPr>
        <w:footnoteRef/>
      </w:r>
      <w:r w:rsidRPr="001F3E52">
        <w:rPr>
          <w:rFonts w:ascii="Times New Roman" w:hAnsi="Times New Roman"/>
          <w:sz w:val="18"/>
          <w:szCs w:val="18"/>
        </w:rPr>
        <w:t>Taux de croissance moyenne annuelle</w:t>
      </w:r>
    </w:p>
  </w:footnote>
  <w:footnote w:id="7">
    <w:p w:rsidR="008C2241" w:rsidRPr="00644643" w:rsidRDefault="008C2241" w:rsidP="007F1584">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eastAsia="Calibri" w:hAnsi="Times New Roman"/>
          <w:lang w:eastAsia="en-US"/>
        </w:rPr>
        <w:t xml:space="preserve">Cependant, elle </w:t>
      </w:r>
      <w:r>
        <w:rPr>
          <w:rFonts w:ascii="Times New Roman" w:eastAsia="Calibri" w:hAnsi="Times New Roman"/>
          <w:lang w:eastAsia="en-US"/>
        </w:rPr>
        <w:t xml:space="preserve">est </w:t>
      </w:r>
      <w:r w:rsidRPr="00832112">
        <w:rPr>
          <w:rFonts w:ascii="Times New Roman" w:eastAsia="Calibri" w:hAnsi="Times New Roman"/>
          <w:lang w:eastAsia="en-US"/>
        </w:rPr>
        <w:t>tirée par le capital et le travail. La contribution du travail étant plus élevée que celle du capital</w:t>
      </w:r>
    </w:p>
  </w:footnote>
  <w:footnote w:id="8">
    <w:p w:rsidR="008C2241" w:rsidRPr="00644643" w:rsidRDefault="008C2241" w:rsidP="007F1584">
      <w:pPr>
        <w:autoSpaceDE w:val="0"/>
        <w:autoSpaceDN w:val="0"/>
        <w:adjustRightInd w:val="0"/>
        <w:spacing w:line="240" w:lineRule="auto"/>
        <w:rPr>
          <w:rFonts w:ascii="Times New Roman" w:hAnsi="Times New Roman"/>
          <w:sz w:val="20"/>
          <w:szCs w:val="20"/>
        </w:rPr>
      </w:pPr>
      <w:r w:rsidRPr="00832112">
        <w:rPr>
          <w:rStyle w:val="Appelnotedebasdep"/>
          <w:rFonts w:ascii="Times New Roman" w:eastAsia="Times New Roman" w:hAnsi="Times New Roman"/>
          <w:sz w:val="20"/>
          <w:szCs w:val="20"/>
          <w:lang w:eastAsia="fr-FR"/>
        </w:rPr>
        <w:footnoteRef/>
      </w:r>
      <w:r w:rsidRPr="00644643">
        <w:rPr>
          <w:rFonts w:ascii="Times New Roman" w:hAnsi="Times New Roman"/>
          <w:sz w:val="20"/>
          <w:szCs w:val="20"/>
        </w:rPr>
        <w:t>A</w:t>
      </w:r>
      <w:r w:rsidRPr="00832112">
        <w:rPr>
          <w:rFonts w:ascii="Times New Roman" w:hAnsi="Times New Roman"/>
          <w:sz w:val="20"/>
          <w:szCs w:val="20"/>
        </w:rPr>
        <w:t xml:space="preserve">griculture, l’industrie et le tertiaire marchand. </w:t>
      </w:r>
    </w:p>
  </w:footnote>
  <w:footnote w:id="9">
    <w:p w:rsidR="008C2241" w:rsidRPr="00644643" w:rsidRDefault="008C2241" w:rsidP="005E5426">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w:t>
      </w:r>
      <w:r w:rsidRPr="00644643">
        <w:rPr>
          <w:rFonts w:ascii="Times New Roman" w:hAnsi="Times New Roman"/>
        </w:rPr>
        <w:t>L’efficience de la productivité se traduirait par une forte production obtenue sur une superficie emblavée moins importante</w:t>
      </w:r>
      <w:r>
        <w:rPr>
          <w:rFonts w:ascii="Times New Roman" w:hAnsi="Times New Roman"/>
        </w:rPr>
        <w:t>, soit par un meilleur rendement</w:t>
      </w:r>
      <w:r w:rsidRPr="00832112">
        <w:rPr>
          <w:rFonts w:ascii="Times New Roman" w:hAnsi="Times New Roman"/>
        </w:rPr>
        <w:t>.</w:t>
      </w:r>
    </w:p>
  </w:footnote>
  <w:footnote w:id="10">
    <w:p w:rsidR="008C2241" w:rsidRPr="0068317A" w:rsidRDefault="008C2241" w:rsidP="007F1584">
      <w:pPr>
        <w:pStyle w:val="Notedebasdepage"/>
        <w:rPr>
          <w:sz w:val="16"/>
          <w:szCs w:val="16"/>
        </w:rPr>
      </w:pPr>
      <w:r w:rsidRPr="0068317A">
        <w:rPr>
          <w:rFonts w:ascii="Times New Roman" w:hAnsi="Times New Roman"/>
          <w:sz w:val="16"/>
          <w:szCs w:val="16"/>
        </w:rPr>
        <w:footnoteRef/>
      </w:r>
      <w:r w:rsidRPr="0068317A">
        <w:rPr>
          <w:rFonts w:ascii="Times New Roman" w:hAnsi="Times New Roman"/>
          <w:sz w:val="16"/>
          <w:szCs w:val="16"/>
        </w:rPr>
        <w:t xml:space="preserve"> Plan Stratégique de Relance du Secteur Agricole (PSRSA), MAEP, 2008</w:t>
      </w:r>
    </w:p>
  </w:footnote>
  <w:footnote w:id="11">
    <w:p w:rsidR="008C2241" w:rsidRPr="00B13E6D" w:rsidRDefault="008C2241" w:rsidP="007F1584">
      <w:pPr>
        <w:pStyle w:val="Notedebasdepage"/>
        <w:jc w:val="both"/>
        <w:rPr>
          <w:rFonts w:ascii="Times New Roman" w:hAnsi="Times New Roman"/>
        </w:rPr>
      </w:pPr>
      <w:r w:rsidRPr="00B13E6D">
        <w:rPr>
          <w:rStyle w:val="Appelnotedebasdep"/>
          <w:rFonts w:ascii="Times New Roman" w:hAnsi="Times New Roman"/>
        </w:rPr>
        <w:footnoteRef/>
      </w:r>
      <w:r w:rsidRPr="00B13E6D">
        <w:rPr>
          <w:rFonts w:ascii="Times New Roman" w:hAnsi="Times New Roman"/>
        </w:rPr>
        <w:t xml:space="preserve"> Cela résulte du fait les pourcentages cumulés pour les trois premières stratégies sont faibles, signe que les stratégies les moins sollicitées seront adoptées par un nombre relativement important de ménages.</w:t>
      </w:r>
    </w:p>
  </w:footnote>
  <w:footnote w:id="12">
    <w:p w:rsidR="008C2241" w:rsidRPr="00071595" w:rsidRDefault="008C2241" w:rsidP="007F1584">
      <w:pPr>
        <w:pStyle w:val="Commentair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Il s’agit du pourcentage de chefs de ménages travaillant dans les modalités des catégories considérées. Par exemple dans le secteur agricole, ce taux indique que la plupart des chefs de ménage sont dans le secteur agricole. </w:t>
      </w:r>
    </w:p>
    <w:p w:rsidR="008C2241" w:rsidRPr="00071595" w:rsidRDefault="008C2241" w:rsidP="007F1584">
      <w:pPr>
        <w:pStyle w:val="Notedebasdepage"/>
        <w:rPr>
          <w:rFonts w:ascii="Times New Roman" w:eastAsia="Calibri" w:hAnsi="Times New Roman"/>
          <w:sz w:val="6"/>
          <w:szCs w:val="6"/>
          <w:lang w:eastAsia="en-US"/>
        </w:rPr>
      </w:pPr>
    </w:p>
  </w:footnote>
  <w:footnote w:id="13">
    <w:p w:rsidR="008C2241" w:rsidRPr="00071595" w:rsidRDefault="008C2241">
      <w:pPr>
        <w:pStyle w:val="Notedebasdepage"/>
        <w:jc w:val="both"/>
        <w:rPr>
          <w:rFonts w:ascii="Times New Roman" w:eastAsia="Calibri" w:hAnsi="Times New Roman"/>
          <w:lang w:eastAsia="en-US"/>
        </w:rPr>
      </w:pPr>
      <w:r w:rsidRPr="00832112">
        <w:rPr>
          <w:rStyle w:val="Appelnotedebasdep"/>
          <w:rFonts w:eastAsia="Calibri"/>
        </w:rPr>
        <w:footnoteRef/>
      </w:r>
      <w:r w:rsidRPr="00832112">
        <w:rPr>
          <w:rStyle w:val="Appelnotedebasdep"/>
          <w:rFonts w:eastAsia="Calibri"/>
        </w:rPr>
        <w:t xml:space="preserve"> </w:t>
      </w:r>
      <w:r w:rsidRPr="00832112">
        <w:rPr>
          <w:rFonts w:ascii="Times New Roman" w:eastAsia="Calibri" w:hAnsi="Times New Roman"/>
          <w:lang w:eastAsia="en-US"/>
        </w:rPr>
        <w:t>Selon le BIT, les personnes en sous-emploi lié à la durée du travail comprennent toutes les personnes pourvues d’un emploi qui répondent aux trois critères suivants pendant la période de référence: a) «disposées à prester davantage d’heures», b) «disponibles pour travailler davantage d’heures» c’est-à-dire prêtes, pendant une période ultérieure spécifiée, à effect</w:t>
      </w:r>
      <w:r>
        <w:rPr>
          <w:rFonts w:ascii="Times New Roman" w:eastAsia="Calibri" w:hAnsi="Times New Roman"/>
          <w:lang w:eastAsia="en-US"/>
        </w:rPr>
        <w:t>u</w:t>
      </w:r>
      <w:r w:rsidRPr="00832112">
        <w:rPr>
          <w:rFonts w:ascii="Times New Roman" w:eastAsia="Calibri" w:hAnsi="Times New Roman"/>
          <w:lang w:eastAsia="en-US"/>
        </w:rPr>
        <w:t>er davantage d’heures, si la possibilité leur en était offerte, c) «ayant travaillé moins qu’un seuil relatif à la durée du travail» c’est-à-dire les personnes dont «les heures de travail réellement effectuées» dans tous les emplois confondus pendant la période de référence, telles que définies dans les directives internationales en vigueur concernant les statistiques du temps de travail, étaient inférieures à un seuil à choisir selon les circonstances nationales.</w:t>
      </w:r>
    </w:p>
    <w:p w:rsidR="008C2241" w:rsidRPr="00071595" w:rsidRDefault="008C2241">
      <w:pPr>
        <w:pStyle w:val="Notedebasdepage"/>
        <w:jc w:val="both"/>
        <w:rPr>
          <w:rFonts w:ascii="Times New Roman" w:eastAsia="Calibri" w:hAnsi="Times New Roman"/>
          <w:sz w:val="6"/>
          <w:szCs w:val="6"/>
          <w:lang w:eastAsia="en-US"/>
        </w:rPr>
      </w:pPr>
    </w:p>
  </w:footnote>
  <w:footnote w:id="14">
    <w:p w:rsidR="008C2241" w:rsidRPr="00071595" w:rsidRDefault="008C2241">
      <w:pPr>
        <w:pStyle w:val="Notedebasdepage"/>
        <w:jc w:val="both"/>
        <w:rPr>
          <w:rFonts w:ascii="Times New Roman" w:hAnsi="Times New Roman"/>
        </w:rPr>
      </w:pPr>
      <w:r w:rsidRPr="00832112">
        <w:rPr>
          <w:rStyle w:val="Appelnotedebasdep"/>
          <w:rFonts w:eastAsia="Calibri"/>
        </w:rPr>
        <w:footnoteRef/>
      </w:r>
      <w:r w:rsidRPr="00832112">
        <w:rPr>
          <w:rStyle w:val="Appelnotedebasdep"/>
          <w:rFonts w:eastAsia="Calibri"/>
        </w:rPr>
        <w:t xml:space="preserve"> </w:t>
      </w:r>
      <w:r w:rsidRPr="00832112">
        <w:rPr>
          <w:rFonts w:ascii="Times New Roman" w:eastAsia="Calibri" w:hAnsi="Times New Roman"/>
          <w:lang w:eastAsia="en-US"/>
        </w:rPr>
        <w:t>Le sous-emploi invisible est ici caractérisé par «un faible revenu, la sous-utilisation des compétences ou la faible productivité»</w:t>
      </w:r>
      <w:r>
        <w:rPr>
          <w:rFonts w:ascii="Times New Roman" w:eastAsia="Calibri" w:hAnsi="Times New Roman"/>
          <w:lang w:eastAsia="en-US"/>
        </w:rPr>
        <w:t xml:space="preserve"> </w:t>
      </w:r>
      <w:r w:rsidRPr="00832112">
        <w:rPr>
          <w:rFonts w:ascii="Times New Roman" w:eastAsia="Calibri" w:hAnsi="Times New Roman"/>
          <w:lang w:eastAsia="en-US"/>
        </w:rPr>
        <w:t>(voir paragraphe 15 2) de la résolution concernant les statistiques de la population active, de l’emploi, du chômage et du sous-emploi, 13e CIST, annexe II).</w:t>
      </w:r>
    </w:p>
  </w:footnote>
  <w:footnote w:id="15">
    <w:p w:rsidR="008C2241" w:rsidRPr="00E36BFE" w:rsidRDefault="008C2241" w:rsidP="001B3BC1">
      <w:pPr>
        <w:pStyle w:val="Notedebasdepage"/>
        <w:jc w:val="both"/>
        <w:rPr>
          <w:rFonts w:ascii="Times New Roman" w:hAnsi="Times New Roman"/>
        </w:rPr>
      </w:pPr>
      <w:r w:rsidRPr="00055351">
        <w:rPr>
          <w:rStyle w:val="Appelnotedebasdep"/>
        </w:rPr>
        <w:footnoteRef/>
      </w:r>
      <w:r w:rsidRPr="00055351">
        <w:rPr>
          <w:rFonts w:ascii="Times New Roman" w:hAnsi="Times New Roman"/>
        </w:rPr>
        <w:t>De fait, le taux moyen de croissance annuelle  pendant la période 2005-09, 3,8 %, est sensiblement inférieur à la moyenne pour l’Afrique subsaharienne (5,62 % selon les estimations du Global Development Prospects Group). C’est également l’un des taux les plus faibles parmi les pays de l’UEMOA, juste au-dessus de la Guinée-Bissau (3,2 %)  et du Togo et de la Côte d’Ivoire (environ 2 %) (Voir le tableau 3).</w:t>
      </w:r>
    </w:p>
  </w:footnote>
  <w:footnote w:id="16">
    <w:p w:rsidR="008C2241" w:rsidRDefault="008C2241" w:rsidP="001B3BC1">
      <w:pPr>
        <w:pStyle w:val="Notedebasdepage"/>
      </w:pPr>
      <w:r w:rsidRPr="001064B7">
        <w:rPr>
          <w:rStyle w:val="Appelnotedebasdep"/>
          <w:rFonts w:ascii="Times New Roman" w:hAnsi="Times New Roman"/>
        </w:rPr>
        <w:footnoteRef/>
      </w:r>
      <w:r w:rsidRPr="001064B7">
        <w:rPr>
          <w:rFonts w:ascii="Times New Roman" w:hAnsi="Times New Roman"/>
        </w:rPr>
        <w:t>Mémorandum Economique sur le Bénin, BM(2009) et les données de la Comptabilité Nationale, INSAE, 2013</w:t>
      </w:r>
    </w:p>
  </w:footnote>
  <w:footnote w:id="17">
    <w:p w:rsidR="008C2241" w:rsidRPr="008A608C" w:rsidRDefault="008C2241" w:rsidP="0064665D">
      <w:pPr>
        <w:pStyle w:val="Notedebasdepage"/>
        <w:jc w:val="both"/>
      </w:pPr>
      <w:r w:rsidRPr="00B34C55">
        <w:rPr>
          <w:rStyle w:val="Appelnotedebasdep"/>
          <w:rFonts w:ascii="Times New Roman" w:hAnsi="Times New Roman"/>
        </w:rPr>
        <w:footnoteRef/>
      </w:r>
      <w:r w:rsidRPr="00B34C55">
        <w:rPr>
          <w:rFonts w:ascii="Times New Roman" w:hAnsi="Times New Roman"/>
        </w:rPr>
        <w:t xml:space="preserve"> À noter que les données pour 1999-2000 et 2006 portent sur la consommation des ménages. L’équipe devra cependant régler la question de la comparabilité des données avant de pouvoir déterminer les tendances de la pauvreté.</w:t>
      </w:r>
    </w:p>
  </w:footnote>
  <w:footnote w:id="18">
    <w:p w:rsidR="008C2241" w:rsidRDefault="008C2241">
      <w:pPr>
        <w:pStyle w:val="Notedebasdepage"/>
      </w:pPr>
      <w:r>
        <w:rPr>
          <w:rStyle w:val="Appelnotedebasdep"/>
        </w:rPr>
        <w:footnoteRef/>
      </w:r>
      <w:r w:rsidRPr="001064B7">
        <w:rPr>
          <w:rFonts w:ascii="Times New Roman" w:hAnsi="Times New Roman"/>
        </w:rPr>
        <w:t>Résultats provisoires du RGHP4, INSAE 2013</w:t>
      </w:r>
    </w:p>
  </w:footnote>
  <w:footnote w:id="19">
    <w:p w:rsidR="008C2241" w:rsidRDefault="008C2241" w:rsidP="00AE15F2">
      <w:pPr>
        <w:pStyle w:val="Notedebasdepage"/>
      </w:pPr>
      <w:r>
        <w:rPr>
          <w:rStyle w:val="Appelnotedebasdep"/>
        </w:rPr>
        <w:footnoteRef/>
      </w:r>
      <w:r w:rsidRPr="001064B7">
        <w:rPr>
          <w:rFonts w:ascii="Times New Roman" w:hAnsi="Times New Roman"/>
          <w:sz w:val="18"/>
          <w:szCs w:val="18"/>
        </w:rPr>
        <w:t>Rapport d’avancement SCRP 2010.</w:t>
      </w:r>
    </w:p>
  </w:footnote>
  <w:footnote w:id="20">
    <w:p w:rsidR="008C2241" w:rsidRDefault="008C2241" w:rsidP="00AE15F2">
      <w:pPr>
        <w:pStyle w:val="Notedebasdepage"/>
      </w:pPr>
      <w:r>
        <w:rPr>
          <w:rStyle w:val="Appelnotedebasdep"/>
        </w:rPr>
        <w:footnoteRef/>
      </w:r>
      <w:r w:rsidRPr="001064B7">
        <w:rPr>
          <w:rFonts w:ascii="Times New Roman" w:hAnsi="Times New Roman"/>
          <w:sz w:val="18"/>
          <w:szCs w:val="18"/>
        </w:rPr>
        <w:t>Rapport d’avancement SCRP 2012</w:t>
      </w:r>
    </w:p>
  </w:footnote>
  <w:footnote w:id="21">
    <w:p w:rsidR="008C2241" w:rsidRDefault="008C2241" w:rsidP="00AE15F2">
      <w:pPr>
        <w:pStyle w:val="Notedebasdepage"/>
        <w:jc w:val="both"/>
        <w:rPr>
          <w:rFonts w:ascii="Times New Roman" w:hAnsi="Times New Roman"/>
          <w:sz w:val="18"/>
          <w:szCs w:val="18"/>
        </w:rPr>
      </w:pPr>
      <w:r w:rsidRPr="00B76D0A">
        <w:rPr>
          <w:rStyle w:val="Appelnotedebasdep"/>
          <w:rFonts w:ascii="Times New Roman" w:hAnsi="Times New Roman"/>
        </w:rPr>
        <w:footnoteRef/>
      </w:r>
      <w:r w:rsidRPr="005F2F06">
        <w:rPr>
          <w:rFonts w:ascii="Times New Roman" w:hAnsi="Times New Roman"/>
          <w:sz w:val="18"/>
          <w:szCs w:val="18"/>
        </w:rPr>
        <w:t>Source : Document des indicateurs EMICoV 2006 et 2011</w:t>
      </w:r>
      <w:r>
        <w:rPr>
          <w:rFonts w:ascii="Times New Roman" w:hAnsi="Times New Roman"/>
          <w:sz w:val="18"/>
          <w:szCs w:val="18"/>
        </w:rPr>
        <w:t>. Le taux d’accès pourrait aussi s’expliquer l’amélioration du niveau de vie des ménages.</w:t>
      </w:r>
    </w:p>
  </w:footnote>
  <w:footnote w:id="22">
    <w:p w:rsidR="008C2241" w:rsidRDefault="008C2241">
      <w:pPr>
        <w:pStyle w:val="Notedebasdepage"/>
      </w:pPr>
      <w:r>
        <w:rPr>
          <w:rStyle w:val="Appelnotedebasdep"/>
        </w:rPr>
        <w:footnoteRef/>
      </w:r>
      <w:r w:rsidRPr="001064B7">
        <w:rPr>
          <w:rFonts w:ascii="Times New Roman" w:hAnsi="Times New Roman"/>
          <w:sz w:val="18"/>
          <w:szCs w:val="18"/>
        </w:rPr>
        <w:t>Rapport d’avancement SCRP 2010</w:t>
      </w:r>
    </w:p>
  </w:footnote>
  <w:footnote w:id="23">
    <w:p w:rsidR="008C2241" w:rsidRDefault="008C2241">
      <w:pPr>
        <w:pStyle w:val="Notedebasdepage"/>
      </w:pPr>
      <w:r>
        <w:rPr>
          <w:rStyle w:val="Appelnotedebasdep"/>
        </w:rPr>
        <w:footnoteRef/>
      </w:r>
      <w:r>
        <w:t xml:space="preserve"> Egalement confirmé par l’analyse des déterminants de la pauvreté (A). Il en est de même de l’effet de la taille du ménage, du niveau d’instruction et de l’âge du chef du ménage.</w:t>
      </w:r>
    </w:p>
  </w:footnote>
  <w:footnote w:id="24">
    <w:p w:rsidR="008C2241" w:rsidRPr="00891B11" w:rsidRDefault="008C2241" w:rsidP="00424A2A">
      <w:pPr>
        <w:pStyle w:val="Notedebasdepage"/>
        <w:rPr>
          <w:sz w:val="18"/>
          <w:szCs w:val="18"/>
        </w:rPr>
      </w:pPr>
      <w:r w:rsidRPr="00AD7BC1">
        <w:rPr>
          <w:rFonts w:ascii="Times New Roman" w:eastAsia="Arial Unicode MS" w:hAnsi="Times New Roman"/>
          <w:sz w:val="18"/>
          <w:szCs w:val="18"/>
          <w:vertAlign w:val="superscript"/>
          <w:lang w:eastAsia="en-US"/>
        </w:rPr>
        <w:footnoteRef/>
      </w:r>
      <w:r w:rsidRPr="00891B11">
        <w:rPr>
          <w:rFonts w:ascii="Times New Roman" w:eastAsia="Arial Unicode MS" w:hAnsi="Times New Roman"/>
          <w:sz w:val="18"/>
          <w:szCs w:val="18"/>
          <w:lang w:eastAsia="en-US"/>
        </w:rPr>
        <w:t xml:space="preserve"> La taille </w:t>
      </w:r>
      <w:r>
        <w:rPr>
          <w:rFonts w:ascii="Times New Roman" w:eastAsia="Arial Unicode MS" w:hAnsi="Times New Roman"/>
          <w:sz w:val="18"/>
          <w:szCs w:val="18"/>
          <w:lang w:eastAsia="en-US"/>
        </w:rPr>
        <w:t>moyenne du ménage est de 3,71</w:t>
      </w:r>
      <w:r w:rsidRPr="00891B11">
        <w:rPr>
          <w:rFonts w:ascii="Times New Roman" w:eastAsia="Arial Unicode MS" w:hAnsi="Times New Roman"/>
          <w:sz w:val="18"/>
          <w:szCs w:val="18"/>
          <w:lang w:eastAsia="en-US"/>
        </w:rPr>
        <w:t xml:space="preserve"> pour les femmes contre 5,47 pour les hommes.</w:t>
      </w:r>
    </w:p>
  </w:footnote>
  <w:footnote w:id="25">
    <w:p w:rsidR="008C2241" w:rsidRDefault="008C2241">
      <w:pPr>
        <w:pStyle w:val="Notedebasdepage"/>
      </w:pPr>
      <w:r>
        <w:rPr>
          <w:rStyle w:val="Appelnotedebasdep"/>
        </w:rPr>
        <w:footnoteRef/>
      </w:r>
      <w:r w:rsidRPr="001064B7">
        <w:rPr>
          <w:rFonts w:ascii="Times New Roman" w:eastAsia="Calibri" w:hAnsi="Times New Roman"/>
          <w:sz w:val="18"/>
          <w:szCs w:val="18"/>
          <w:lang w:eastAsia="en-US"/>
        </w:rPr>
        <w:t>Environ 39% des ménages dirigés par les hommes ont une taille de plus de huit personnes contre environ 13%  pour les ménages dirigés par les femmes.</w:t>
      </w:r>
      <w:r>
        <w:rPr>
          <w:rFonts w:ascii="Times New Roman" w:eastAsia="Calibri" w:hAnsi="Times New Roman"/>
          <w:sz w:val="18"/>
          <w:szCs w:val="18"/>
          <w:lang w:eastAsia="en-US"/>
        </w:rPr>
        <w:t xml:space="preserve"> La proportion des ménages dirigés par les femmes est relativement plus élevée en ce qui concerne les classes de ménage de taille inférieure à huit personnes. </w:t>
      </w:r>
    </w:p>
  </w:footnote>
  <w:footnote w:id="26">
    <w:p w:rsidR="008C2241" w:rsidRPr="00E84159" w:rsidRDefault="008C2241" w:rsidP="00E84159">
      <w:pPr>
        <w:pStyle w:val="spip"/>
        <w:spacing w:before="0" w:beforeAutospacing="0" w:after="0" w:afterAutospacing="0"/>
        <w:jc w:val="both"/>
        <w:rPr>
          <w:bCs/>
          <w:sz w:val="20"/>
          <w:szCs w:val="20"/>
        </w:rPr>
      </w:pPr>
      <w:r w:rsidRPr="006C4D0C">
        <w:rPr>
          <w:rStyle w:val="Appelnotedebasdep"/>
          <w:sz w:val="20"/>
          <w:szCs w:val="20"/>
        </w:rPr>
        <w:footnoteRef/>
      </w:r>
      <w:r w:rsidRPr="006C4D0C">
        <w:rPr>
          <w:sz w:val="20"/>
          <w:szCs w:val="20"/>
        </w:rPr>
        <w:t xml:space="preserve"> </w:t>
      </w:r>
      <w:r w:rsidRPr="00E84159">
        <w:rPr>
          <w:sz w:val="20"/>
          <w:szCs w:val="20"/>
        </w:rPr>
        <w:t>Le Fonds National de la Microfinance a pour mission de renforcer les capacités financières et opérationnelles des institutions de microfinance afin de rendre accessibles à tous, les produits et services financiers nécessaires au développement d’activités porteuses de croissance.</w:t>
      </w:r>
    </w:p>
  </w:footnote>
  <w:footnote w:id="27">
    <w:p w:rsidR="008C2241" w:rsidRPr="006C4D0C" w:rsidRDefault="008C2241" w:rsidP="00E84159">
      <w:pPr>
        <w:spacing w:line="240" w:lineRule="auto"/>
        <w:rPr>
          <w:lang w:eastAsia="fr-FR"/>
        </w:rPr>
      </w:pPr>
      <w:r w:rsidRPr="00E84159">
        <w:rPr>
          <w:rStyle w:val="Appelnotedebasdep"/>
          <w:rFonts w:ascii="Times New Roman" w:hAnsi="Times New Roman"/>
          <w:sz w:val="20"/>
          <w:szCs w:val="20"/>
        </w:rPr>
        <w:footnoteRef/>
      </w:r>
      <w:r w:rsidRPr="00E84159">
        <w:rPr>
          <w:rStyle w:val="lev"/>
          <w:rFonts w:ascii="Times New Roman" w:hAnsi="Times New Roman"/>
          <w:sz w:val="20"/>
          <w:szCs w:val="20"/>
        </w:rPr>
        <w:t xml:space="preserve"> </w:t>
      </w:r>
      <w:r w:rsidRPr="00E84159">
        <w:rPr>
          <w:rStyle w:val="lev"/>
          <w:rFonts w:ascii="Times New Roman" w:hAnsi="Times New Roman"/>
          <w:b w:val="0"/>
          <w:sz w:val="20"/>
          <w:szCs w:val="20"/>
        </w:rPr>
        <w:t>Selon la direction du Fonds, les ressources mobilisées sont mises à la disposition de ses partenaires suivant une sélection respectant d’une part, les normes d’appel à concurrence</w:t>
      </w:r>
      <w:r w:rsidRPr="00E84159">
        <w:rPr>
          <w:rStyle w:val="lev"/>
          <w:rFonts w:ascii="Times New Roman" w:hAnsi="Times New Roman"/>
          <w:sz w:val="20"/>
          <w:szCs w:val="20"/>
        </w:rPr>
        <w:t xml:space="preserve"> </w:t>
      </w:r>
      <w:r w:rsidRPr="00E84159">
        <w:rPr>
          <w:rFonts w:ascii="Times New Roman" w:hAnsi="Times New Roman"/>
          <w:sz w:val="20"/>
          <w:szCs w:val="20"/>
          <w:lang w:eastAsia="fr-FR"/>
        </w:rPr>
        <w:t>au Bénin et d’autre part, les meilleures pratiques recommandées dans le secteur de la microfinance</w:t>
      </w:r>
      <w:r w:rsidRPr="00E84159">
        <w:rPr>
          <w:rFonts w:ascii="Times New Roman" w:hAnsi="Times New Roman"/>
          <w:bCs/>
          <w:sz w:val="20"/>
          <w:szCs w:val="20"/>
          <w:lang w:eastAsia="fr-FR"/>
        </w:rPr>
        <w:t>.</w:t>
      </w:r>
    </w:p>
  </w:footnote>
  <w:footnote w:id="28">
    <w:p w:rsidR="008C2241" w:rsidRDefault="008C2241" w:rsidP="000E185C">
      <w:pPr>
        <w:spacing w:line="240" w:lineRule="auto"/>
      </w:pPr>
      <w:r w:rsidRPr="000752E0">
        <w:rPr>
          <w:rStyle w:val="Appelnotedebasdep"/>
        </w:rPr>
        <w:footnoteRef/>
      </w:r>
      <w:r w:rsidRPr="000752E0">
        <w:rPr>
          <w:rFonts w:ascii="Times New Roman" w:hAnsi="Times New Roman"/>
          <w:sz w:val="18"/>
          <w:szCs w:val="18"/>
        </w:rPr>
        <w:t>Ce</w:t>
      </w:r>
      <w:r w:rsidRPr="000752E0">
        <w:rPr>
          <w:rFonts w:ascii="Times New Roman" w:eastAsia="Arial Unicode MS" w:hAnsi="Times New Roman"/>
          <w:sz w:val="18"/>
          <w:szCs w:val="18"/>
        </w:rPr>
        <w:t>tte caractérisation a été faite par un tri par valeurs-tests. Le paramètre valeur-test permet d’éditer les modalités caractéristiques les plus marquantes pour chaque modalité de la variable nominale à caractériser. Les caractéristiques les plus marquantes se révèlent par le niveau de leur valeur moyenne par rapport à la moyenne nationale.</w:t>
      </w:r>
    </w:p>
  </w:footnote>
  <w:footnote w:id="29">
    <w:p w:rsidR="008C2241" w:rsidRPr="008C0774" w:rsidRDefault="008C2241">
      <w:pPr>
        <w:pStyle w:val="Notedebasdepage"/>
      </w:pPr>
      <w:r>
        <w:rPr>
          <w:rStyle w:val="Appelnotedebasdep"/>
        </w:rPr>
        <w:footnoteRef/>
      </w:r>
      <w:r w:rsidRPr="002815FC">
        <w:rPr>
          <w:rFonts w:ascii="Times New Roman" w:hAnsi="Times New Roman"/>
        </w:rPr>
        <w:t>Le chapitre 8 aborde plus de détailles la question de l’influence de la taille et la situation matrimoniale du chef de ménage du ménages selon le genre sur la pauvreté.</w:t>
      </w:r>
    </w:p>
  </w:footnote>
  <w:footnote w:id="30">
    <w:p w:rsidR="008C2241" w:rsidRPr="00961104" w:rsidRDefault="008C2241" w:rsidP="000B4815">
      <w:pPr>
        <w:pStyle w:val="Notedebasdepage"/>
        <w:jc w:val="both"/>
        <w:rPr>
          <w:rFonts w:ascii="Times New Roman" w:hAnsi="Times New Roman"/>
        </w:rPr>
      </w:pPr>
      <w:r w:rsidRPr="00F92F23">
        <w:rPr>
          <w:rStyle w:val="Appelnotedebasdep"/>
        </w:rPr>
        <w:footnoteRef/>
      </w:r>
      <w:r w:rsidRPr="001064B7">
        <w:rPr>
          <w:rFonts w:ascii="Times New Roman" w:hAnsi="Times New Roman"/>
        </w:rPr>
        <w:t>Du fait de son taux d’accroissement naturel de 2,9% (RGPH 3), le Bénin est encore classé parmi les pays d’Afrique sub-saharienne à forte fécondité.</w:t>
      </w:r>
    </w:p>
    <w:p w:rsidR="008C2241" w:rsidRPr="00C53298" w:rsidRDefault="008C2241" w:rsidP="000B4815">
      <w:pPr>
        <w:pStyle w:val="Notedebasdepage"/>
        <w:rPr>
          <w:rFonts w:ascii="Garamond" w:eastAsia="Calibri" w:hAnsi="Garamond"/>
          <w:sz w:val="18"/>
          <w:szCs w:val="18"/>
          <w:lang w:eastAsia="en-US"/>
        </w:rPr>
      </w:pPr>
    </w:p>
  </w:footnote>
  <w:footnote w:id="31">
    <w:p w:rsidR="008C2241" w:rsidRPr="00374019" w:rsidRDefault="008C2241" w:rsidP="00452909">
      <w:pPr>
        <w:pStyle w:val="Notedebasdepage"/>
        <w:jc w:val="both"/>
        <w:rPr>
          <w:sz w:val="18"/>
          <w:szCs w:val="18"/>
        </w:rPr>
      </w:pPr>
      <w:r>
        <w:rPr>
          <w:rStyle w:val="Appelnotedebasdep"/>
        </w:rPr>
        <w:footnoteRef/>
      </w:r>
      <w:r>
        <w:t xml:space="preserve"> </w:t>
      </w:r>
      <w:r w:rsidRPr="007115DC">
        <w:rPr>
          <w:rFonts w:ascii="Times New Roman" w:hAnsi="Times New Roman"/>
          <w:sz w:val="18"/>
          <w:szCs w:val="18"/>
        </w:rPr>
        <w:t>Elle est calculée selon la définition de la Banque Mondiale qui considère l’extrême pauvreté  à partir d’une dépense de consommation journalière inférieure à 1,25 dollar (selon les prix de 2005). Ce niveau critique est calculé en fonction d'un panier annuel de </w:t>
      </w:r>
      <w:hyperlink r:id="rId1" w:history="1">
        <w:r w:rsidRPr="007115DC">
          <w:rPr>
            <w:rFonts w:ascii="Times New Roman" w:hAnsi="Times New Roman"/>
            <w:sz w:val="18"/>
            <w:szCs w:val="18"/>
          </w:rPr>
          <w:t>consommation</w:t>
        </w:r>
      </w:hyperlink>
      <w:r w:rsidRPr="007115DC">
        <w:rPr>
          <w:rFonts w:ascii="Times New Roman" w:hAnsi="Times New Roman"/>
          <w:sz w:val="18"/>
          <w:szCs w:val="18"/>
        </w:rPr>
        <w:t> minimale pour assurer un niveau de vie tolérable. Il correspond à la moyenne des seuils de pauvreté constatés dans les 15 pays les plus pauvres en termes de consommation par habitant (Chen et Ravallion, 2008). Pour que des comparaisons internationales puissent être effectuées en s'affranchissant du </w:t>
      </w:r>
      <w:hyperlink r:id="rId2" w:history="1">
        <w:r w:rsidRPr="007115DC">
          <w:rPr>
            <w:rFonts w:ascii="Times New Roman" w:hAnsi="Times New Roman"/>
            <w:sz w:val="18"/>
            <w:szCs w:val="18"/>
          </w:rPr>
          <w:t>pouvoir d'achat</w:t>
        </w:r>
      </w:hyperlink>
      <w:r w:rsidRPr="007115DC">
        <w:rPr>
          <w:rFonts w:ascii="Times New Roman" w:hAnsi="Times New Roman"/>
          <w:sz w:val="18"/>
          <w:szCs w:val="18"/>
        </w:rPr>
        <w:t> des différentes devises, les seuils de pauvreté sont exprimés en </w:t>
      </w:r>
      <w:hyperlink r:id="rId3" w:history="1">
        <w:r w:rsidRPr="007115DC">
          <w:rPr>
            <w:rFonts w:ascii="Times New Roman" w:hAnsi="Times New Roman"/>
            <w:sz w:val="18"/>
            <w:szCs w:val="18"/>
          </w:rPr>
          <w:t>parité de pouvoir d'achat</w:t>
        </w:r>
      </w:hyperlink>
      <w:r w:rsidRPr="007115DC">
        <w:rPr>
          <w:rFonts w:ascii="Times New Roman" w:hAnsi="Times New Roman"/>
          <w:sz w:val="18"/>
          <w:szCs w:val="18"/>
        </w:rPr>
        <w:t>. La parité des </w:t>
      </w:r>
      <w:hyperlink r:id="rId4" w:history="1">
        <w:r w:rsidRPr="007115DC">
          <w:rPr>
            <w:rFonts w:ascii="Times New Roman" w:hAnsi="Times New Roman"/>
            <w:sz w:val="18"/>
            <w:szCs w:val="18"/>
          </w:rPr>
          <w:t>pouvoirs d'achat</w:t>
        </w:r>
      </w:hyperlink>
      <w:r w:rsidRPr="007115DC">
        <w:rPr>
          <w:rFonts w:ascii="Times New Roman" w:hAnsi="Times New Roman"/>
          <w:sz w:val="18"/>
          <w:szCs w:val="18"/>
        </w:rPr>
        <w:t> (</w:t>
      </w:r>
      <w:hyperlink r:id="rId5" w:anchor="ppa" w:history="1">
        <w:r w:rsidRPr="007115DC">
          <w:rPr>
            <w:rFonts w:ascii="Times New Roman" w:hAnsi="Times New Roman"/>
            <w:sz w:val="18"/>
            <w:szCs w:val="18"/>
          </w:rPr>
          <w:t>PPA</w:t>
        </w:r>
      </w:hyperlink>
      <w:r w:rsidRPr="007115DC">
        <w:rPr>
          <w:rFonts w:ascii="Times New Roman" w:hAnsi="Times New Roman"/>
          <w:sz w:val="18"/>
          <w:szCs w:val="18"/>
        </w:rPr>
        <w:t>) correspond à une situation où le </w:t>
      </w:r>
      <w:hyperlink r:id="rId6" w:history="1">
        <w:r w:rsidRPr="007115DC">
          <w:rPr>
            <w:rFonts w:ascii="Times New Roman" w:hAnsi="Times New Roman"/>
            <w:sz w:val="18"/>
            <w:szCs w:val="18"/>
          </w:rPr>
          <w:t>taux de change</w:t>
        </w:r>
      </w:hyperlink>
      <w:r w:rsidRPr="007115DC">
        <w:rPr>
          <w:rFonts w:ascii="Times New Roman" w:hAnsi="Times New Roman"/>
          <w:sz w:val="18"/>
          <w:szCs w:val="18"/>
        </w:rPr>
        <w:t> entre la monnaie de deux pays se situe à un niveau tel qu'une unité de monnaie d'un pays permet d'obtenir la même quantité de biens et de services dans l'autre pays après la conversion faite dans sa monnaie. La parité des pouvoirs d'achat est aussi le taux de change qui permet de neutraliser les différences de prix entre deux pays. Cette méthode est utilisée par les économistes pour réaliser des comparaisons entre pays.</w:t>
      </w:r>
    </w:p>
    <w:p w:rsidR="008C2241" w:rsidRDefault="008C2241" w:rsidP="00452909">
      <w:pPr>
        <w:pStyle w:val="Notedebasdepage"/>
      </w:pPr>
    </w:p>
  </w:footnote>
  <w:footnote w:id="32">
    <w:p w:rsidR="008C2241" w:rsidRPr="00253C93" w:rsidRDefault="008C2241">
      <w:pPr>
        <w:spacing w:line="240" w:lineRule="auto"/>
        <w:rPr>
          <w:rFonts w:ascii="Times New Roman" w:hAnsi="Times New Roman"/>
          <w:sz w:val="20"/>
          <w:szCs w:val="20"/>
        </w:rPr>
      </w:pPr>
      <w:r w:rsidRPr="00253C93">
        <w:rPr>
          <w:rFonts w:ascii="Times New Roman" w:hAnsi="Times New Roman"/>
          <w:sz w:val="20"/>
          <w:szCs w:val="20"/>
          <w:vertAlign w:val="superscript"/>
        </w:rPr>
        <w:footnoteRef/>
      </w:r>
      <w:r w:rsidRPr="00253C93">
        <w:rPr>
          <w:rFonts w:ascii="Times New Roman" w:eastAsia="Times New Roman" w:hAnsi="Times New Roman"/>
          <w:sz w:val="20"/>
          <w:szCs w:val="20"/>
          <w:lang w:eastAsia="fr-FR"/>
        </w:rPr>
        <w:t xml:space="preserve">  Ces résultats obtenus pour le panel dans un contexte général de baisse de l’incidence de la pauvreté entre 2006 et 2009 pourraient s’expliquer par le fait que des remplacements ont été effectués dans l’échantillon de 2006 dans les mêmes grappes de ménages en raison de la non actualisation de la base de sondage des ménages pour tenir compte des changements dans la population. </w:t>
      </w:r>
      <w:r w:rsidRPr="00253C93">
        <w:rPr>
          <w:rFonts w:ascii="Times New Roman" w:hAnsi="Times New Roman"/>
          <w:sz w:val="20"/>
          <w:szCs w:val="20"/>
        </w:rPr>
        <w:t xml:space="preserve">Ceci a donc contribué à déséquilibrer l’échantillon du panel et rendre les résultats partiellement représentatifs de l’échantillon global. Ainsi, le taux relativement élevé d’entrées dans la pauvreté dans un contexte global de baisse de l’incidence pourrait être imputé à la nature du panel. </w:t>
      </w:r>
    </w:p>
  </w:footnote>
  <w:footnote w:id="33">
    <w:p w:rsidR="008C2241" w:rsidRPr="00253C93" w:rsidRDefault="008C2241" w:rsidP="00BE1BEB">
      <w:pPr>
        <w:pStyle w:val="Notedebasdepage"/>
      </w:pPr>
      <w:r w:rsidRPr="00253C93">
        <w:rPr>
          <w:rStyle w:val="Appelnotedebasdep"/>
        </w:rPr>
        <w:footnoteRef/>
      </w:r>
      <w:r>
        <w:rPr>
          <w:rFonts w:ascii="Times New Roman" w:hAnsi="Times New Roman"/>
        </w:rPr>
        <w:t xml:space="preserve"> s</w:t>
      </w:r>
      <w:r w:rsidRPr="00253C93">
        <w:rPr>
          <w:rFonts w:ascii="Times New Roman" w:hAnsi="Times New Roman"/>
        </w:rPr>
        <w:t>i on exclut les subventions généralisées (sur les produits alimentaires y compris aliments importés, produits pétroliers, l'électricité).</w:t>
      </w:r>
    </w:p>
  </w:footnote>
  <w:footnote w:id="34">
    <w:p w:rsidR="008C2241" w:rsidRPr="001528C2" w:rsidRDefault="008C2241">
      <w:pPr>
        <w:spacing w:line="240" w:lineRule="auto"/>
        <w:rPr>
          <w:rFonts w:ascii="Times New Roman" w:hAnsi="Times New Roman"/>
          <w:sz w:val="20"/>
          <w:szCs w:val="20"/>
        </w:rPr>
      </w:pPr>
      <w:r w:rsidRPr="00832112">
        <w:rPr>
          <w:rStyle w:val="Appelnotedebasdep"/>
          <w:rFonts w:ascii="Times New Roman" w:hAnsi="Times New Roman"/>
          <w:sz w:val="20"/>
          <w:szCs w:val="20"/>
        </w:rPr>
        <w:footnoteRef/>
      </w:r>
      <w:r w:rsidRPr="00832112">
        <w:rPr>
          <w:rFonts w:ascii="Times New Roman" w:hAnsi="Times New Roman"/>
          <w:sz w:val="20"/>
          <w:szCs w:val="20"/>
        </w:rPr>
        <w:t>Les transferts monétaires permettront d'accroître le revenu des ménages sur une longue période alors que les programmes de travaux publics fourniront des transferts prévisibles en période de soudure, ce qui permettra aux ménages bénéficiaires d'éviter le recours à des solutions néfastes telles que la vente de biens, le retrait de l'école et le travail des enfants.</w:t>
      </w:r>
    </w:p>
    <w:p w:rsidR="008C2241" w:rsidRDefault="008C2241">
      <w:pPr>
        <w:pStyle w:val="Notedebasdepage"/>
      </w:pPr>
    </w:p>
  </w:footnote>
  <w:footnote w:id="35">
    <w:p w:rsidR="008C2241" w:rsidRPr="001528C2" w:rsidRDefault="008C2241" w:rsidP="005845CB">
      <w:pPr>
        <w:pStyle w:val="Notedebasdepage"/>
        <w:rPr>
          <w:rFonts w:ascii="Times New Roman" w:hAnsi="Times New Roman"/>
        </w:rPr>
      </w:pPr>
      <w:r w:rsidRPr="00832112">
        <w:rPr>
          <w:rStyle w:val="Appelnotedebasdep"/>
          <w:rFonts w:ascii="Times New Roman" w:hAnsi="Times New Roman"/>
        </w:rPr>
        <w:footnoteRef/>
      </w:r>
      <w:r w:rsidRPr="001528C2">
        <w:rPr>
          <w:rFonts w:ascii="Times New Roman" w:hAnsi="Times New Roman"/>
        </w:rPr>
        <w:t>Proportion d’actifs occupés disposant d’un salaire (EMICoV, 2011).</w:t>
      </w:r>
    </w:p>
  </w:footnote>
  <w:footnote w:id="36">
    <w:p w:rsidR="008C2241" w:rsidRPr="001528C2" w:rsidRDefault="008C2241" w:rsidP="005845CB">
      <w:pPr>
        <w:pStyle w:val="Notedebasdepage"/>
        <w:rPr>
          <w:rFonts w:ascii="Times New Roman" w:hAnsi="Times New Roman"/>
        </w:rPr>
      </w:pPr>
      <w:r w:rsidRPr="001528C2">
        <w:rPr>
          <w:rStyle w:val="Appelnotedebasdep"/>
          <w:rFonts w:ascii="Times New Roman" w:hAnsi="Times New Roman"/>
        </w:rPr>
        <w:footnoteRef/>
      </w:r>
      <w:r w:rsidRPr="001528C2">
        <w:rPr>
          <w:rFonts w:ascii="Times New Roman" w:hAnsi="Times New Roman"/>
        </w:rPr>
        <w:t xml:space="preserve"> La part de population béninoise exerçant un emploi informel est estimée à 92,9% en 2009.</w:t>
      </w:r>
    </w:p>
  </w:footnote>
  <w:footnote w:id="37">
    <w:p w:rsidR="008C2241" w:rsidRPr="001528C2" w:rsidRDefault="008C2241">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C’est une technique statistique qui permet de réaliser entre autres, la typologie des unités d’analyse (ici ménage).</w:t>
      </w:r>
    </w:p>
  </w:footnote>
  <w:footnote w:id="38">
    <w:p w:rsidR="008C2241" w:rsidRPr="001528C2" w:rsidRDefault="008C2241">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Il est fait à l’aide d’une analyse des correspondances multiples sur un panel des ménages</w:t>
      </w:r>
    </w:p>
  </w:footnote>
  <w:footnote w:id="39">
    <w:p w:rsidR="008C2241" w:rsidRDefault="008C2241">
      <w:pPr>
        <w:spacing w:line="240" w:lineRule="auto"/>
        <w:rPr>
          <w:rFonts w:ascii="Times New Roman" w:hAnsi="Times New Roman"/>
          <w:sz w:val="24"/>
          <w:szCs w:val="24"/>
        </w:rPr>
      </w:pPr>
      <w:r>
        <w:rPr>
          <w:rStyle w:val="Appelnotedebasdep"/>
        </w:rPr>
        <w:footnoteRef/>
      </w:r>
      <w:r w:rsidRPr="00B76D0A">
        <w:rPr>
          <w:rFonts w:ascii="Times New Roman" w:hAnsi="Times New Roman"/>
          <w:sz w:val="20"/>
          <w:szCs w:val="20"/>
        </w:rPr>
        <w:t>L’analyse est basée sur les coefficients</w:t>
      </w:r>
      <w:r>
        <w:rPr>
          <w:rFonts w:ascii="Times New Roman" w:hAnsi="Times New Roman"/>
          <w:sz w:val="20"/>
          <w:szCs w:val="20"/>
        </w:rPr>
        <w:t xml:space="preserve"> (rapports de chance)</w:t>
      </w:r>
      <w:r w:rsidRPr="00B76D0A">
        <w:rPr>
          <w:rFonts w:ascii="Times New Roman" w:hAnsi="Times New Roman"/>
          <w:sz w:val="20"/>
          <w:szCs w:val="20"/>
        </w:rPr>
        <w:t xml:space="preserve"> significatifs </w:t>
      </w:r>
      <w:r>
        <w:rPr>
          <w:rFonts w:ascii="Times New Roman" w:hAnsi="Times New Roman"/>
          <w:sz w:val="20"/>
          <w:szCs w:val="20"/>
        </w:rPr>
        <w:t xml:space="preserve">et plus élevés </w:t>
      </w:r>
      <w:r w:rsidRPr="00B76D0A">
        <w:rPr>
          <w:rFonts w:ascii="Times New Roman" w:hAnsi="Times New Roman"/>
          <w:sz w:val="20"/>
          <w:szCs w:val="20"/>
        </w:rPr>
        <w:t>pour les différents états de pauvreté sur la période. L’analyse du tableau révèle que la plupart des coefficients des variables explicatives sont significatifs. La mobilité des ménages entre les différents états de pauvreté est en parfaite liaison avec le niveau de bien-être de départ, la dotation en capital humain, la situation du marché de travail et les changements et chocs survenus dans le ménage.</w:t>
      </w:r>
    </w:p>
    <w:p w:rsidR="008C2241" w:rsidRDefault="008C2241">
      <w:pPr>
        <w:pStyle w:val="Notedebasdepage"/>
      </w:pPr>
    </w:p>
  </w:footnote>
  <w:footnote w:id="40">
    <w:p w:rsidR="008C2241" w:rsidRPr="0053775C" w:rsidRDefault="008C2241">
      <w:pPr>
        <w:pStyle w:val="Notedebasdepage"/>
        <w:rPr>
          <w:rFonts w:ascii="Times New Roman" w:hAnsi="Times New Roman"/>
        </w:rPr>
      </w:pPr>
      <w:r w:rsidRPr="001064B7">
        <w:rPr>
          <w:rStyle w:val="Appelnotedebasdep"/>
          <w:rFonts w:ascii="Times New Roman" w:hAnsi="Times New Roman"/>
        </w:rPr>
        <w:footnoteRef/>
      </w:r>
      <w:r w:rsidRPr="001064B7">
        <w:rPr>
          <w:rFonts w:ascii="Times New Roman" w:hAnsi="Times New Roman"/>
        </w:rPr>
        <w:t xml:space="preserve"> Il est passé de 1082 en 2006 à 6183 en 2011.</w:t>
      </w:r>
    </w:p>
  </w:footnote>
  <w:footnote w:id="41">
    <w:p w:rsidR="008C2241" w:rsidRDefault="008C2241">
      <w:pPr>
        <w:pStyle w:val="Notedebasdepage"/>
      </w:pPr>
      <w:r>
        <w:rPr>
          <w:rStyle w:val="Appelnotedebasdep"/>
        </w:rPr>
        <w:footnoteRef/>
      </w:r>
      <w:r w:rsidRPr="00196278">
        <w:rPr>
          <w:rFonts w:ascii="Times New Roman" w:hAnsi="Times New Roman"/>
        </w:rPr>
        <w:t>Elle est mesurée par le ratio des dépenses par tête du bien considéré rapporté au seuil de pauvreté</w:t>
      </w:r>
    </w:p>
  </w:footnote>
  <w:footnote w:id="42">
    <w:p w:rsidR="008C2241" w:rsidRPr="00036F9B" w:rsidRDefault="008C2241" w:rsidP="00324B2E">
      <w:pPr>
        <w:pStyle w:val="Notedebasdepage"/>
        <w:rPr>
          <w:rFonts w:ascii="Times New Roman" w:hAnsi="Times New Roman"/>
        </w:rPr>
      </w:pPr>
      <w:r w:rsidRPr="00832112">
        <w:rPr>
          <w:rFonts w:ascii="Times New Roman" w:hAnsi="Times New Roman"/>
          <w:vertAlign w:val="superscript"/>
        </w:rPr>
        <w:footnoteRef/>
      </w:r>
      <w:r w:rsidRPr="00832112">
        <w:rPr>
          <w:rFonts w:ascii="Times New Roman" w:hAnsi="Times New Roman"/>
        </w:rPr>
        <w:t>DSRP intérimaire en 2001, DSRP en 2005 et SCRP en 2007</w:t>
      </w:r>
    </w:p>
  </w:footnote>
  <w:footnote w:id="43">
    <w:p w:rsidR="008C2241" w:rsidRPr="00036F9B" w:rsidRDefault="008C2241" w:rsidP="00324B2E">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Il s’agit d’une croissance dont le rythme et les modalités améliorent l’aptitude des pauvres, hommes et femmes, à participer à l’activité économique et à en tirer avantage.</w:t>
      </w:r>
    </w:p>
    <w:p w:rsidR="008C2241" w:rsidRPr="00036F9B" w:rsidRDefault="008C2241" w:rsidP="00324B2E">
      <w:pPr>
        <w:pStyle w:val="Notedebasdepage"/>
        <w:rPr>
          <w:rFonts w:ascii="Times New Roman" w:hAnsi="Times New Roman"/>
          <w:sz w:val="2"/>
          <w:szCs w:val="2"/>
        </w:rPr>
      </w:pPr>
    </w:p>
  </w:footnote>
  <w:footnote w:id="44">
    <w:p w:rsidR="008C2241" w:rsidRPr="00036F9B" w:rsidRDefault="008C2241" w:rsidP="00324B2E">
      <w:pPr>
        <w:pStyle w:val="Notedebasdepage"/>
        <w:tabs>
          <w:tab w:val="left" w:pos="3686"/>
        </w:tabs>
        <w:jc w:val="both"/>
        <w:rPr>
          <w:rStyle w:val="Appelnotedebasdep"/>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L’évaluation de la production des services non marchands se fait au coût de production qui n’est autre chose que les dépenses courantes de l’</w:t>
      </w:r>
      <w:r>
        <w:rPr>
          <w:rFonts w:ascii="Times New Roman" w:hAnsi="Times New Roman"/>
        </w:rPr>
        <w:t>E</w:t>
      </w:r>
      <w:r w:rsidRPr="00832112">
        <w:rPr>
          <w:rFonts w:ascii="Times New Roman" w:hAnsi="Times New Roman"/>
        </w:rPr>
        <w:t>tat augmentée</w:t>
      </w:r>
      <w:r>
        <w:rPr>
          <w:rFonts w:ascii="Times New Roman" w:hAnsi="Times New Roman"/>
        </w:rPr>
        <w:t>s</w:t>
      </w:r>
      <w:r w:rsidRPr="00832112">
        <w:rPr>
          <w:rFonts w:ascii="Times New Roman" w:hAnsi="Times New Roman"/>
        </w:rPr>
        <w:t xml:space="preserve"> de la partie des dépenses en capital consacrée en paiement des dépenses de fonctionnement ou de salaires</w:t>
      </w:r>
      <w:r w:rsidRPr="00036F9B">
        <w:rPr>
          <w:rFonts w:ascii="Times New Roman" w:hAnsi="Times New Roman"/>
        </w:rPr>
        <w:t>.</w:t>
      </w:r>
    </w:p>
  </w:footnote>
  <w:footnote w:id="45">
    <w:p w:rsidR="008C2241" w:rsidRPr="00B34C55" w:rsidRDefault="008C2241" w:rsidP="00324B2E">
      <w:pPr>
        <w:pStyle w:val="Notedebasdepage"/>
        <w:jc w:val="both"/>
        <w:rPr>
          <w:rFonts w:ascii="Times New Roman" w:hAnsi="Times New Roman"/>
        </w:rPr>
      </w:pPr>
      <w:r>
        <w:rPr>
          <w:rStyle w:val="Appelnotedebasdep"/>
        </w:rPr>
        <w:footnoteRef/>
      </w:r>
      <w:r w:rsidRPr="00B1470F">
        <w:rPr>
          <w:rFonts w:ascii="Times New Roman" w:hAnsi="Times New Roman"/>
        </w:rPr>
        <w:t>De fait, le taux moyen de croissance annuelle  pe</w:t>
      </w:r>
      <w:r>
        <w:rPr>
          <w:rFonts w:ascii="Times New Roman" w:hAnsi="Times New Roman"/>
        </w:rPr>
        <w:t>ndant la période 2005-09, 3,8 %</w:t>
      </w:r>
      <w:r w:rsidRPr="00B1470F">
        <w:rPr>
          <w:rFonts w:ascii="Times New Roman" w:hAnsi="Times New Roman"/>
        </w:rPr>
        <w:t xml:space="preserve"> est sensiblement inférieur à la moyenne pour l’Afrique subsaharienne (5,62 % selon les estimations du Global Development Prospects Group).</w:t>
      </w:r>
      <w:r w:rsidRPr="00B34C55">
        <w:rPr>
          <w:rFonts w:ascii="Times New Roman" w:hAnsi="Times New Roman"/>
        </w:rPr>
        <w:t xml:space="preserve"> C’est également l’un des taux les plus faibles parmi les pays de l’UEMOA, juste au-dessus de la Guinée-Bissau (3,2 %)</w:t>
      </w:r>
      <w:r>
        <w:rPr>
          <w:rFonts w:ascii="Times New Roman" w:hAnsi="Times New Roman"/>
        </w:rPr>
        <w:t>,</w:t>
      </w:r>
      <w:r w:rsidRPr="00B34C55">
        <w:rPr>
          <w:rFonts w:ascii="Times New Roman" w:hAnsi="Times New Roman"/>
        </w:rPr>
        <w:t xml:space="preserve"> du Togo et de la Côte d’Ivoire </w:t>
      </w:r>
      <w:r>
        <w:rPr>
          <w:rFonts w:ascii="Times New Roman" w:hAnsi="Times New Roman"/>
        </w:rPr>
        <w:t>(environ 2 %)</w:t>
      </w:r>
      <w:r w:rsidRPr="00B34C55">
        <w:rPr>
          <w:rFonts w:ascii="Times New Roman" w:hAnsi="Times New Roman"/>
        </w:rPr>
        <w:t xml:space="preserve">.  </w:t>
      </w:r>
    </w:p>
  </w:footnote>
  <w:footnote w:id="46">
    <w:p w:rsidR="008C2241" w:rsidRPr="00E52421" w:rsidRDefault="008C2241" w:rsidP="00E52421">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Résultats privisoires du Recensement Général de la Population et de l’Habitat (RGPH, 2013)  et Enquête Démographique et de Santé (2011) </w:t>
      </w:r>
    </w:p>
  </w:footnote>
  <w:footnote w:id="47">
    <w:p w:rsidR="008C2241" w:rsidRPr="00E52421" w:rsidRDefault="008C2241" w:rsidP="00324B2E">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Le secteur primaire regroupe l’agriculture, l’élevage, la pêche et l’exploitation forestière.</w:t>
      </w:r>
    </w:p>
  </w:footnote>
  <w:footnote w:id="48">
    <w:p w:rsidR="008C2241" w:rsidRPr="00E52421" w:rsidRDefault="008C2241" w:rsidP="00324B2E">
      <w:pPr>
        <w:pStyle w:val="Notedebasdepage"/>
        <w:rPr>
          <w:rStyle w:val="Appelnotedebasdep"/>
          <w:rFonts w:ascii="Times New Roman" w:hAnsi="Times New Roman"/>
        </w:rPr>
      </w:pPr>
      <w:r w:rsidRPr="00832112">
        <w:rPr>
          <w:rStyle w:val="Appelnotedebasdep"/>
          <w:rFonts w:ascii="Times New Roman" w:hAnsi="Times New Roman"/>
        </w:rPr>
        <w:footnoteRef/>
      </w:r>
      <w:r w:rsidRPr="00832112">
        <w:rPr>
          <w:rStyle w:val="Appelnotedebasdep"/>
          <w:rFonts w:ascii="Times New Roman" w:hAnsi="Times New Roman"/>
          <w:vertAlign w:val="baseline"/>
        </w:rPr>
        <w:t xml:space="preserve">Il s’agit </w:t>
      </w:r>
      <w:r w:rsidRPr="00832112">
        <w:rPr>
          <w:rFonts w:ascii="Times New Roman" w:hAnsi="Times New Roman"/>
        </w:rPr>
        <w:t xml:space="preserve">ici </w:t>
      </w:r>
      <w:r w:rsidRPr="00832112">
        <w:rPr>
          <w:rStyle w:val="Appelnotedebasdep"/>
          <w:rFonts w:ascii="Times New Roman" w:hAnsi="Times New Roman"/>
          <w:vertAlign w:val="baseline"/>
        </w:rPr>
        <w:t>des importations formel</w:t>
      </w:r>
      <w:r>
        <w:rPr>
          <w:rFonts w:ascii="Times New Roman" w:hAnsi="Times New Roman"/>
        </w:rPr>
        <w:t>le</w:t>
      </w:r>
      <w:r w:rsidRPr="00832112">
        <w:rPr>
          <w:rStyle w:val="Appelnotedebasdep"/>
          <w:rFonts w:ascii="Times New Roman" w:hAnsi="Times New Roman"/>
          <w:vertAlign w:val="baseline"/>
        </w:rPr>
        <w:t>s donc n’incluent pas l’informel à l’ima</w:t>
      </w:r>
      <w:r w:rsidRPr="00832112">
        <w:rPr>
          <w:rFonts w:ascii="Times New Roman" w:hAnsi="Times New Roman"/>
        </w:rPr>
        <w:t>g</w:t>
      </w:r>
      <w:r w:rsidRPr="00832112">
        <w:rPr>
          <w:rStyle w:val="Appelnotedebasdep"/>
          <w:rFonts w:ascii="Times New Roman" w:hAnsi="Times New Roman"/>
          <w:vertAlign w:val="baseline"/>
        </w:rPr>
        <w:t>e des produits pétroliers frelatés</w:t>
      </w:r>
    </w:p>
  </w:footnote>
  <w:footnote w:id="49">
    <w:p w:rsidR="008C2241" w:rsidRPr="00722D65" w:rsidRDefault="008C2241" w:rsidP="00324B2E">
      <w:pPr>
        <w:pStyle w:val="Notedebasdepage"/>
        <w:rPr>
          <w:rFonts w:ascii="Times New Roman" w:hAnsi="Times New Roman"/>
          <w:sz w:val="16"/>
          <w:szCs w:val="16"/>
        </w:rPr>
      </w:pPr>
      <w:r w:rsidRPr="002E6339">
        <w:rPr>
          <w:rStyle w:val="Appelnotedebasdep"/>
          <w:rFonts w:ascii="Times New Roman" w:hAnsi="Times New Roman"/>
        </w:rPr>
        <w:footnoteRef/>
      </w:r>
      <w:r w:rsidRPr="001064B7">
        <w:rPr>
          <w:rFonts w:ascii="Times New Roman" w:hAnsi="Times New Roman"/>
          <w:sz w:val="16"/>
          <w:szCs w:val="16"/>
        </w:rPr>
        <w:t>80% des recettes d’importations et d’exportations proviennent du Port Autonome de Cotonou</w:t>
      </w:r>
    </w:p>
  </w:footnote>
  <w:footnote w:id="50">
    <w:p w:rsidR="008C2241" w:rsidRPr="002E6339" w:rsidRDefault="008C2241" w:rsidP="00324B2E">
      <w:pPr>
        <w:pStyle w:val="Notedebasdepage"/>
        <w:rPr>
          <w:rFonts w:ascii="Times New Roman" w:hAnsi="Times New Roman"/>
        </w:rPr>
      </w:pPr>
      <w:r w:rsidRPr="001064B7">
        <w:rPr>
          <w:rStyle w:val="Appelnotedebasdep"/>
          <w:rFonts w:ascii="Times New Roman" w:hAnsi="Times New Roman"/>
          <w:sz w:val="16"/>
          <w:szCs w:val="16"/>
        </w:rPr>
        <w:footnoteRef/>
      </w:r>
      <w:r w:rsidRPr="001064B7">
        <w:rPr>
          <w:rFonts w:ascii="Times New Roman" w:hAnsi="Times New Roman"/>
          <w:sz w:val="16"/>
          <w:szCs w:val="16"/>
        </w:rPr>
        <w:t xml:space="preserve"> A défaut de disposer d’une série longue de l’IHPC l’inflation a été mesurée par le déflateur du PIB</w:t>
      </w:r>
      <w:r>
        <w:rPr>
          <w:rFonts w:ascii="Times New Roman" w:hAnsi="Times New Roman"/>
          <w:sz w:val="16"/>
          <w:szCs w:val="16"/>
        </w:rPr>
        <w:t>.</w:t>
      </w:r>
    </w:p>
  </w:footnote>
  <w:footnote w:id="51">
    <w:p w:rsidR="008C2241" w:rsidRPr="00E52421" w:rsidRDefault="008C2241" w:rsidP="00854578">
      <w:pPr>
        <w:spacing w:line="240" w:lineRule="auto"/>
        <w:rPr>
          <w:rFonts w:ascii="Times New Roman" w:hAnsi="Times New Roman"/>
        </w:rPr>
      </w:pPr>
      <w:r w:rsidRPr="00832112">
        <w:rPr>
          <w:rStyle w:val="Appelnotedebasdep"/>
          <w:rFonts w:ascii="Times New Roman" w:hAnsi="Times New Roman"/>
        </w:rPr>
        <w:footnoteRef/>
      </w:r>
      <w:r w:rsidRPr="00E03954">
        <w:rPr>
          <w:rFonts w:ascii="Times New Roman" w:hAnsi="Times New Roman"/>
          <w:color w:val="000000"/>
          <w:sz w:val="20"/>
          <w:szCs w:val="20"/>
          <w:shd w:val="clear" w:color="auto" w:fill="FFFFFF"/>
        </w:rPr>
        <w:t>En</w:t>
      </w:r>
      <w:r w:rsidRPr="00E03954">
        <w:rPr>
          <w:rFonts w:ascii="Times New Roman" w:hAnsi="Times New Roman"/>
          <w:sz w:val="20"/>
          <w:szCs w:val="20"/>
        </w:rPr>
        <w:t> </w:t>
      </w:r>
      <w:hyperlink r:id="rId7" w:tooltip="Économie" w:history="1">
        <w:r w:rsidRPr="00E03954">
          <w:rPr>
            <w:rFonts w:ascii="Times New Roman" w:hAnsi="Times New Roman"/>
            <w:color w:val="000000"/>
            <w:sz w:val="20"/>
            <w:szCs w:val="20"/>
          </w:rPr>
          <w:t>économie</w:t>
        </w:r>
      </w:hyperlink>
      <w:r w:rsidRPr="00E03954">
        <w:rPr>
          <w:rFonts w:ascii="Times New Roman" w:hAnsi="Times New Roman"/>
          <w:color w:val="000000"/>
          <w:sz w:val="20"/>
          <w:szCs w:val="20"/>
          <w:shd w:val="clear" w:color="auto" w:fill="FFFFFF"/>
        </w:rPr>
        <w:t>, les</w:t>
      </w:r>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déficits jumeaux</w:t>
      </w:r>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ou</w:t>
      </w:r>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double déficit</w:t>
      </w:r>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désignent la situation d'un pays enregistrant en même temps un</w:t>
      </w:r>
      <w:r w:rsidRPr="00E03954">
        <w:rPr>
          <w:rFonts w:ascii="Times New Roman" w:hAnsi="Times New Roman"/>
          <w:sz w:val="20"/>
          <w:szCs w:val="20"/>
        </w:rPr>
        <w:t> </w:t>
      </w:r>
      <w:hyperlink r:id="rId8" w:tooltip="Déficit public" w:history="1">
        <w:r w:rsidRPr="00E03954">
          <w:rPr>
            <w:rFonts w:ascii="Times New Roman" w:hAnsi="Times New Roman"/>
            <w:color w:val="000000"/>
            <w:sz w:val="20"/>
            <w:szCs w:val="20"/>
          </w:rPr>
          <w:t>déficit public</w:t>
        </w:r>
      </w:hyperlink>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 xml:space="preserve">et un déficit de sa </w:t>
      </w:r>
      <w:hyperlink r:id="rId9" w:tooltip="Balance courante" w:history="1">
        <w:r w:rsidRPr="00E03954">
          <w:rPr>
            <w:rFonts w:ascii="Times New Roman" w:hAnsi="Times New Roman"/>
            <w:color w:val="000000"/>
            <w:sz w:val="20"/>
            <w:szCs w:val="20"/>
          </w:rPr>
          <w:t>balance courante</w:t>
        </w:r>
      </w:hyperlink>
      <w:r w:rsidRPr="00E03954">
        <w:rPr>
          <w:rFonts w:ascii="Times New Roman" w:hAnsi="Times New Roman"/>
          <w:color w:val="000000"/>
          <w:sz w:val="20"/>
          <w:szCs w:val="20"/>
          <w:shd w:val="clear" w:color="auto" w:fill="FFFFFF"/>
        </w:rPr>
        <w:t>, c'est-à-dire une situation dans laquelle les dépenses des</w:t>
      </w:r>
      <w:r w:rsidRPr="00E03954">
        <w:rPr>
          <w:rFonts w:ascii="Times New Roman" w:hAnsi="Times New Roman"/>
          <w:sz w:val="20"/>
          <w:szCs w:val="20"/>
        </w:rPr>
        <w:t> </w:t>
      </w:r>
      <w:hyperlink r:id="rId10" w:tooltip="Administrations publiques" w:history="1">
        <w:r w:rsidRPr="00E03954">
          <w:rPr>
            <w:rFonts w:ascii="Times New Roman" w:hAnsi="Times New Roman"/>
            <w:color w:val="000000"/>
            <w:sz w:val="20"/>
            <w:szCs w:val="20"/>
          </w:rPr>
          <w:t>administrations publiques</w:t>
        </w:r>
      </w:hyperlink>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 xml:space="preserve">excèdent leurs revenus, et où les importations de </w:t>
      </w:r>
      <w:hyperlink r:id="rId11" w:tooltip="Biens et services" w:history="1">
        <w:r w:rsidRPr="00E03954">
          <w:rPr>
            <w:rFonts w:ascii="Times New Roman" w:hAnsi="Times New Roman"/>
            <w:color w:val="000000"/>
            <w:sz w:val="20"/>
            <w:szCs w:val="20"/>
          </w:rPr>
          <w:t>biens et services</w:t>
        </w:r>
      </w:hyperlink>
      <w:r w:rsidRPr="00E03954">
        <w:rPr>
          <w:rFonts w:ascii="Times New Roman" w:hAnsi="Times New Roman"/>
          <w:sz w:val="20"/>
          <w:szCs w:val="20"/>
        </w:rPr>
        <w:t> </w:t>
      </w:r>
      <w:r w:rsidRPr="00E03954">
        <w:rPr>
          <w:rFonts w:ascii="Times New Roman" w:hAnsi="Times New Roman"/>
          <w:color w:val="000000"/>
          <w:sz w:val="20"/>
          <w:szCs w:val="20"/>
          <w:shd w:val="clear" w:color="auto" w:fill="FFFFFF"/>
        </w:rPr>
        <w:t>sont supérieures aux exportations</w:t>
      </w:r>
      <w:r>
        <w:rPr>
          <w:rFonts w:ascii="Times New Roman" w:hAnsi="Times New Roman"/>
          <w:color w:val="000000"/>
          <w:sz w:val="20"/>
          <w:szCs w:val="20"/>
          <w:shd w:val="clear" w:color="auto" w:fill="FFFFFF"/>
        </w:rPr>
        <w:t>.</w:t>
      </w:r>
    </w:p>
  </w:footnote>
  <w:footnote w:id="52">
    <w:p w:rsidR="008C2241" w:rsidRPr="00E52421" w:rsidRDefault="008C2241" w:rsidP="00324B2E">
      <w:pPr>
        <w:spacing w:line="240" w:lineRule="auto"/>
        <w:rPr>
          <w:rFonts w:ascii="Times New Roman" w:hAnsi="Times New Roman"/>
          <w:sz w:val="20"/>
          <w:szCs w:val="20"/>
        </w:rPr>
      </w:pPr>
      <w:r w:rsidRPr="00832112">
        <w:rPr>
          <w:rStyle w:val="Appelnotedebasdep"/>
          <w:rFonts w:ascii="Times New Roman" w:hAnsi="Times New Roman"/>
          <w:sz w:val="20"/>
          <w:szCs w:val="20"/>
        </w:rPr>
        <w:footnoteRef/>
      </w:r>
      <w:r w:rsidRPr="00832112">
        <w:rPr>
          <w:rFonts w:ascii="Times New Roman" w:hAnsi="Times New Roman"/>
          <w:sz w:val="20"/>
          <w:szCs w:val="20"/>
        </w:rPr>
        <w:t xml:space="preserve"> Il s’agit de l’agricul</w:t>
      </w:r>
      <w:r>
        <w:rPr>
          <w:rFonts w:ascii="Times New Roman" w:hAnsi="Times New Roman"/>
          <w:sz w:val="20"/>
          <w:szCs w:val="20"/>
        </w:rPr>
        <w:t xml:space="preserve">ture au sens large (agriculture, élevage, pêche et </w:t>
      </w:r>
      <w:r w:rsidRPr="00832112">
        <w:rPr>
          <w:rFonts w:ascii="Times New Roman" w:hAnsi="Times New Roman"/>
          <w:sz w:val="20"/>
          <w:szCs w:val="20"/>
        </w:rPr>
        <w:t>forêt). Ce pôle n’inclut pas le coton qui reste l’un des produits agricoles les plus stratégiques de l’économie béninoise.</w:t>
      </w:r>
    </w:p>
    <w:p w:rsidR="008C2241" w:rsidRPr="00E52421" w:rsidRDefault="008C2241" w:rsidP="00324B2E">
      <w:pPr>
        <w:pStyle w:val="Notedebasdepage"/>
        <w:rPr>
          <w:rFonts w:ascii="Times New Roman" w:hAnsi="Times New Roman"/>
        </w:rPr>
      </w:pPr>
    </w:p>
  </w:footnote>
  <w:footnote w:id="53">
    <w:p w:rsidR="008C2241" w:rsidRPr="00C824AC" w:rsidRDefault="008C2241" w:rsidP="00324B2E">
      <w:pPr>
        <w:autoSpaceDE w:val="0"/>
        <w:autoSpaceDN w:val="0"/>
        <w:adjustRightInd w:val="0"/>
        <w:spacing w:line="240" w:lineRule="auto"/>
        <w:rPr>
          <w:rFonts w:ascii="Times New Roman" w:hAnsi="Times New Roman"/>
          <w:sz w:val="20"/>
          <w:szCs w:val="20"/>
        </w:rPr>
      </w:pPr>
      <w:r w:rsidRPr="00832112">
        <w:rPr>
          <w:rStyle w:val="Appelnotedebasdep"/>
          <w:rFonts w:ascii="Times New Roman" w:hAnsi="Times New Roman"/>
          <w:sz w:val="20"/>
          <w:szCs w:val="20"/>
        </w:rPr>
        <w:footnoteRef/>
      </w:r>
      <w:r w:rsidRPr="00832112">
        <w:rPr>
          <w:rFonts w:ascii="Times New Roman" w:hAnsi="Times New Roman"/>
          <w:sz w:val="20"/>
          <w:szCs w:val="20"/>
        </w:rPr>
        <w:t>S</w:t>
      </w:r>
      <w:r w:rsidRPr="00832112">
        <w:rPr>
          <w:rFonts w:ascii="Times New Roman" w:eastAsia="Times New Roman" w:hAnsi="Times New Roman"/>
          <w:sz w:val="20"/>
          <w:szCs w:val="20"/>
          <w:lang w:eastAsia="fr-FR"/>
        </w:rPr>
        <w:t>elon ces auteurs, il y a d’importantes failles dans les données concernant l’Afrique subsaharienne. En particulier, Young (2010) conclut aussi qu’en Afrique subsaharienne, la croissance du revenu réel estimée au moyen des données de la comptabilité nationalea peut-être été sous-estimée de plusieurs points de pourcentage.</w:t>
      </w:r>
    </w:p>
  </w:footnote>
  <w:footnote w:id="54">
    <w:p w:rsidR="008C2241" w:rsidRPr="00C824AC" w:rsidRDefault="008C2241" w:rsidP="005B6C96">
      <w:pPr>
        <w:pStyle w:val="Notedebasdepage"/>
        <w:jc w:val="both"/>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Taux de croissance moyenne annuelle</w:t>
      </w:r>
    </w:p>
  </w:footnote>
  <w:footnote w:id="55">
    <w:p w:rsidR="008C2241" w:rsidRPr="00C15C6F" w:rsidRDefault="008C2241" w:rsidP="00C15C6F">
      <w:pPr>
        <w:tabs>
          <w:tab w:val="left" w:pos="1335"/>
        </w:tabs>
        <w:spacing w:line="240" w:lineRule="auto"/>
        <w:rPr>
          <w:rFonts w:ascii="Times New Roman" w:hAnsi="Times New Roman"/>
          <w:sz w:val="20"/>
          <w:szCs w:val="20"/>
          <w:lang w:eastAsia="fr-FR"/>
        </w:rPr>
      </w:pPr>
      <w:r>
        <w:rPr>
          <w:rStyle w:val="Appelnotedebasdep"/>
          <w:rFonts w:ascii="Times New Roman" w:hAnsi="Times New Roman"/>
          <w:sz w:val="20"/>
          <w:szCs w:val="20"/>
        </w:rPr>
        <w:footnoteRef/>
      </w:r>
      <w:r w:rsidRPr="00C15C6F">
        <w:rPr>
          <w:rFonts w:ascii="Times New Roman" w:hAnsi="Times New Roman"/>
          <w:sz w:val="20"/>
          <w:szCs w:val="20"/>
          <w:lang w:eastAsia="fr-FR"/>
        </w:rPr>
        <w:t>Ces deux catégories sont étroitement liées et jouent un rôle décisif pour l’obtention d’une croissance s’inscrivant dans le long terme et d’un recul durable de la pauvreté (POVNET, 2006).</w:t>
      </w:r>
    </w:p>
  </w:footnote>
  <w:footnote w:id="56">
    <w:p w:rsidR="008C2241" w:rsidRDefault="008C2241">
      <w:pPr>
        <w:pStyle w:val="Notedebasdepage"/>
        <w:jc w:val="both"/>
        <w:rPr>
          <w:rFonts w:ascii="Times New Roman" w:hAnsi="Times New Roman"/>
        </w:rPr>
      </w:pPr>
      <w:r w:rsidRPr="00C15C6F">
        <w:rPr>
          <w:rStyle w:val="Appelnotedebasdep"/>
          <w:rFonts w:ascii="Times New Roman" w:eastAsia="Calibri" w:hAnsi="Times New Roman"/>
          <w:lang w:eastAsia="en-US"/>
        </w:rPr>
        <w:footnoteRef/>
      </w:r>
      <w:r w:rsidRPr="00C15C6F">
        <w:rPr>
          <w:rFonts w:ascii="Times New Roman" w:eastAsia="Calibri" w:hAnsi="Times New Roman"/>
        </w:rPr>
        <w:t>Cette approche constitue une définition intermédiaire aux approches absolue et relative de la croissance pro-pauvre.</w:t>
      </w:r>
      <w:r w:rsidRPr="00832112">
        <w:rPr>
          <w:rFonts w:ascii="Times New Roman" w:hAnsi="Times New Roman"/>
        </w:rPr>
        <w:t xml:space="preserve">  </w:t>
      </w:r>
    </w:p>
  </w:footnote>
  <w:footnote w:id="57">
    <w:p w:rsidR="008C2241" w:rsidRPr="00C824AC" w:rsidRDefault="008C2241" w:rsidP="00324B2E">
      <w:pPr>
        <w:pStyle w:val="Notedebasdepage"/>
        <w:jc w:val="both"/>
        <w:rPr>
          <w:rFonts w:ascii="Times New Roman" w:eastAsia="Calibri" w:hAnsi="Times New Roman"/>
        </w:rPr>
      </w:pPr>
      <w:r w:rsidRPr="00832112">
        <w:rPr>
          <w:rStyle w:val="Appelnotedebasdep"/>
          <w:rFonts w:ascii="Times New Roman" w:hAnsi="Times New Roman"/>
        </w:rPr>
        <w:footnoteRef/>
      </w:r>
      <w:r w:rsidRPr="00832112">
        <w:rPr>
          <w:rFonts w:ascii="Times New Roman" w:eastAsia="Calibri" w:hAnsi="Times New Roman"/>
          <w:lang w:val="en-US"/>
        </w:rPr>
        <w:t xml:space="preserve">Traduction de « Growth poverty curve » (PGC). </w:t>
      </w:r>
      <w:r w:rsidRPr="00832112">
        <w:rPr>
          <w:rFonts w:ascii="Times New Roman" w:eastAsia="Calibri" w:hAnsi="Times New Roman"/>
        </w:rPr>
        <w:t>Elle est établie en référence au théorème d’Atkinson (1987) qui mentionne  qu’un déplacement complet de la courbe de Lorenz généralisée vers le haut</w:t>
      </w:r>
      <w:r>
        <w:rPr>
          <w:rFonts w:ascii="Times New Roman" w:eastAsia="Calibri" w:hAnsi="Times New Roman"/>
        </w:rPr>
        <w:t xml:space="preserve"> </w:t>
      </w:r>
      <w:r w:rsidRPr="00832112">
        <w:rPr>
          <w:rFonts w:ascii="Times New Roman" w:eastAsia="Calibri" w:hAnsi="Times New Roman"/>
        </w:rPr>
        <w:t>(bas) implique sans ambigüité une diminution de la pauvreté. Elle diffère de la Courbe d’Incidence de la Pauvreté de Ravallion et Chen (2003) notamment parce qu’elle considère le taux de croissance du revenu jusqu’au p quantile et non au p</w:t>
      </w:r>
      <w:r w:rsidRPr="00832112">
        <w:rPr>
          <w:rFonts w:ascii="Times New Roman" w:eastAsia="Calibri" w:hAnsi="Times New Roman"/>
          <w:vertAlign w:val="superscript"/>
        </w:rPr>
        <w:t>ieme</w:t>
      </w:r>
      <w:r w:rsidRPr="00832112">
        <w:rPr>
          <w:rFonts w:ascii="Times New Roman" w:eastAsia="Calibri" w:hAnsi="Times New Roman"/>
        </w:rPr>
        <w:t xml:space="preserve"> quantile. L’axiome de monotonicité et les critères pro-pauvres de second ordre y sont  respectés (Bocanfuso et al, 2009). </w:t>
      </w:r>
      <w:r>
        <w:rPr>
          <w:rFonts w:ascii="Times New Roman" w:eastAsia="Calibri" w:hAnsi="Times New Roman"/>
        </w:rPr>
        <w:t>Nous avons aussi présenté en annexe les Courbes d’Incidence de la Pauvreté (CIC) qui convergent vers le même résultat que ceux obtenus à travers les CCP</w:t>
      </w:r>
    </w:p>
  </w:footnote>
  <w:footnote w:id="58">
    <w:p w:rsidR="008C2241" w:rsidRPr="00C15C6F" w:rsidRDefault="008C2241" w:rsidP="00324B2E">
      <w:pPr>
        <w:pStyle w:val="Notedebasdepage"/>
        <w:jc w:val="both"/>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On distingue globalement deux définitions. Celle dite « relative » qui considère que la croissance sera pro-pauvre lorsque le taux de croissance du revenu des individus pauvres sera supérieur à celui des individus non pauvres. Cette définition s’intéresse ainsi aux changements dans la distribution des revenus suite à une période de croissance dans l’économie. La seconde définition dite « absolue », considère que la croissance sera dite pro-pauvre si celle-ci réduit le taux de pauvreté en termes absolus. Contrairement à la première</w:t>
      </w:r>
      <w:r w:rsidRPr="00C15C6F">
        <w:rPr>
          <w:rFonts w:ascii="Times New Roman" w:hAnsi="Times New Roman"/>
        </w:rPr>
        <w:t xml:space="preserve"> définition, celle-ci se concentre sur les changements dans l’indice de pauvreté suite à un épisode de croissance dans l’économie afin de maximiser la réduction de la pauvreté.</w:t>
      </w:r>
      <w:r>
        <w:rPr>
          <w:rFonts w:ascii="Times New Roman" w:hAnsi="Times New Roman"/>
        </w:rPr>
        <w:t xml:space="preserve"> </w:t>
      </w:r>
    </w:p>
  </w:footnote>
  <w:footnote w:id="59">
    <w:p w:rsidR="008C2241" w:rsidRPr="00F74373" w:rsidRDefault="008C2241">
      <w:pPr>
        <w:pStyle w:val="Notedebasdepage"/>
        <w:rPr>
          <w:rFonts w:ascii="Times New Roman" w:hAnsi="Times New Roman"/>
          <w:bCs/>
          <w:color w:val="000000"/>
        </w:rPr>
      </w:pPr>
      <w:r w:rsidRPr="001064B7">
        <w:rPr>
          <w:rFonts w:ascii="Times New Roman" w:hAnsi="Times New Roman"/>
          <w:bCs/>
          <w:color w:val="000000"/>
        </w:rPr>
        <w:footnoteRef/>
      </w:r>
      <w:r w:rsidRPr="001064B7">
        <w:rPr>
          <w:rFonts w:ascii="Times New Roman" w:hAnsi="Times New Roman"/>
          <w:bCs/>
          <w:color w:val="000000"/>
        </w:rPr>
        <w:t>Cf Rapport d’avancement SCRP</w:t>
      </w:r>
      <w:r>
        <w:rPr>
          <w:rFonts w:ascii="Times New Roman" w:hAnsi="Times New Roman"/>
          <w:bCs/>
          <w:color w:val="000000"/>
        </w:rPr>
        <w:t> , 2010</w:t>
      </w:r>
    </w:p>
  </w:footnote>
  <w:footnote w:id="60">
    <w:p w:rsidR="008C2241" w:rsidRPr="006730B0" w:rsidRDefault="008C2241" w:rsidP="00DE5FAD">
      <w:pPr>
        <w:spacing w:line="240" w:lineRule="auto"/>
        <w:rPr>
          <w:rFonts w:ascii="Times New Roman" w:hAnsi="Times New Roman"/>
          <w:sz w:val="20"/>
          <w:szCs w:val="20"/>
        </w:rPr>
      </w:pPr>
      <w:r w:rsidRPr="00832112">
        <w:rPr>
          <w:rStyle w:val="Appelnotedebasdep"/>
          <w:rFonts w:ascii="Times New Roman" w:hAnsi="Times New Roman"/>
          <w:sz w:val="20"/>
          <w:szCs w:val="20"/>
        </w:rPr>
        <w:footnoteRef/>
      </w:r>
      <w:r w:rsidRPr="00832112">
        <w:rPr>
          <w:rFonts w:ascii="Times New Roman" w:hAnsi="Times New Roman"/>
          <w:sz w:val="20"/>
          <w:szCs w:val="20"/>
        </w:rPr>
        <w:t>Ils étudient l’effet de l’augmentation de la productivité totale des facteurs sur l’incidence de la pauvreté dans les PMA, mesurée par le pourcentage de la population vivant avec moins de 1.00 USD par jour.</w:t>
      </w:r>
    </w:p>
  </w:footnote>
  <w:footnote w:id="61">
    <w:p w:rsidR="008C2241" w:rsidRPr="006730B0" w:rsidRDefault="008C2241" w:rsidP="00DE5FAD">
      <w:pPr>
        <w:autoSpaceDE w:val="0"/>
        <w:autoSpaceDN w:val="0"/>
        <w:adjustRightInd w:val="0"/>
        <w:spacing w:line="240" w:lineRule="auto"/>
        <w:rPr>
          <w:rFonts w:ascii="Times New Roman" w:hAnsi="Times New Roman"/>
          <w:sz w:val="20"/>
          <w:szCs w:val="20"/>
        </w:rPr>
      </w:pPr>
      <w:r w:rsidRPr="00832112">
        <w:rPr>
          <w:rStyle w:val="Appelnotedebasdep"/>
          <w:rFonts w:ascii="Times New Roman" w:hAnsi="Times New Roman"/>
          <w:sz w:val="20"/>
          <w:szCs w:val="20"/>
        </w:rPr>
        <w:footnoteRef/>
      </w:r>
      <w:r w:rsidRPr="00832112">
        <w:rPr>
          <w:rFonts w:ascii="Times New Roman" w:hAnsi="Times New Roman"/>
          <w:sz w:val="20"/>
          <w:szCs w:val="20"/>
        </w:rPr>
        <w:t>La productivité globale des facteurs de production  ou </w:t>
      </w:r>
      <w:hyperlink r:id="rId12" w:history="1">
        <w:r w:rsidRPr="00832112">
          <w:rPr>
            <w:rFonts w:ascii="Times New Roman" w:hAnsi="Times New Roman"/>
            <w:sz w:val="20"/>
            <w:szCs w:val="20"/>
          </w:rPr>
          <w:t>productivité</w:t>
        </w:r>
      </w:hyperlink>
      <w:r w:rsidRPr="00832112">
        <w:rPr>
          <w:rFonts w:ascii="Times New Roman" w:hAnsi="Times New Roman"/>
          <w:sz w:val="20"/>
          <w:szCs w:val="20"/>
        </w:rPr>
        <w:t> multifactorielle, est le rapport de la valeur de la </w:t>
      </w:r>
      <w:hyperlink r:id="rId13" w:history="1">
        <w:r w:rsidRPr="00832112">
          <w:rPr>
            <w:rFonts w:ascii="Times New Roman" w:hAnsi="Times New Roman"/>
            <w:sz w:val="20"/>
            <w:szCs w:val="20"/>
          </w:rPr>
          <w:t>production</w:t>
        </w:r>
      </w:hyperlink>
      <w:r w:rsidRPr="00832112">
        <w:rPr>
          <w:rFonts w:ascii="Times New Roman" w:hAnsi="Times New Roman"/>
          <w:sz w:val="20"/>
          <w:szCs w:val="20"/>
        </w:rPr>
        <w:t> (quantité produite) à la valeur totale des moyens de production utilisés (</w:t>
      </w:r>
      <w:hyperlink r:id="rId14" w:history="1">
        <w:r w:rsidRPr="00832112">
          <w:rPr>
            <w:rFonts w:ascii="Times New Roman" w:hAnsi="Times New Roman"/>
            <w:sz w:val="20"/>
            <w:szCs w:val="20"/>
          </w:rPr>
          <w:t>travail</w:t>
        </w:r>
      </w:hyperlink>
      <w:r w:rsidRPr="00832112">
        <w:rPr>
          <w:rFonts w:ascii="Times New Roman" w:hAnsi="Times New Roman"/>
          <w:sz w:val="20"/>
          <w:szCs w:val="20"/>
        </w:rPr>
        <w:t> et </w:t>
      </w:r>
      <w:hyperlink r:id="rId15" w:history="1">
        <w:r w:rsidRPr="00832112">
          <w:rPr>
            <w:rFonts w:ascii="Times New Roman" w:hAnsi="Times New Roman"/>
            <w:sz w:val="20"/>
            <w:szCs w:val="20"/>
          </w:rPr>
          <w:t>capital</w:t>
        </w:r>
      </w:hyperlink>
      <w:r w:rsidRPr="00832112">
        <w:rPr>
          <w:rFonts w:ascii="Times New Roman" w:hAnsi="Times New Roman"/>
          <w:sz w:val="20"/>
          <w:szCs w:val="20"/>
        </w:rPr>
        <w:t>). La productivité du travail et celle du capital sont des productivités partielles mesurées avec l'hypothèse que chacune d'elles peut être isolée de l'autre. La productivité globale des facteurs permet de mesurer l'efficacité de la combinaison productive du travail et du capital. Elle se mesure en général à l'échelle d'un pays ou d'une zone économique. Elle peut également se mesurer en volume (valeurs réelles). Son évolution dans le temps permet d'évaluer l'accroissement relatif de </w:t>
      </w:r>
      <w:hyperlink r:id="rId16" w:history="1">
        <w:r w:rsidRPr="00832112">
          <w:rPr>
            <w:rFonts w:ascii="Times New Roman" w:hAnsi="Times New Roman"/>
            <w:sz w:val="20"/>
            <w:szCs w:val="20"/>
          </w:rPr>
          <w:t>richesse</w:t>
        </w:r>
      </w:hyperlink>
      <w:r w:rsidRPr="00832112">
        <w:rPr>
          <w:rFonts w:ascii="Times New Roman" w:hAnsi="Times New Roman"/>
          <w:sz w:val="20"/>
          <w:szCs w:val="20"/>
        </w:rPr>
        <w:t> (ou "</w:t>
      </w:r>
      <w:hyperlink r:id="rId17" w:history="1">
        <w:r w:rsidRPr="00832112">
          <w:rPr>
            <w:rFonts w:ascii="Times New Roman" w:hAnsi="Times New Roman"/>
            <w:sz w:val="20"/>
            <w:szCs w:val="20"/>
          </w:rPr>
          <w:t>croissance</w:t>
        </w:r>
      </w:hyperlink>
      <w:r w:rsidRPr="00832112">
        <w:rPr>
          <w:rFonts w:ascii="Times New Roman" w:hAnsi="Times New Roman"/>
          <w:sz w:val="20"/>
          <w:szCs w:val="20"/>
        </w:rPr>
        <w:t xml:space="preserve">") autre que celui lié à l'utilisation des facteurs de production, que sont le travail et le capital. Ex : </w:t>
      </w:r>
      <w:hyperlink r:id="rId18" w:history="1">
        <w:r w:rsidRPr="00832112">
          <w:rPr>
            <w:rFonts w:ascii="Times New Roman" w:hAnsi="Times New Roman"/>
            <w:bCs/>
            <w:sz w:val="20"/>
            <w:szCs w:val="20"/>
            <w:lang w:eastAsia="fr-FR"/>
          </w:rPr>
          <w:t>progrès</w:t>
        </w:r>
      </w:hyperlink>
      <w:r w:rsidRPr="00832112">
        <w:rPr>
          <w:rFonts w:ascii="Times New Roman" w:hAnsi="Times New Roman"/>
          <w:bCs/>
          <w:sz w:val="20"/>
          <w:szCs w:val="20"/>
          <w:lang w:eastAsia="fr-FR"/>
        </w:rPr>
        <w:t> technique, modification de la structure de production(fabrication de plus en plus de biens nécessitant moins de capital et de travail), organisation de la production (</w:t>
      </w:r>
      <w:r w:rsidRPr="00832112">
        <w:rPr>
          <w:rFonts w:ascii="Times New Roman" w:hAnsi="Times New Roman"/>
          <w:sz w:val="20"/>
          <w:szCs w:val="20"/>
        </w:rPr>
        <w:t>meilleur</w:t>
      </w:r>
      <w:r>
        <w:rPr>
          <w:rFonts w:ascii="Times New Roman" w:hAnsi="Times New Roman"/>
          <w:sz w:val="20"/>
          <w:szCs w:val="20"/>
        </w:rPr>
        <w:t>e</w:t>
      </w:r>
      <w:r w:rsidRPr="00832112">
        <w:rPr>
          <w:rFonts w:ascii="Times New Roman" w:hAnsi="Times New Roman"/>
          <w:sz w:val="20"/>
          <w:szCs w:val="20"/>
        </w:rPr>
        <w:t xml:space="preserve"> combinaison des facteurs pour plus de production).</w:t>
      </w:r>
    </w:p>
  </w:footnote>
  <w:footnote w:id="62">
    <w:p w:rsidR="008C2241" w:rsidRPr="006730B0" w:rsidRDefault="008C2241">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eastAsia="Calibri" w:hAnsi="Times New Roman"/>
          <w:lang w:eastAsia="en-US"/>
        </w:rPr>
        <w:t>Cependant, elle</w:t>
      </w:r>
      <w:r>
        <w:rPr>
          <w:rFonts w:ascii="Times New Roman" w:eastAsia="Calibri" w:hAnsi="Times New Roman"/>
          <w:lang w:eastAsia="en-US"/>
        </w:rPr>
        <w:t xml:space="preserve"> est</w:t>
      </w:r>
      <w:r w:rsidRPr="00832112">
        <w:rPr>
          <w:rFonts w:ascii="Times New Roman" w:eastAsia="Calibri" w:hAnsi="Times New Roman"/>
          <w:lang w:eastAsia="en-US"/>
        </w:rPr>
        <w:t xml:space="preserve"> tirée par le capital et le travail. La contribution du travail étant plus élevée que celle du capital</w:t>
      </w:r>
    </w:p>
  </w:footnote>
  <w:footnote w:id="63">
    <w:p w:rsidR="008C2241" w:rsidRPr="006730B0" w:rsidRDefault="008C2241" w:rsidP="00DE5FAD">
      <w:pPr>
        <w:autoSpaceDE w:val="0"/>
        <w:autoSpaceDN w:val="0"/>
        <w:adjustRightInd w:val="0"/>
        <w:spacing w:line="240" w:lineRule="auto"/>
        <w:rPr>
          <w:rFonts w:ascii="Times New Roman" w:hAnsi="Times New Roman"/>
          <w:sz w:val="20"/>
          <w:szCs w:val="20"/>
        </w:rPr>
      </w:pPr>
      <w:r w:rsidRPr="00832112">
        <w:rPr>
          <w:rStyle w:val="Appelnotedebasdep"/>
        </w:rPr>
        <w:footnoteRef/>
      </w:r>
      <w:r w:rsidRPr="006730B0">
        <w:rPr>
          <w:rFonts w:ascii="Times New Roman" w:hAnsi="Times New Roman"/>
          <w:sz w:val="20"/>
          <w:szCs w:val="20"/>
        </w:rPr>
        <w:t>A</w:t>
      </w:r>
      <w:r w:rsidRPr="00832112">
        <w:rPr>
          <w:rFonts w:ascii="Times New Roman" w:hAnsi="Times New Roman"/>
          <w:sz w:val="20"/>
          <w:szCs w:val="20"/>
        </w:rPr>
        <w:t xml:space="preserve">griculture, industrie et </w:t>
      </w:r>
      <w:r>
        <w:rPr>
          <w:rFonts w:ascii="Times New Roman" w:hAnsi="Times New Roman"/>
          <w:sz w:val="20"/>
          <w:szCs w:val="20"/>
        </w:rPr>
        <w:t>secteur</w:t>
      </w:r>
      <w:r w:rsidRPr="00832112">
        <w:rPr>
          <w:rFonts w:ascii="Times New Roman" w:hAnsi="Times New Roman"/>
          <w:sz w:val="20"/>
          <w:szCs w:val="20"/>
        </w:rPr>
        <w:t xml:space="preserve"> tertiaire marchand. </w:t>
      </w:r>
    </w:p>
  </w:footnote>
  <w:footnote w:id="64">
    <w:p w:rsidR="008C2241" w:rsidRPr="004A1128" w:rsidRDefault="008C2241" w:rsidP="00DE5FAD">
      <w:pPr>
        <w:autoSpaceDE w:val="0"/>
        <w:autoSpaceDN w:val="0"/>
        <w:adjustRightInd w:val="0"/>
        <w:spacing w:line="240" w:lineRule="auto"/>
        <w:rPr>
          <w:rFonts w:ascii="Times New Roman" w:hAnsi="Times New Roman"/>
          <w:sz w:val="20"/>
          <w:szCs w:val="20"/>
        </w:rPr>
      </w:pPr>
      <w:r w:rsidRPr="00832112">
        <w:rPr>
          <w:rFonts w:ascii="Times New Roman" w:hAnsi="Times New Roman"/>
          <w:sz w:val="20"/>
          <w:szCs w:val="20"/>
          <w:vertAlign w:val="superscript"/>
        </w:rPr>
        <w:footnoteRef/>
      </w:r>
      <w:r w:rsidRPr="00832112">
        <w:rPr>
          <w:rFonts w:ascii="Times New Roman" w:hAnsi="Times New Roman"/>
          <w:sz w:val="20"/>
          <w:szCs w:val="20"/>
        </w:rPr>
        <w:t>L’IDA en action- L’agriculture : un moteur de la croissance et de la lutte contre la pauvreté.. http://www.banquemondiale.org/ida</w:t>
      </w:r>
    </w:p>
  </w:footnote>
  <w:footnote w:id="65">
    <w:p w:rsidR="008C2241" w:rsidRPr="004A1128" w:rsidRDefault="008C2241" w:rsidP="00BF3825">
      <w:pPr>
        <w:spacing w:line="276" w:lineRule="auto"/>
        <w:rPr>
          <w:rFonts w:ascii="Times New Roman" w:hAnsi="Times New Roman"/>
          <w:sz w:val="20"/>
          <w:szCs w:val="20"/>
        </w:rPr>
      </w:pPr>
      <w:r w:rsidRPr="00832112">
        <w:rPr>
          <w:rStyle w:val="Appelnotedebasdep"/>
          <w:rFonts w:ascii="Times New Roman" w:hAnsi="Times New Roman"/>
          <w:sz w:val="20"/>
          <w:szCs w:val="20"/>
        </w:rPr>
        <w:footnoteRef/>
      </w:r>
      <w:r w:rsidRPr="00832112">
        <w:rPr>
          <w:rFonts w:ascii="Times New Roman" w:hAnsi="Times New Roman"/>
          <w:sz w:val="20"/>
          <w:szCs w:val="20"/>
        </w:rPr>
        <w:t>En effet, des études ont montré que dans les pays africains pauvres, chaque dollar de croissance dérivant de la vente des produits agricoles ailleurs que sur le marché local se traduit, sur place, par un second dollar de croissance rurale résultant des dépenses supplémentaires en services, en produits manufacturés locaux, en matériaux de construction et en aliments préparés.</w:t>
      </w:r>
    </w:p>
    <w:p w:rsidR="008C2241" w:rsidRPr="004A1128" w:rsidRDefault="008C2241">
      <w:pPr>
        <w:pStyle w:val="Notedebasdepage"/>
        <w:rPr>
          <w:rFonts w:ascii="Times New Roman" w:hAnsi="Times New Roman"/>
          <w:sz w:val="2"/>
          <w:szCs w:val="2"/>
        </w:rPr>
      </w:pPr>
    </w:p>
  </w:footnote>
  <w:footnote w:id="66">
    <w:p w:rsidR="008C2241" w:rsidRPr="004A1128" w:rsidRDefault="008C2241" w:rsidP="00AF704D">
      <w:pPr>
        <w:pStyle w:val="Notedebasdepage"/>
        <w:rPr>
          <w:rFonts w:ascii="Times New Roman" w:hAnsi="Times New Roman"/>
        </w:rPr>
      </w:pPr>
      <w:r w:rsidRPr="00832112">
        <w:rPr>
          <w:rFonts w:ascii="Times New Roman" w:hAnsi="Times New Roman"/>
          <w:vertAlign w:val="superscript"/>
        </w:rPr>
        <w:footnoteRef/>
      </w:r>
      <w:r w:rsidRPr="00832112">
        <w:rPr>
          <w:rFonts w:ascii="Times New Roman" w:hAnsi="Times New Roman"/>
          <w:vertAlign w:val="superscript"/>
        </w:rPr>
        <w:t xml:space="preserve"> </w:t>
      </w:r>
      <w:r w:rsidRPr="00832112">
        <w:rPr>
          <w:rFonts w:ascii="Times New Roman" w:hAnsi="Times New Roman"/>
        </w:rPr>
        <w:t>Plan Stratégique de Relance du Secteur Agricole (PSRSA), MAEP, 2008</w:t>
      </w:r>
    </w:p>
  </w:footnote>
  <w:footnote w:id="67">
    <w:p w:rsidR="008C2241" w:rsidRPr="00832112" w:rsidRDefault="008C2241" w:rsidP="00832112">
      <w:pPr>
        <w:pStyle w:val="Notedebasdepage"/>
        <w:jc w:val="both"/>
        <w:rPr>
          <w:rFonts w:ascii="Times New Roman" w:hAnsi="Times New Roman"/>
          <w:sz w:val="2"/>
          <w:szCs w:val="2"/>
        </w:rPr>
      </w:pPr>
      <w:r w:rsidRPr="00832112">
        <w:rPr>
          <w:rFonts w:ascii="Times New Roman" w:hAnsi="Times New Roman"/>
          <w:vertAlign w:val="superscript"/>
        </w:rPr>
        <w:footnoteRef/>
      </w:r>
      <w:r w:rsidRPr="004A1128">
        <w:rPr>
          <w:rFonts w:ascii="Times New Roman" w:hAnsi="Times New Roman"/>
        </w:rPr>
        <w:t>Les risques idiosyncratiques ont trait à la probabilité de survenance d’un choc qui touche un seul ménage ou individu, indépendamment des autres tandis que les risques covariants affectent toute la communauté.</w:t>
      </w:r>
    </w:p>
  </w:footnote>
  <w:footnote w:id="68">
    <w:p w:rsidR="008C2241" w:rsidRPr="00C15C6F" w:rsidRDefault="008C2241" w:rsidP="00C15C6F">
      <w:pPr>
        <w:spacing w:line="240" w:lineRule="auto"/>
        <w:rPr>
          <w:rFonts w:ascii="Times New Roman" w:hAnsi="Times New Roman"/>
          <w:sz w:val="20"/>
          <w:szCs w:val="20"/>
        </w:rPr>
      </w:pPr>
      <w:r w:rsidRPr="004A1128">
        <w:rPr>
          <w:rStyle w:val="Appelnotedebasdep"/>
          <w:rFonts w:ascii="Times New Roman" w:hAnsi="Times New Roman"/>
        </w:rPr>
        <w:footnoteRef/>
      </w:r>
      <w:r w:rsidRPr="00C15C6F">
        <w:rPr>
          <w:rFonts w:ascii="Times New Roman" w:hAnsi="Times New Roman"/>
          <w:sz w:val="20"/>
          <w:szCs w:val="20"/>
        </w:rPr>
        <w:t>EMICoV 2010 intègre le module subjectif sur la survenue des chocs au sein des ménages proposé par AGVSAN 2008. Au regard du caractère rétrospectif  des questions sur le choc, l’analyse des résultats se réfère à l’année 2009. Il convient de noter que l’Analyse Globale  de la Vulnérabilité, de la Sécurité Alimentaire et  de la Nutrition  (AGVSAN) a été conduite afin de comprendre les nouvelles dimensions de l’insécurité alimentaire, de la malnutrition et des stratégies de survie des ménages en vu d’une meilleure définition et planification des interventions ou activités à mener. Elle est basée sur une analyse de données quantitatives récoltées en novembre et décembre 2008 auprès de 4176 ménages ruraux et urbains, et d’informateurs clés de 348 villages et quartiers da</w:t>
      </w:r>
      <w:r>
        <w:rPr>
          <w:rFonts w:ascii="Times New Roman" w:hAnsi="Times New Roman"/>
          <w:sz w:val="20"/>
          <w:szCs w:val="20"/>
        </w:rPr>
        <w:t>ns les 12 départements du pays</w:t>
      </w:r>
      <w:r w:rsidRPr="00EC2FEF">
        <w:rPr>
          <w:rFonts w:ascii="Times New Roman" w:hAnsi="Times New Roman"/>
          <w:sz w:val="20"/>
          <w:szCs w:val="20"/>
        </w:rPr>
        <w:t>.</w:t>
      </w:r>
      <w:r w:rsidRPr="00C15C6F">
        <w:rPr>
          <w:rFonts w:ascii="Times New Roman" w:hAnsi="Times New Roman"/>
          <w:sz w:val="20"/>
          <w:szCs w:val="20"/>
        </w:rPr>
        <w:t xml:space="preserve"> Elle a été réalisée, notamment avec l’appui technique du Programme alimentaire mondial des Nations Unies (PAM),  du Fonds des Nations Unies pour l’Enfance (UNICEF). Pour apprécier l’exposition aux chocs, il est demandé aux ménages de citer les problèmes/chocs</w:t>
      </w:r>
      <w:r>
        <w:rPr>
          <w:rFonts w:ascii="Times New Roman" w:hAnsi="Times New Roman"/>
        </w:rPr>
        <w:t xml:space="preserve"> </w:t>
      </w:r>
      <w:r>
        <w:rPr>
          <w:rFonts w:ascii="Times New Roman" w:hAnsi="Times New Roman"/>
          <w:sz w:val="24"/>
          <w:szCs w:val="24"/>
        </w:rPr>
        <w:t xml:space="preserve"> </w:t>
      </w:r>
      <w:r w:rsidRPr="00C15C6F">
        <w:rPr>
          <w:rFonts w:ascii="Times New Roman" w:hAnsi="Times New Roman"/>
          <w:sz w:val="20"/>
          <w:szCs w:val="20"/>
        </w:rPr>
        <w:t>(maximum 3 sur une liste de 26)  les plus graves qui ont affecté négativement leurs  moyens d’existence pendant les douze derniers mois.</w:t>
      </w:r>
    </w:p>
    <w:p w:rsidR="008C2241" w:rsidRDefault="008C2241" w:rsidP="00832112">
      <w:pPr>
        <w:pStyle w:val="Notedebasdepage"/>
        <w:jc w:val="both"/>
        <w:rPr>
          <w:rFonts w:ascii="Times New Roman" w:hAnsi="Times New Roman"/>
        </w:rPr>
      </w:pPr>
    </w:p>
    <w:p w:rsidR="008C2241" w:rsidRDefault="008C2241" w:rsidP="00832112">
      <w:pPr>
        <w:pStyle w:val="Notedebasdepage"/>
        <w:jc w:val="both"/>
        <w:rPr>
          <w:rFonts w:ascii="Times New Roman" w:hAnsi="Times New Roman"/>
        </w:rPr>
      </w:pPr>
    </w:p>
  </w:footnote>
  <w:footnote w:id="69">
    <w:p w:rsidR="008C2241" w:rsidRDefault="008C2241">
      <w:pPr>
        <w:pStyle w:val="Notedebasdepage"/>
      </w:pPr>
      <w:r>
        <w:rPr>
          <w:rStyle w:val="Appelnotedebasdep"/>
        </w:rPr>
        <w:footnoteRef/>
      </w:r>
      <w:r w:rsidRPr="001064B7">
        <w:rPr>
          <w:rFonts w:ascii="Times New Roman" w:hAnsi="Times New Roman"/>
          <w:sz w:val="16"/>
          <w:szCs w:val="16"/>
        </w:rPr>
        <w:t>Respectivement l’inondation et la  sécheresse</w:t>
      </w:r>
    </w:p>
  </w:footnote>
  <w:footnote w:id="70">
    <w:p w:rsidR="008C2241" w:rsidRPr="00B13E6D" w:rsidRDefault="008C2241" w:rsidP="00ED3BCD">
      <w:pPr>
        <w:pStyle w:val="Notedebasdepage"/>
        <w:jc w:val="both"/>
        <w:rPr>
          <w:rFonts w:ascii="Times New Roman" w:hAnsi="Times New Roman"/>
        </w:rPr>
      </w:pPr>
      <w:r w:rsidRPr="00B13E6D">
        <w:rPr>
          <w:rStyle w:val="Appelnotedebasdep"/>
          <w:rFonts w:ascii="Times New Roman" w:hAnsi="Times New Roman"/>
        </w:rPr>
        <w:footnoteRef/>
      </w:r>
      <w:r w:rsidRPr="00B13E6D">
        <w:rPr>
          <w:rFonts w:ascii="Times New Roman" w:hAnsi="Times New Roman"/>
        </w:rPr>
        <w:t xml:space="preserve"> Cela résulte du fait </w:t>
      </w:r>
      <w:r>
        <w:rPr>
          <w:rFonts w:ascii="Times New Roman" w:hAnsi="Times New Roman"/>
        </w:rPr>
        <w:t xml:space="preserve">que </w:t>
      </w:r>
      <w:r w:rsidRPr="00B13E6D">
        <w:rPr>
          <w:rFonts w:ascii="Times New Roman" w:hAnsi="Times New Roman"/>
        </w:rPr>
        <w:t>les pourcentages cumulés pour les trois premières stratégies sont faibles, signe que les stratégies les moins sollicitées seront adoptées par un nombre relativement important de ménages.</w:t>
      </w:r>
    </w:p>
  </w:footnote>
  <w:footnote w:id="71">
    <w:p w:rsidR="008C2241" w:rsidRDefault="008C2241" w:rsidP="00C15C6F">
      <w:pPr>
        <w:pStyle w:val="Notedebasdepage"/>
        <w:jc w:val="both"/>
      </w:pPr>
      <w:r w:rsidRPr="00943D66">
        <w:rPr>
          <w:rStyle w:val="Appelnotedebasdep"/>
        </w:rPr>
        <w:footnoteRef/>
      </w:r>
      <w:r w:rsidRPr="00943D66">
        <w:t xml:space="preserve"> </w:t>
      </w:r>
      <w:r w:rsidRPr="00C15C6F">
        <w:rPr>
          <w:rFonts w:ascii="Times New Roman" w:hAnsi="Times New Roman"/>
        </w:rPr>
        <w:t xml:space="preserve">Ainsi, un individu ou un ménage aura un niveau de vulnérabilité élevé si son stock de capacités est trop faible pour lui permettre de réaliser les ajustements nécessaires pour protéger son bien-être. En revanche, son niveau de vulnérabilité serait déclaré faible  si, face aux mêmes risques, son stock de capacités lui permet de mieux résister au choc. </w:t>
      </w:r>
    </w:p>
  </w:footnote>
  <w:footnote w:id="72">
    <w:p w:rsidR="008C2241" w:rsidRPr="00390A78" w:rsidRDefault="008C2241" w:rsidP="00ED3BCD">
      <w:pPr>
        <w:pStyle w:val="Notedebasdepage"/>
        <w:jc w:val="both"/>
        <w:rPr>
          <w:rFonts w:ascii="Times New Roman" w:hAnsi="Times New Roman"/>
        </w:rPr>
      </w:pPr>
      <w:r w:rsidRPr="00390A78">
        <w:rPr>
          <w:rStyle w:val="Appelnotedebasdep"/>
          <w:rFonts w:ascii="Times New Roman" w:hAnsi="Times New Roman"/>
        </w:rPr>
        <w:footnoteRef/>
      </w:r>
      <w:r w:rsidRPr="00832112">
        <w:rPr>
          <w:rFonts w:ascii="Times New Roman" w:hAnsi="Times New Roman"/>
        </w:rPr>
        <w:t>Cela résulte du fait</w:t>
      </w:r>
      <w:r>
        <w:rPr>
          <w:rFonts w:ascii="Times New Roman" w:hAnsi="Times New Roman"/>
        </w:rPr>
        <w:t xml:space="preserve"> que</w:t>
      </w:r>
      <w:r w:rsidRPr="00832112">
        <w:rPr>
          <w:rFonts w:ascii="Times New Roman" w:hAnsi="Times New Roman"/>
        </w:rPr>
        <w:t xml:space="preserve"> les pourcentages cumulés pour les trois premières stratégies sont faibles, signe que les stratégies les moins sollicitées seront adoptées par un nombre relativement important de ménages.</w:t>
      </w:r>
    </w:p>
  </w:footnote>
  <w:footnote w:id="73">
    <w:p w:rsidR="008C2241" w:rsidRDefault="008C2241" w:rsidP="002E3BBE">
      <w:pPr>
        <w:pStyle w:val="Notedebasdepage"/>
        <w:jc w:val="both"/>
      </w:pPr>
      <w:r>
        <w:rPr>
          <w:rStyle w:val="Appelnotedebasdep"/>
        </w:rPr>
        <w:footnoteRef/>
      </w:r>
      <w:r w:rsidRPr="00CF5717">
        <w:rPr>
          <w:rFonts w:ascii="Times New Roman" w:hAnsi="Times New Roman"/>
        </w:rPr>
        <w:t>Toutefois, s’il est à noter qu’une ventilation sectorielle des dépenses publiques est possible, il n’est pas évident de faire cet exercice par région, par secteur, par sexe et par groupe démographique.</w:t>
      </w:r>
    </w:p>
  </w:footnote>
  <w:footnote w:id="74">
    <w:p w:rsidR="008C2241" w:rsidRPr="00970F28" w:rsidRDefault="008C2241" w:rsidP="002E3BBE">
      <w:pPr>
        <w:pStyle w:val="Notedebasdepage"/>
        <w:jc w:val="both"/>
        <w:rPr>
          <w:rFonts w:ascii="Times New Roman" w:hAnsi="Times New Roman"/>
          <w:b/>
        </w:rPr>
      </w:pPr>
      <w:r w:rsidRPr="00544FD4">
        <w:rPr>
          <w:rStyle w:val="Appelnotedebasdep"/>
          <w:rFonts w:ascii="Times New Roman" w:hAnsi="Times New Roman"/>
        </w:rPr>
        <w:footnoteRef/>
      </w:r>
      <w:r w:rsidRPr="00544FD4">
        <w:rPr>
          <w:rFonts w:ascii="Times New Roman" w:hAnsi="Times New Roman"/>
        </w:rPr>
        <w:t>FMI</w:t>
      </w:r>
      <w:r>
        <w:rPr>
          <w:rFonts w:ascii="Times New Roman" w:hAnsi="Times New Roman"/>
        </w:rPr>
        <w:t xml:space="preserve"> (</w:t>
      </w:r>
      <w:r w:rsidRPr="007A72BB">
        <w:rPr>
          <w:rStyle w:val="TCar"/>
          <w:rFonts w:ascii="Times New Roman" w:eastAsia="Calibri" w:hAnsi="Times New Roman"/>
          <w:b w:val="0"/>
          <w:sz w:val="20"/>
          <w:szCs w:val="20"/>
        </w:rPr>
        <w:t>2010</w:t>
      </w:r>
      <w:r>
        <w:rPr>
          <w:rStyle w:val="TCar"/>
          <w:rFonts w:ascii="Times New Roman" w:eastAsia="Calibri" w:hAnsi="Times New Roman"/>
          <w:sz w:val="20"/>
          <w:szCs w:val="20"/>
        </w:rPr>
        <w:t>)</w:t>
      </w:r>
      <w:r w:rsidRPr="00544FD4">
        <w:rPr>
          <w:rFonts w:ascii="Times New Roman" w:hAnsi="Times New Roman"/>
        </w:rPr>
        <w:t>, Consultations au titre de l’Article IV : « </w:t>
      </w:r>
      <w:r w:rsidRPr="001064B7">
        <w:rPr>
          <w:rFonts w:ascii="Times New Roman" w:hAnsi="Times New Roman"/>
          <w:b/>
        </w:rPr>
        <w:t>L</w:t>
      </w:r>
      <w:r w:rsidRPr="001064B7">
        <w:rPr>
          <w:rStyle w:val="TCar"/>
          <w:rFonts w:ascii="Times New Roman" w:eastAsia="Calibri" w:hAnsi="Times New Roman"/>
          <w:b w:val="0"/>
          <w:sz w:val="20"/>
          <w:szCs w:val="20"/>
        </w:rPr>
        <w:t>a politique salariale et la viabilité des finances publiques au Bénin ».</w:t>
      </w:r>
    </w:p>
  </w:footnote>
  <w:footnote w:id="75">
    <w:p w:rsidR="008C2241" w:rsidRPr="00C9734E" w:rsidRDefault="008C2241" w:rsidP="00DA7494">
      <w:pPr>
        <w:pStyle w:val="Notedebasdepage"/>
        <w:ind w:left="142" w:hanging="142"/>
        <w:jc w:val="both"/>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Les dotations de fonctionnement incluent la part de la taxe de voirie et sa subvention de substitution versées aux communes. La hausse substantielle de la subvention de fonctionnement entre 2008 et 2009 s’explique par l’augmentation de 3,5 à 6,3 milliards de ces deux transferts.</w:t>
      </w:r>
    </w:p>
  </w:footnote>
  <w:footnote w:id="76">
    <w:p w:rsidR="008C2241" w:rsidRPr="00C9734E" w:rsidRDefault="008C2241" w:rsidP="008A05C0">
      <w:pPr>
        <w:pStyle w:val="Notedebasdepage"/>
        <w:jc w:val="both"/>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En 2009, la part des dépenses d’investissement dans les dépenses totales des communes serait toutefois estimée à 45,6 %.</w:t>
      </w:r>
    </w:p>
  </w:footnote>
  <w:footnote w:id="77">
    <w:p w:rsidR="008C2241" w:rsidRPr="00036F9B" w:rsidRDefault="008C2241" w:rsidP="002E3BBE">
      <w:pPr>
        <w:pStyle w:val="Notedebasdepage"/>
        <w:rPr>
          <w:rFonts w:ascii="Times New Roman" w:hAnsi="Times New Roman"/>
        </w:rPr>
      </w:pPr>
      <w:r w:rsidRPr="00036F9B">
        <w:rPr>
          <w:rStyle w:val="Appelnotedebasdep"/>
          <w:rFonts w:ascii="Times New Roman" w:hAnsi="Times New Roman"/>
        </w:rPr>
        <w:footnoteRef/>
      </w:r>
      <w:r w:rsidRPr="00036F9B">
        <w:rPr>
          <w:rFonts w:ascii="Times New Roman" w:hAnsi="Times New Roman"/>
        </w:rPr>
        <w:t xml:space="preserve"> Externalités de la santé et de l’éducation et bien-être : un modèle d’équilibre général calculable appliqué au Bénin, l'Actualité économique, Revue d'analyse économique, vol. 74, n° 3, septembre 1998.</w:t>
      </w:r>
    </w:p>
  </w:footnote>
  <w:footnote w:id="78">
    <w:p w:rsidR="008C2241" w:rsidRPr="00036F9B" w:rsidRDefault="008C2241" w:rsidP="004438B3">
      <w:pPr>
        <w:pStyle w:val="Notedebasdepage"/>
        <w:jc w:val="both"/>
        <w:rPr>
          <w:rFonts w:ascii="Times New Roman" w:hAnsi="Times New Roman"/>
        </w:rPr>
      </w:pPr>
      <w:r w:rsidRPr="00036F9B">
        <w:rPr>
          <w:rStyle w:val="Appelnotedebasdep"/>
          <w:rFonts w:ascii="Times New Roman" w:hAnsi="Times New Roman"/>
        </w:rPr>
        <w:footnoteRef/>
      </w:r>
      <w:r w:rsidRPr="00036F9B">
        <w:rPr>
          <w:rFonts w:ascii="Times New Roman" w:hAnsi="Times New Roman"/>
        </w:rPr>
        <w:t xml:space="preserve"> MAMS : « Maquette for MDG simulations ». Ce modèle a été conçu par des économistes de la Banque Mondiale (voir Hans Lofgren et Carolina Diaz Bonilla (2008), « MAMS : an Economy-wide model for Development</w:t>
      </w:r>
      <w:r>
        <w:rPr>
          <w:rFonts w:ascii="Times New Roman" w:hAnsi="Times New Roman"/>
        </w:rPr>
        <w:t xml:space="preserve"> </w:t>
      </w:r>
      <w:r w:rsidRPr="00036F9B">
        <w:rPr>
          <w:rFonts w:ascii="Times New Roman" w:hAnsi="Times New Roman"/>
        </w:rPr>
        <w:t>Strategy</w:t>
      </w:r>
      <w:r>
        <w:rPr>
          <w:rFonts w:ascii="Times New Roman" w:hAnsi="Times New Roman"/>
        </w:rPr>
        <w:t xml:space="preserve"> </w:t>
      </w:r>
      <w:r w:rsidRPr="00036F9B">
        <w:rPr>
          <w:rFonts w:ascii="Times New Roman" w:hAnsi="Times New Roman"/>
        </w:rPr>
        <w:t>Analysis »).</w:t>
      </w:r>
    </w:p>
  </w:footnote>
  <w:footnote w:id="79">
    <w:p w:rsidR="008C2241" w:rsidRPr="007D7D4E" w:rsidRDefault="008C2241" w:rsidP="00401A60">
      <w:pPr>
        <w:pStyle w:val="Notedebasdepage"/>
        <w:rPr>
          <w:rFonts w:ascii="Times New Roman" w:hAnsi="Times New Roman"/>
          <w:sz w:val="18"/>
          <w:szCs w:val="18"/>
        </w:rPr>
      </w:pPr>
      <w:r w:rsidRPr="00E22B06">
        <w:rPr>
          <w:rFonts w:ascii="Times New Roman" w:eastAsia="Calibri" w:hAnsi="Times New Roman"/>
          <w:lang w:eastAsia="en-US"/>
        </w:rPr>
        <w:footnoteRef/>
      </w:r>
      <w:r w:rsidRPr="007D7D4E">
        <w:rPr>
          <w:rFonts w:ascii="Times New Roman" w:eastAsia="Calibri" w:hAnsi="Times New Roman"/>
          <w:sz w:val="18"/>
          <w:szCs w:val="18"/>
          <w:lang w:eastAsia="en-US"/>
        </w:rPr>
        <w:t>Rapport sur le développement, 2013</w:t>
      </w:r>
    </w:p>
  </w:footnote>
  <w:footnote w:id="80">
    <w:p w:rsidR="008C2241" w:rsidRPr="007D7D4E" w:rsidRDefault="008C2241" w:rsidP="00401A60">
      <w:pPr>
        <w:spacing w:line="240" w:lineRule="auto"/>
        <w:rPr>
          <w:rFonts w:ascii="Times New Roman" w:hAnsi="Times New Roman"/>
          <w:sz w:val="18"/>
          <w:szCs w:val="18"/>
        </w:rPr>
      </w:pPr>
      <w:r w:rsidRPr="007D7D4E">
        <w:rPr>
          <w:rStyle w:val="Appelnotedebasdep"/>
          <w:rFonts w:ascii="Times New Roman" w:hAnsi="Times New Roman"/>
          <w:sz w:val="18"/>
          <w:szCs w:val="18"/>
        </w:rPr>
        <w:footnoteRef/>
      </w:r>
      <w:r w:rsidRPr="007D7D4E">
        <w:rPr>
          <w:rFonts w:ascii="Times New Roman" w:hAnsi="Times New Roman"/>
          <w:sz w:val="18"/>
          <w:szCs w:val="18"/>
        </w:rPr>
        <w:t xml:space="preserve"> Tous les tableaux de cette partie concernent la population âgée de 15-64 ans, sauf le tableau 11 qui concerne les jeunes de 15-34 ans.</w:t>
      </w:r>
    </w:p>
    <w:p w:rsidR="008C2241" w:rsidRDefault="008C2241" w:rsidP="00401A60">
      <w:pPr>
        <w:pStyle w:val="Notedebasdepage"/>
      </w:pPr>
    </w:p>
  </w:footnote>
  <w:footnote w:id="81">
    <w:p w:rsidR="008C2241" w:rsidRDefault="008C2241" w:rsidP="002938BB">
      <w:pPr>
        <w:pStyle w:val="Notedebasdepage"/>
      </w:pPr>
      <w:r>
        <w:rPr>
          <w:rStyle w:val="Appelnotedebasdep"/>
        </w:rPr>
        <w:footnoteRef/>
      </w:r>
      <w:r w:rsidRPr="001064B7">
        <w:rPr>
          <w:rFonts w:ascii="Times New Roman" w:hAnsi="Times New Roman"/>
        </w:rPr>
        <w:t>BIT (1998), « La mesure du sous-emploi », Rapport I de la 16è Conférence Internationale des Statisticiens du Travail (CIST), Genève 6-15 octobre 1998.</w:t>
      </w:r>
    </w:p>
  </w:footnote>
  <w:footnote w:id="82">
    <w:p w:rsidR="008C2241" w:rsidRPr="003104FA" w:rsidRDefault="008C2241" w:rsidP="00401A60">
      <w:pPr>
        <w:pStyle w:val="Notedebasdepage"/>
        <w:rPr>
          <w:rFonts w:ascii="Times New Roman" w:hAnsi="Times New Roman"/>
        </w:rPr>
      </w:pPr>
      <w:r w:rsidRPr="001064B7">
        <w:rPr>
          <w:rStyle w:val="Appelnotedebasdep"/>
          <w:rFonts w:ascii="Times New Roman" w:hAnsi="Times New Roman"/>
        </w:rPr>
        <w:footnoteRef/>
      </w:r>
      <w:r w:rsidRPr="001064B7">
        <w:rPr>
          <w:rFonts w:ascii="Times New Roman" w:hAnsi="Times New Roman"/>
        </w:rPr>
        <w:t xml:space="preserve"> INSAE (2012), « EMICoV, 2è édition, 2011 : Principaux indicateurs », INSAE, MCA, UNDP, DANIDA, GIZ, 117p.</w:t>
      </w:r>
    </w:p>
  </w:footnote>
  <w:footnote w:id="83">
    <w:p w:rsidR="008C2241" w:rsidRPr="00933FBA" w:rsidRDefault="008C2241" w:rsidP="006A41A6">
      <w:pPr>
        <w:pStyle w:val="Notedebasdepage"/>
        <w:rPr>
          <w:rFonts w:ascii="Times New Roman" w:hAnsi="Times New Roman"/>
        </w:rPr>
      </w:pPr>
      <w:r w:rsidRPr="00933FBA">
        <w:rPr>
          <w:rStyle w:val="Appelnotedebasdep"/>
          <w:rFonts w:ascii="Times New Roman" w:hAnsi="Times New Roman"/>
        </w:rPr>
        <w:footnoteRef/>
      </w:r>
      <w:r w:rsidRPr="00933FBA">
        <w:rPr>
          <w:rFonts w:ascii="Times New Roman" w:hAnsi="Times New Roman"/>
        </w:rPr>
        <w:t xml:space="preserve">Il s’agit des branches d’activité recodées suivant les grands </w:t>
      </w:r>
    </w:p>
  </w:footnote>
  <w:footnote w:id="84">
    <w:p w:rsidR="008C2241" w:rsidRPr="00170BC9" w:rsidRDefault="008C2241" w:rsidP="00401A60">
      <w:pPr>
        <w:pStyle w:val="Commentaire"/>
        <w:rPr>
          <w:rFonts w:ascii="Times New Roman" w:eastAsia="SimSun" w:hAnsi="Times New Roman" w:cs="Mangal"/>
          <w:kern w:val="3"/>
          <w:sz w:val="22"/>
          <w:szCs w:val="22"/>
          <w:lang w:eastAsia="zh-CN" w:bidi="hi-IN"/>
        </w:rPr>
      </w:pPr>
      <w:r>
        <w:rPr>
          <w:rStyle w:val="Appelnotedebasdep"/>
        </w:rPr>
        <w:footnoteRef/>
      </w:r>
      <w:r w:rsidRPr="00BD0B1E">
        <w:rPr>
          <w:rFonts w:ascii="Times New Roman" w:eastAsia="SimSun" w:hAnsi="Times New Roman" w:cs="Mangal"/>
          <w:kern w:val="3"/>
          <w:lang w:eastAsia="zh-CN" w:bidi="hi-IN"/>
        </w:rPr>
        <w:t>Le sous-emploi visible se réfère au nombre d’heures de travail comparé au nombre d’heures réglementaire de travail, tandis que le sous-emploi invisible se réfère au revenu de l’activité principale comparé au salaire minimum.</w:t>
      </w:r>
    </w:p>
    <w:p w:rsidR="008C2241" w:rsidRDefault="008C2241" w:rsidP="00401A60">
      <w:pPr>
        <w:pStyle w:val="Notedebasdepage"/>
      </w:pPr>
    </w:p>
  </w:footnote>
  <w:footnote w:id="85">
    <w:p w:rsidR="008C2241" w:rsidRDefault="008C2241" w:rsidP="00977A02">
      <w:pPr>
        <w:pStyle w:val="Commentaire"/>
      </w:pPr>
      <w:r>
        <w:rPr>
          <w:rStyle w:val="Appelnotedebasdep"/>
        </w:rPr>
        <w:footnoteRef/>
      </w:r>
      <w:r>
        <w:rPr>
          <w:rFonts w:ascii="Times New Roman" w:hAnsi="Times New Roman"/>
        </w:rPr>
        <w:t>Il s’agit du</w:t>
      </w:r>
      <w:r w:rsidRPr="00956782">
        <w:rPr>
          <w:rFonts w:ascii="Times New Roman" w:hAnsi="Times New Roman"/>
        </w:rPr>
        <w:t xml:space="preserve"> pourcentage de chefs de ménages travaillant dans </w:t>
      </w:r>
      <w:r>
        <w:rPr>
          <w:rFonts w:ascii="Times New Roman" w:hAnsi="Times New Roman"/>
        </w:rPr>
        <w:t>les modalités des catégories considérées. Par exemple dans le secteur agricole, c</w:t>
      </w:r>
      <w:r w:rsidRPr="00956782">
        <w:rPr>
          <w:rFonts w:ascii="Times New Roman" w:hAnsi="Times New Roman"/>
        </w:rPr>
        <w:t xml:space="preserve">e taux indique que la plupart des chefs de ménage sont dans le secteur agricole. </w:t>
      </w:r>
    </w:p>
    <w:p w:rsidR="008C2241" w:rsidRPr="00956782" w:rsidRDefault="008C2241" w:rsidP="00977A02">
      <w:pPr>
        <w:pStyle w:val="Notedebasdepage"/>
      </w:pPr>
    </w:p>
  </w:footnote>
  <w:footnote w:id="86">
    <w:p w:rsidR="008C2241" w:rsidRDefault="008C2241" w:rsidP="00E00AD9">
      <w:pPr>
        <w:spacing w:line="276" w:lineRule="auto"/>
        <w:rPr>
          <w:sz w:val="18"/>
          <w:szCs w:val="18"/>
        </w:rPr>
      </w:pPr>
      <w:r>
        <w:rPr>
          <w:rStyle w:val="Appelnotedebasdep"/>
        </w:rPr>
        <w:footnoteRef/>
      </w:r>
      <w:r w:rsidRPr="001064B7">
        <w:rPr>
          <w:rFonts w:ascii="Times New Roman" w:eastAsia="Times New Roman" w:hAnsi="Times New Roman"/>
          <w:sz w:val="18"/>
          <w:szCs w:val="18"/>
          <w:lang w:eastAsia="fr-FR"/>
        </w:rPr>
        <w:t>Les performances mesurent l’accès des femmes au pouvoir social, économique et politique.  Les indicateurs sont basés sur l’indice de parité. Lorsque cet indice est égal à 1, les femmes ont un accès égal au pouvoir comme les hommes.</w:t>
      </w:r>
    </w:p>
  </w:footnote>
  <w:footnote w:id="87">
    <w:p w:rsidR="008C2241" w:rsidRPr="003110C9" w:rsidRDefault="008C2241">
      <w:pPr>
        <w:pStyle w:val="Notedebasdepage"/>
      </w:pPr>
      <w:r>
        <w:rPr>
          <w:rStyle w:val="Appelnotedebasdep"/>
        </w:rPr>
        <w:footnoteRef/>
      </w:r>
      <w:r>
        <w:t xml:space="preserve"> Une partie de données primaires utilisées proviennent de l’année 2010</w:t>
      </w:r>
    </w:p>
  </w:footnote>
  <w:footnote w:id="88">
    <w:p w:rsidR="008C2241" w:rsidRDefault="008C2241" w:rsidP="00E00AD9">
      <w:pPr>
        <w:pStyle w:val="Notedebasdepage"/>
        <w:jc w:val="both"/>
        <w:rPr>
          <w:rFonts w:ascii="Times New Roman" w:hAnsi="Times New Roman"/>
        </w:rPr>
      </w:pPr>
      <w:r w:rsidRPr="001064B7">
        <w:rPr>
          <w:rStyle w:val="Appelnotedebasdep"/>
          <w:rFonts w:ascii="Times New Roman" w:hAnsi="Times New Roman"/>
          <w:sz w:val="18"/>
          <w:szCs w:val="18"/>
        </w:rPr>
        <w:footnoteRef/>
      </w:r>
      <w:r w:rsidRPr="001064B7">
        <w:rPr>
          <w:rFonts w:ascii="Times New Roman" w:hAnsi="Times New Roman"/>
          <w:sz w:val="18"/>
          <w:szCs w:val="18"/>
        </w:rPr>
        <w:t>Le pouvoir social se réfère aux capacités (éducation, santé), tandis que le pouvoir économique et le pouvoir politique se réfèrent respectivement aux opportunités et pouvoir d’action</w:t>
      </w:r>
      <w:r w:rsidRPr="001064B7">
        <w:rPr>
          <w:rFonts w:ascii="Times New Roman" w:hAnsi="Times New Roman"/>
        </w:rPr>
        <w:t xml:space="preserve">. </w:t>
      </w:r>
    </w:p>
  </w:footnote>
  <w:footnote w:id="89">
    <w:p w:rsidR="008C2241" w:rsidRPr="00F012EC" w:rsidRDefault="008C2241" w:rsidP="00E00AD9">
      <w:pPr>
        <w:spacing w:line="276" w:lineRule="auto"/>
        <w:rPr>
          <w:rFonts w:ascii="Times New Roman" w:hAnsi="Times New Roman"/>
          <w:sz w:val="24"/>
          <w:szCs w:val="24"/>
        </w:rPr>
      </w:pPr>
      <w:r>
        <w:rPr>
          <w:rStyle w:val="Appelnotedebasdep"/>
        </w:rPr>
        <w:footnoteRef/>
      </w:r>
      <w:r w:rsidRPr="001064B7">
        <w:rPr>
          <w:rFonts w:ascii="Times New Roman" w:hAnsi="Times New Roman"/>
          <w:sz w:val="18"/>
          <w:szCs w:val="18"/>
        </w:rPr>
        <w:t xml:space="preserve">Des études révèlent que, par exemple, les employeurs peuvent préférer des travailleurs masculins en invoquant que les femmes ont un attachement moindre au marché du travail, sont plus souvent absentes et doivent être plus souvent remplacées, ou au contraire préférer employer des femmes (surtout dans les secteurs de l’exportation hautement concurrentiels à forte intensité de </w:t>
      </w:r>
      <w:r>
        <w:rPr>
          <w:rFonts w:ascii="Times New Roman" w:hAnsi="Times New Roman"/>
          <w:sz w:val="18"/>
          <w:szCs w:val="18"/>
        </w:rPr>
        <w:t>main-d’œuvre</w:t>
      </w:r>
      <w:r w:rsidRPr="001064B7">
        <w:rPr>
          <w:rFonts w:ascii="Times New Roman" w:hAnsi="Times New Roman"/>
          <w:sz w:val="18"/>
          <w:szCs w:val="18"/>
        </w:rPr>
        <w:t>) parce qu’elles causent moins de problèmes ou qu’elles acceptent un salaire moindre puisqu’ils pensent qu’elles sont une source secondaire de revenus ou qu’elles travaillent uniquement pour s’acheter du « rouge à lèvres »(DFID, CRDI et la  Fondation Hewlett, 2013).</w:t>
      </w:r>
    </w:p>
    <w:p w:rsidR="008C2241" w:rsidRDefault="008C2241" w:rsidP="00E00AD9">
      <w:pPr>
        <w:pStyle w:val="Notedebasdepage"/>
      </w:pPr>
    </w:p>
  </w:footnote>
  <w:footnote w:id="90">
    <w:p w:rsidR="008C2241" w:rsidRDefault="008C2241" w:rsidP="003232C4">
      <w:pPr>
        <w:pStyle w:val="Notedebasdepage"/>
      </w:pPr>
      <w:r>
        <w:rPr>
          <w:rStyle w:val="Appelnotedebasdep"/>
          <w:rFonts w:eastAsia="Calibri"/>
        </w:rPr>
        <w:footnoteRef/>
      </w:r>
      <w:r w:rsidRPr="006646F8">
        <w:rPr>
          <w:rFonts w:ascii="Times New Roman" w:hAnsi="Times New Roman"/>
        </w:rPr>
        <w:t>Habituellement le panier est valorisé au niveau des strates.</w:t>
      </w:r>
    </w:p>
  </w:footnote>
  <w:footnote w:id="91">
    <w:p w:rsidR="008C2241" w:rsidRDefault="008C2241" w:rsidP="003232C4">
      <w:pPr>
        <w:spacing w:line="240" w:lineRule="auto"/>
        <w:rPr>
          <w:rFonts w:ascii="Times New Roman" w:hAnsi="Times New Roman"/>
          <w:sz w:val="24"/>
          <w:szCs w:val="24"/>
          <w:highlight w:val="yellow"/>
        </w:rPr>
      </w:pPr>
      <w:r>
        <w:rPr>
          <w:rStyle w:val="Appelnotedebasdep"/>
        </w:rPr>
        <w:footnoteRef/>
      </w:r>
      <w:r w:rsidRPr="001064B7">
        <w:rPr>
          <w:rFonts w:ascii="Times New Roman" w:hAnsi="Times New Roman"/>
          <w:sz w:val="18"/>
          <w:szCs w:val="18"/>
        </w:rPr>
        <w:t>La mesure de pauvreté utilisée est le carré du fossé de pauvreté dans lequel l’indicateur du niveau de vie pour un ménage est remplacé par sa moyenne sur la période étudiée. Leur méthode a été appliquée dans des études africaines citées par Odouro (2002) : celle de Haddad et Ahmed (2002) portant sur l’Egypte et celle de Dercon et Krishnan (2000) portant sur l’Ethiopie.</w:t>
      </w:r>
    </w:p>
    <w:p w:rsidR="008C2241" w:rsidRDefault="008C2241" w:rsidP="003232C4">
      <w:pPr>
        <w:pStyle w:val="Notedebasdepage"/>
      </w:pPr>
    </w:p>
  </w:footnote>
  <w:footnote w:id="92">
    <w:p w:rsidR="008C2241" w:rsidRPr="00353AD6" w:rsidRDefault="008C2241" w:rsidP="00DE0355">
      <w:pPr>
        <w:pStyle w:val="Notedebasdepage"/>
        <w:jc w:val="both"/>
        <w:rPr>
          <w:rFonts w:ascii="Times New Roman" w:hAnsi="Times New Roman"/>
          <w:sz w:val="16"/>
          <w:szCs w:val="16"/>
        </w:rPr>
      </w:pPr>
      <w:r w:rsidRPr="00353AD6">
        <w:rPr>
          <w:rStyle w:val="Appelnotedebasdep"/>
          <w:rFonts w:ascii="Times New Roman" w:hAnsi="Times New Roman"/>
          <w:sz w:val="16"/>
          <w:szCs w:val="16"/>
        </w:rPr>
        <w:footnoteRef/>
      </w:r>
      <w:r w:rsidRPr="005D753A">
        <w:rPr>
          <w:rFonts w:ascii="Times New Roman" w:hAnsi="Times New Roman"/>
          <w:bCs/>
          <w:color w:val="000000"/>
          <w:sz w:val="18"/>
          <w:szCs w:val="18"/>
          <w:lang w:val="fr-CA"/>
        </w:rPr>
        <w:t>En général, une Zone de Dénombrement (ZD) est constituée soit d’une partie d’un village pour le milieu rural ou d’une partie de quartier de ville en milieu urbain, soit du village ou quartier de ville tout entier. Mais dans de rares cas, une ZD peut être à cheval sur plusieurs villages/quartiers de ville. La ZD est définie en fonction de l’effectif de population ou du nombre de ménages.</w:t>
      </w:r>
    </w:p>
  </w:footnote>
  <w:footnote w:id="93">
    <w:p w:rsidR="008C2241" w:rsidRPr="0067582D" w:rsidRDefault="008C2241" w:rsidP="00DE0355">
      <w:pPr>
        <w:pStyle w:val="Notedebasdepage"/>
        <w:rPr>
          <w:sz w:val="18"/>
          <w:szCs w:val="18"/>
        </w:rPr>
      </w:pPr>
      <w:r w:rsidRPr="00B76D0A">
        <w:rPr>
          <w:rStyle w:val="Appelnotedebasdep"/>
          <w:rFonts w:ascii="Times New Roman" w:hAnsi="Times New Roman"/>
          <w:sz w:val="18"/>
          <w:szCs w:val="18"/>
        </w:rPr>
        <w:footnoteRef/>
      </w:r>
      <w:r w:rsidRPr="005D753A">
        <w:rPr>
          <w:rFonts w:ascii="Times New Roman" w:hAnsi="Times New Roman"/>
          <w:bCs/>
          <w:color w:val="000000"/>
          <w:sz w:val="18"/>
          <w:szCs w:val="18"/>
          <w:lang w:val="fr-CA"/>
        </w:rPr>
        <w:t>Pour l’EMICoV de suivi 2010, elle varie entre 9 et 36.</w:t>
      </w:r>
    </w:p>
  </w:footnote>
  <w:footnote w:id="94">
    <w:p w:rsidR="008C2241" w:rsidRPr="00F733A7" w:rsidRDefault="008C2241" w:rsidP="00DE0355">
      <w:pPr>
        <w:pStyle w:val="Notedebasdepage"/>
        <w:rPr>
          <w:rFonts w:ascii="Times New Roman" w:hAnsi="Times New Roman"/>
        </w:rPr>
      </w:pPr>
      <w:r w:rsidRPr="00832112">
        <w:rPr>
          <w:rStyle w:val="Appelnotedebasdep"/>
          <w:rFonts w:ascii="Times New Roman" w:hAnsi="Times New Roman"/>
        </w:rPr>
        <w:footnoteRef/>
      </w:r>
      <w:r>
        <w:rPr>
          <w:rFonts w:ascii="Times New Roman" w:hAnsi="Times New Roman"/>
        </w:rPr>
        <w:t>S</w:t>
      </w:r>
      <w:r w:rsidRPr="00832112">
        <w:rPr>
          <w:rFonts w:ascii="Times New Roman" w:hAnsi="Times New Roman"/>
        </w:rPr>
        <w:t>éries temporelles, données en coupe transversales ou des panels</w:t>
      </w:r>
    </w:p>
  </w:footnote>
  <w:footnote w:id="95">
    <w:p w:rsidR="008C2241" w:rsidRPr="005D753A" w:rsidRDefault="008C2241" w:rsidP="00B200B1">
      <w:pPr>
        <w:pStyle w:val="Notedebasdepage"/>
        <w:jc w:val="both"/>
        <w:rPr>
          <w:sz w:val="18"/>
          <w:szCs w:val="18"/>
        </w:rPr>
      </w:pPr>
      <w:r>
        <w:rPr>
          <w:rStyle w:val="Appelnotedebasdep"/>
        </w:rPr>
        <w:footnoteRef/>
      </w:r>
      <w:r w:rsidRPr="005D753A">
        <w:rPr>
          <w:rFonts w:ascii="Times New Roman" w:eastAsia="Calibri" w:hAnsi="Times New Roman"/>
          <w:sz w:val="18"/>
          <w:szCs w:val="18"/>
          <w:lang w:eastAsia="en-US"/>
        </w:rPr>
        <w:t>Il fait référence à la dépense minimale nécessaire à un individu ou à un ménage pour qu’il puisse se procurer un panier de biens  alimentaires qui respecte à la fois les normes nutritionnel</w:t>
      </w:r>
      <w:r>
        <w:rPr>
          <w:rFonts w:ascii="Times New Roman" w:eastAsia="Calibri" w:hAnsi="Times New Roman"/>
          <w:sz w:val="18"/>
          <w:szCs w:val="18"/>
          <w:lang w:eastAsia="en-US"/>
        </w:rPr>
        <w:t>le</w:t>
      </w:r>
      <w:r w:rsidRPr="005D753A">
        <w:rPr>
          <w:rFonts w:ascii="Times New Roman" w:eastAsia="Calibri" w:hAnsi="Times New Roman"/>
          <w:sz w:val="18"/>
          <w:szCs w:val="18"/>
          <w:lang w:eastAsia="en-US"/>
        </w:rPr>
        <w:t>s d’un régime alimentaire équilibré et les habitudes de consommation de sa communauté d’appartenance.</w:t>
      </w:r>
    </w:p>
  </w:footnote>
  <w:footnote w:id="96">
    <w:p w:rsidR="008C2241" w:rsidRPr="005D753A" w:rsidRDefault="008C2241" w:rsidP="00B200B1">
      <w:pPr>
        <w:pStyle w:val="Notedebasdepage"/>
        <w:rPr>
          <w:sz w:val="18"/>
          <w:szCs w:val="18"/>
        </w:rPr>
      </w:pPr>
      <w:r w:rsidRPr="005D753A">
        <w:rPr>
          <w:rFonts w:ascii="Times New Roman" w:eastAsia="Calibri" w:hAnsi="Times New Roman"/>
          <w:sz w:val="18"/>
          <w:szCs w:val="18"/>
          <w:lang w:eastAsia="en-US"/>
        </w:rPr>
        <w:footnoteRef/>
      </w:r>
      <w:r w:rsidRPr="005D753A">
        <w:rPr>
          <w:rFonts w:ascii="Times New Roman" w:eastAsia="Calibri" w:hAnsi="Times New Roman"/>
          <w:sz w:val="18"/>
          <w:szCs w:val="18"/>
          <w:lang w:eastAsia="en-US"/>
        </w:rPr>
        <w:t xml:space="preserve"> Généralement, il s’agit des ménages les plus défavorisés de la société.</w:t>
      </w:r>
    </w:p>
  </w:footnote>
  <w:footnote w:id="97">
    <w:p w:rsidR="008C2241" w:rsidRDefault="008C2241" w:rsidP="00D323C0">
      <w:pPr>
        <w:pStyle w:val="Notedebasdepage"/>
        <w:jc w:val="both"/>
      </w:pPr>
      <w:r w:rsidRPr="005D753A">
        <w:rPr>
          <w:rStyle w:val="Appelnotedebasdep"/>
          <w:sz w:val="18"/>
          <w:szCs w:val="18"/>
        </w:rPr>
        <w:footnoteRef/>
      </w:r>
      <w:r w:rsidRPr="005D753A">
        <w:rPr>
          <w:rFonts w:ascii="Times New Roman" w:hAnsi="Times New Roman"/>
          <w:sz w:val="18"/>
          <w:szCs w:val="18"/>
        </w:rPr>
        <w:t>Conformément à la définition présentée plus haut,</w:t>
      </w:r>
      <w:r>
        <w:rPr>
          <w:rFonts w:ascii="Times New Roman" w:hAnsi="Times New Roman"/>
          <w:sz w:val="18"/>
          <w:szCs w:val="18"/>
        </w:rPr>
        <w:t xml:space="preserve"> </w:t>
      </w:r>
      <w:r w:rsidRPr="005D753A">
        <w:rPr>
          <w:rFonts w:ascii="Times New Roman" w:eastAsia="Calibri" w:hAnsi="Times New Roman"/>
          <w:sz w:val="18"/>
          <w:szCs w:val="18"/>
          <w:lang w:eastAsia="en-US"/>
        </w:rPr>
        <w:t>SPG=SPA*(1+p) où p désigne le ratio entre les dépenses alimentaires et les dépenses non alimentaires des ménages en dessous de la médiane. Les deux formules concourent au même résultat.</w:t>
      </w:r>
    </w:p>
  </w:footnote>
  <w:footnote w:id="98">
    <w:p w:rsidR="008C2241" w:rsidRPr="007B43D0" w:rsidRDefault="008C2241" w:rsidP="00DE0355">
      <w:pPr>
        <w:spacing w:line="276" w:lineRule="auto"/>
        <w:rPr>
          <w:rFonts w:ascii="Times New Roman" w:hAnsi="Times New Roman"/>
          <w:sz w:val="24"/>
          <w:szCs w:val="24"/>
        </w:rPr>
      </w:pPr>
      <w:r>
        <w:rPr>
          <w:rStyle w:val="Appelnotedebasdep"/>
        </w:rPr>
        <w:footnoteRef/>
      </w:r>
      <w:r w:rsidRPr="005D753A">
        <w:rPr>
          <w:rFonts w:ascii="Times New Roman" w:hAnsi="Times New Roman"/>
          <w:sz w:val="18"/>
          <w:szCs w:val="18"/>
        </w:rPr>
        <w:t>Pour tenir compte de la structure des dépenses, nous avons aussi calculé un déflateur qui est égal à la somme pondérée des rapports des seuils alimentaires et non alimentaires par leur part respective dans la dépense totale des biens concernés pour l’année 2. Dans la pratique, les deux approches aboutissent pratiquement au même résultat.</w:t>
      </w:r>
    </w:p>
    <w:p w:rsidR="008C2241" w:rsidRDefault="008C2241" w:rsidP="00DE0355">
      <w:pPr>
        <w:pStyle w:val="Notedebasdepage"/>
      </w:pPr>
    </w:p>
  </w:footnote>
  <w:footnote w:id="99">
    <w:p w:rsidR="008C2241" w:rsidRPr="00F733A7" w:rsidRDefault="008C2241" w:rsidP="00832BCE">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color w:val="000000"/>
        </w:rPr>
        <w:t>Travailleur pour compte propre, Manœuvre, apprenti et aide familiale</w:t>
      </w:r>
    </w:p>
  </w:footnote>
  <w:footnote w:id="100">
    <w:p w:rsidR="008C2241" w:rsidRPr="00F733A7" w:rsidRDefault="008C2241" w:rsidP="00832BCE">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rPr>
        <w:t xml:space="preserve"> Il s’agit du pole de développement dans lequel se trouve l’activité principale. En d’autres termes, les pôles sont constitués à partir des activités principales des chefs de ménage.</w:t>
      </w:r>
    </w:p>
  </w:footnote>
  <w:footnote w:id="101">
    <w:p w:rsidR="008C2241" w:rsidRPr="00F733A7" w:rsidRDefault="008C2241" w:rsidP="00832BCE">
      <w:pPr>
        <w:pStyle w:val="Notedebasdepage"/>
        <w:rPr>
          <w:rFonts w:ascii="Times New Roman" w:hAnsi="Times New Roman"/>
        </w:rPr>
      </w:pPr>
      <w:r w:rsidRPr="00832112">
        <w:rPr>
          <w:rStyle w:val="Appelnotedebasdep"/>
          <w:rFonts w:ascii="Times New Roman" w:hAnsi="Times New Roman"/>
        </w:rPr>
        <w:footnoteRef/>
      </w:r>
      <w:r w:rsidRPr="00832112">
        <w:rPr>
          <w:rFonts w:ascii="Times New Roman" w:hAnsi="Times New Roman"/>
          <w:color w:val="000000"/>
        </w:rPr>
        <w:t>Culture et tourisme, chômeurs, inactif, non déclaré</w:t>
      </w:r>
    </w:p>
  </w:footnote>
  <w:footnote w:id="102">
    <w:p w:rsidR="008C2241" w:rsidRPr="00C15C6F" w:rsidRDefault="008C2241">
      <w:pPr>
        <w:pStyle w:val="Notedebasdepage"/>
        <w:rPr>
          <w:rFonts w:ascii="Times New Roman" w:hAnsi="Times New Roman"/>
        </w:rPr>
      </w:pPr>
      <w:r w:rsidRPr="00C15C6F">
        <w:rPr>
          <w:rStyle w:val="Appelnotedebasdep"/>
          <w:rFonts w:ascii="Times New Roman" w:hAnsi="Times New Roman"/>
        </w:rPr>
        <w:footnoteRef/>
      </w:r>
      <w:r w:rsidRPr="00C15C6F">
        <w:rPr>
          <w:rFonts w:ascii="Times New Roman" w:hAnsi="Times New Roman"/>
        </w:rPr>
        <w:t xml:space="preserve"> Elle est mesurée par le ratio des dépenses par tête du bien considéré au seuil de pauvreté.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1908"/>
    </w:tblGrid>
    <w:tr w:rsidR="008C2241" w:rsidTr="000753C6">
      <w:trPr>
        <w:trHeight w:val="989"/>
      </w:trPr>
      <w:tc>
        <w:tcPr>
          <w:tcW w:w="11908" w:type="dxa"/>
          <w:shd w:val="clear" w:color="auto" w:fill="92CDDC" w:themeFill="accent5" w:themeFillTint="99"/>
        </w:tcPr>
        <w:p w:rsidR="008C2241" w:rsidRDefault="008C2241">
          <w:pPr>
            <w:pStyle w:val="En-tte"/>
          </w:pPr>
        </w:p>
      </w:tc>
    </w:tr>
  </w:tbl>
  <w:p w:rsidR="008C2241" w:rsidRPr="00774A22" w:rsidRDefault="008C2241" w:rsidP="00774A22">
    <w:pPr>
      <w:pStyle w:val="En-tte"/>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6869"/>
    </w:tblGrid>
    <w:tr w:rsidR="008C2241" w:rsidTr="00206864">
      <w:trPr>
        <w:trHeight w:val="989"/>
      </w:trPr>
      <w:tc>
        <w:tcPr>
          <w:tcW w:w="16869" w:type="dxa"/>
          <w:shd w:val="clear" w:color="auto" w:fill="92CDDC" w:themeFill="accent5" w:themeFillTint="99"/>
        </w:tcPr>
        <w:p w:rsidR="008C2241" w:rsidRDefault="008C2241">
          <w:pPr>
            <w:pStyle w:val="En-tte"/>
          </w:pPr>
        </w:p>
      </w:tc>
    </w:tr>
  </w:tbl>
  <w:p w:rsidR="008C2241" w:rsidRPr="00774A22" w:rsidRDefault="008C2241" w:rsidP="00774A22">
    <w:pPr>
      <w:pStyle w:val="En-tte"/>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16869"/>
    </w:tblGrid>
    <w:tr w:rsidR="008C2241" w:rsidTr="000753C6">
      <w:trPr>
        <w:trHeight w:val="981"/>
      </w:trPr>
      <w:tc>
        <w:tcPr>
          <w:tcW w:w="16869" w:type="dxa"/>
          <w:shd w:val="clear" w:color="auto" w:fill="92CDDC" w:themeFill="accent5" w:themeFillTint="99"/>
        </w:tcPr>
        <w:p w:rsidR="008C2241" w:rsidRDefault="008C2241" w:rsidP="000753C6">
          <w:pPr>
            <w:pStyle w:val="En-tte"/>
          </w:pPr>
        </w:p>
      </w:tc>
    </w:tr>
  </w:tbl>
  <w:p w:rsidR="008C2241" w:rsidRDefault="008C2241" w:rsidP="000753C6">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6869"/>
    </w:tblGrid>
    <w:tr w:rsidR="008C2241" w:rsidTr="00206864">
      <w:trPr>
        <w:trHeight w:val="989"/>
      </w:trPr>
      <w:tc>
        <w:tcPr>
          <w:tcW w:w="16869" w:type="dxa"/>
          <w:shd w:val="clear" w:color="auto" w:fill="92CDDC" w:themeFill="accent5" w:themeFillTint="99"/>
        </w:tcPr>
        <w:p w:rsidR="008C2241" w:rsidRDefault="008C2241" w:rsidP="00272B35">
          <w:pPr>
            <w:pStyle w:val="En-tte"/>
          </w:pPr>
        </w:p>
      </w:tc>
    </w:tr>
  </w:tbl>
  <w:p w:rsidR="008C2241" w:rsidRPr="00774A22" w:rsidRDefault="008C2241" w:rsidP="000753C6">
    <w:pPr>
      <w:pStyle w:val="En-tte"/>
      <w:rPr>
        <w:sz w:val="2"/>
        <w:szCs w:val="2"/>
      </w:rPr>
    </w:pPr>
  </w:p>
  <w:p w:rsidR="008C2241" w:rsidRDefault="008C2241">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6869"/>
    </w:tblGrid>
    <w:tr w:rsidR="008C2241" w:rsidTr="004A1A42">
      <w:trPr>
        <w:trHeight w:val="847"/>
      </w:trPr>
      <w:tc>
        <w:tcPr>
          <w:tcW w:w="16869" w:type="dxa"/>
          <w:shd w:val="clear" w:color="auto" w:fill="92CDDC" w:themeFill="accent5" w:themeFillTint="99"/>
        </w:tcPr>
        <w:p w:rsidR="008C2241" w:rsidRDefault="008C2241" w:rsidP="004A1A42">
          <w:pPr>
            <w:pStyle w:val="En-tte"/>
          </w:pPr>
        </w:p>
      </w:tc>
    </w:tr>
  </w:tbl>
  <w:p w:rsidR="008C2241" w:rsidRPr="00AB1358" w:rsidRDefault="008C2241" w:rsidP="004A1A42">
    <w:pPr>
      <w:pStyle w:val="En-tte"/>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1908"/>
    </w:tblGrid>
    <w:tr w:rsidR="008C2241" w:rsidTr="00206864">
      <w:trPr>
        <w:trHeight w:val="989"/>
      </w:trPr>
      <w:tc>
        <w:tcPr>
          <w:tcW w:w="11908" w:type="dxa"/>
          <w:shd w:val="clear" w:color="auto" w:fill="92CDDC" w:themeFill="accent5" w:themeFillTint="99"/>
        </w:tcPr>
        <w:p w:rsidR="008C2241" w:rsidRDefault="008C2241" w:rsidP="00272B35">
          <w:pPr>
            <w:pStyle w:val="En-tte"/>
          </w:pPr>
        </w:p>
      </w:tc>
    </w:tr>
  </w:tbl>
  <w:p w:rsidR="008C2241" w:rsidRPr="00774A22" w:rsidRDefault="008C2241" w:rsidP="000753C6">
    <w:pPr>
      <w:pStyle w:val="En-tte"/>
      <w:rPr>
        <w:sz w:val="2"/>
        <w:szCs w:val="2"/>
      </w:rPr>
    </w:pPr>
  </w:p>
  <w:p w:rsidR="008C2241" w:rsidRPr="00AE15F2" w:rsidRDefault="008C2241" w:rsidP="000753C6">
    <w:pPr>
      <w:pStyle w:val="En-tte"/>
      <w:rPr>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6869"/>
    </w:tblGrid>
    <w:tr w:rsidR="008C2241" w:rsidTr="00E16911">
      <w:trPr>
        <w:trHeight w:val="989"/>
      </w:trPr>
      <w:tc>
        <w:tcPr>
          <w:tcW w:w="16869" w:type="dxa"/>
          <w:shd w:val="clear" w:color="auto" w:fill="92CDDC" w:themeFill="accent5" w:themeFillTint="99"/>
        </w:tcPr>
        <w:p w:rsidR="008C2241" w:rsidRDefault="008C2241" w:rsidP="00272B35">
          <w:pPr>
            <w:pStyle w:val="En-tte"/>
          </w:pPr>
        </w:p>
      </w:tc>
    </w:tr>
  </w:tbl>
  <w:p w:rsidR="008C2241" w:rsidRPr="00774A22" w:rsidRDefault="008C2241" w:rsidP="000753C6">
    <w:pPr>
      <w:pStyle w:val="En-tte"/>
      <w:rPr>
        <w:sz w:val="2"/>
        <w:szCs w:val="2"/>
      </w:rPr>
    </w:pPr>
  </w:p>
  <w:p w:rsidR="008C2241" w:rsidRPr="00AE15F2" w:rsidRDefault="008C2241" w:rsidP="000753C6">
    <w:pPr>
      <w:pStyle w:val="En-tte"/>
      <w:rPr>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1908"/>
    </w:tblGrid>
    <w:tr w:rsidR="008C2241" w:rsidTr="00206864">
      <w:trPr>
        <w:trHeight w:val="989"/>
      </w:trPr>
      <w:tc>
        <w:tcPr>
          <w:tcW w:w="11908" w:type="dxa"/>
          <w:shd w:val="clear" w:color="auto" w:fill="92CDDC" w:themeFill="accent5" w:themeFillTint="99"/>
        </w:tcPr>
        <w:p w:rsidR="008C2241" w:rsidRDefault="008C2241" w:rsidP="00272B35">
          <w:pPr>
            <w:pStyle w:val="En-tte"/>
          </w:pPr>
        </w:p>
      </w:tc>
    </w:tr>
  </w:tbl>
  <w:p w:rsidR="008C2241" w:rsidRPr="00774A22" w:rsidRDefault="008C2241" w:rsidP="000753C6">
    <w:pPr>
      <w:pStyle w:val="En-tte"/>
      <w:rPr>
        <w:sz w:val="2"/>
        <w:szCs w:val="2"/>
      </w:rPr>
    </w:pPr>
  </w:p>
  <w:p w:rsidR="008C2241" w:rsidRPr="00AE15F2" w:rsidRDefault="008C2241" w:rsidP="000753C6">
    <w:pPr>
      <w:pStyle w:val="En-tte"/>
      <w:rPr>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6869"/>
    </w:tblGrid>
    <w:tr w:rsidR="008C2241" w:rsidTr="00206864">
      <w:trPr>
        <w:trHeight w:val="989"/>
      </w:trPr>
      <w:tc>
        <w:tcPr>
          <w:tcW w:w="16869" w:type="dxa"/>
          <w:shd w:val="clear" w:color="auto" w:fill="92CDDC" w:themeFill="accent5" w:themeFillTint="99"/>
        </w:tcPr>
        <w:p w:rsidR="008C2241" w:rsidRDefault="008C2241" w:rsidP="00272B35">
          <w:pPr>
            <w:pStyle w:val="En-tte"/>
          </w:pPr>
        </w:p>
      </w:tc>
    </w:tr>
  </w:tbl>
  <w:p w:rsidR="008C2241" w:rsidRPr="00774A22" w:rsidRDefault="008C2241" w:rsidP="000753C6">
    <w:pPr>
      <w:pStyle w:val="En-tte"/>
      <w:rPr>
        <w:sz w:val="2"/>
        <w:szCs w:val="2"/>
      </w:rPr>
    </w:pPr>
  </w:p>
  <w:p w:rsidR="008C2241" w:rsidRDefault="008C2241">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6869"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6869"/>
    </w:tblGrid>
    <w:tr w:rsidR="008C2241" w:rsidTr="00206864">
      <w:trPr>
        <w:trHeight w:val="989"/>
      </w:trPr>
      <w:tc>
        <w:tcPr>
          <w:tcW w:w="16869" w:type="dxa"/>
          <w:shd w:val="clear" w:color="auto" w:fill="92CDDC" w:themeFill="accent5" w:themeFillTint="99"/>
        </w:tcPr>
        <w:p w:rsidR="008C2241" w:rsidRDefault="008C2241" w:rsidP="00272B35">
          <w:pPr>
            <w:pStyle w:val="En-tte"/>
          </w:pPr>
        </w:p>
      </w:tc>
    </w:tr>
  </w:tbl>
  <w:p w:rsidR="008C2241" w:rsidRPr="00774A22" w:rsidRDefault="008C2241" w:rsidP="000753C6">
    <w:pPr>
      <w:pStyle w:val="En-tte"/>
      <w:rPr>
        <w:sz w:val="2"/>
        <w:szCs w:val="2"/>
      </w:rPr>
    </w:pPr>
  </w:p>
  <w:p w:rsidR="008C2241" w:rsidRPr="00235680" w:rsidRDefault="008C2241">
    <w:pPr>
      <w:pStyle w:val="En-tte"/>
      <w:rPr>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2050"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2050"/>
    </w:tblGrid>
    <w:tr w:rsidR="008C2241" w:rsidTr="004E2E24">
      <w:trPr>
        <w:trHeight w:val="989"/>
      </w:trPr>
      <w:tc>
        <w:tcPr>
          <w:tcW w:w="12050" w:type="dxa"/>
          <w:shd w:val="clear" w:color="auto" w:fill="92CDDC" w:themeFill="accent5" w:themeFillTint="99"/>
        </w:tcPr>
        <w:p w:rsidR="008C2241" w:rsidRDefault="008C2241" w:rsidP="00272B35">
          <w:pPr>
            <w:pStyle w:val="En-tte"/>
          </w:pPr>
        </w:p>
      </w:tc>
    </w:tr>
  </w:tbl>
  <w:p w:rsidR="008C2241" w:rsidRPr="00774A22" w:rsidRDefault="008C2241" w:rsidP="00F55B57">
    <w:pPr>
      <w:pStyle w:val="En-tte"/>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7011"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7011"/>
    </w:tblGrid>
    <w:tr w:rsidR="008C2241" w:rsidRPr="004E2E24" w:rsidTr="00F74104">
      <w:trPr>
        <w:trHeight w:hRule="exact" w:val="987"/>
      </w:trPr>
      <w:tc>
        <w:tcPr>
          <w:tcW w:w="17011" w:type="dxa"/>
          <w:shd w:val="clear" w:color="auto" w:fill="92CDDC" w:themeFill="accent5" w:themeFillTint="99"/>
        </w:tcPr>
        <w:p w:rsidR="008C2241" w:rsidRPr="004E2E24" w:rsidRDefault="008C2241" w:rsidP="00C464FF"/>
      </w:tc>
    </w:tr>
  </w:tbl>
  <w:p w:rsidR="008C2241" w:rsidRPr="00C464FF" w:rsidRDefault="008C2241" w:rsidP="004E2E24">
    <w:pPr>
      <w:pStyle w:val="En-tte"/>
      <w:rPr>
        <w:sz w:val="6"/>
        <w:szCs w:val="6"/>
      </w:rPr>
    </w:pPr>
  </w:p>
  <w:p w:rsidR="008C2241" w:rsidRPr="00767C6D" w:rsidRDefault="008C2241" w:rsidP="00767C6D">
    <w:pPr>
      <w:spacing w:line="240" w:lineRule="auto"/>
      <w:rPr>
        <w:sz w:val="6"/>
        <w:szCs w:val="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1908" w:type="dxa"/>
      <w:tblInd w:w="-131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shd w:val="clear" w:color="auto" w:fill="92CDDC" w:themeFill="accent5" w:themeFillTint="99"/>
      <w:tblLook w:val="04A0" w:firstRow="1" w:lastRow="0" w:firstColumn="1" w:lastColumn="0" w:noHBand="0" w:noVBand="1"/>
    </w:tblPr>
    <w:tblGrid>
      <w:gridCol w:w="11908"/>
    </w:tblGrid>
    <w:tr w:rsidR="008C2241" w:rsidTr="00206864">
      <w:trPr>
        <w:trHeight w:val="989"/>
      </w:trPr>
      <w:tc>
        <w:tcPr>
          <w:tcW w:w="11908" w:type="dxa"/>
          <w:shd w:val="clear" w:color="auto" w:fill="92CDDC" w:themeFill="accent5" w:themeFillTint="99"/>
        </w:tcPr>
        <w:p w:rsidR="008C2241" w:rsidRDefault="008C2241" w:rsidP="00272B35">
          <w:pPr>
            <w:pStyle w:val="En-tte"/>
          </w:pPr>
        </w:p>
      </w:tc>
    </w:tr>
  </w:tbl>
  <w:p w:rsidR="008C2241" w:rsidRPr="00F415B6" w:rsidRDefault="008C2241" w:rsidP="000753C6">
    <w:pPr>
      <w:pStyle w:val="En-tte"/>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6B25"/>
    <w:multiLevelType w:val="hybridMultilevel"/>
    <w:tmpl w:val="D906485E"/>
    <w:lvl w:ilvl="0" w:tplc="4482A7E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4E6E97"/>
    <w:multiLevelType w:val="hybridMultilevel"/>
    <w:tmpl w:val="BFA255BA"/>
    <w:lvl w:ilvl="0" w:tplc="168E871C">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632293"/>
    <w:multiLevelType w:val="hybridMultilevel"/>
    <w:tmpl w:val="39782144"/>
    <w:lvl w:ilvl="0" w:tplc="168E871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44A52"/>
    <w:multiLevelType w:val="hybridMultilevel"/>
    <w:tmpl w:val="E92E0BFE"/>
    <w:lvl w:ilvl="0" w:tplc="23EEB1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61867"/>
    <w:multiLevelType w:val="hybridMultilevel"/>
    <w:tmpl w:val="CE8A415E"/>
    <w:lvl w:ilvl="0" w:tplc="040C0001">
      <w:start w:val="1"/>
      <w:numFmt w:val="bullet"/>
      <w:lvlText w:val=""/>
      <w:lvlJc w:val="left"/>
      <w:pPr>
        <w:ind w:left="928" w:hanging="360"/>
      </w:pPr>
      <w:rPr>
        <w:rFonts w:ascii="Symbol" w:hAnsi="Symbol" w:hint="default"/>
      </w:rPr>
    </w:lvl>
    <w:lvl w:ilvl="1" w:tplc="04090019">
      <w:start w:val="1"/>
      <w:numFmt w:val="bullet"/>
      <w:lvlText w:val="o"/>
      <w:lvlJc w:val="left"/>
      <w:pPr>
        <w:ind w:left="1648" w:hanging="360"/>
      </w:pPr>
      <w:rPr>
        <w:rFonts w:ascii="Courier New" w:hAnsi="Courier New" w:cs="Courier New" w:hint="default"/>
      </w:rPr>
    </w:lvl>
    <w:lvl w:ilvl="2" w:tplc="0409001B" w:tentative="1">
      <w:start w:val="1"/>
      <w:numFmt w:val="bullet"/>
      <w:lvlText w:val=""/>
      <w:lvlJc w:val="left"/>
      <w:pPr>
        <w:ind w:left="2368" w:hanging="360"/>
      </w:pPr>
      <w:rPr>
        <w:rFonts w:ascii="Wingdings" w:hAnsi="Wingdings" w:hint="default"/>
      </w:rPr>
    </w:lvl>
    <w:lvl w:ilvl="3" w:tplc="0409000F" w:tentative="1">
      <w:start w:val="1"/>
      <w:numFmt w:val="bullet"/>
      <w:lvlText w:val=""/>
      <w:lvlJc w:val="left"/>
      <w:pPr>
        <w:ind w:left="3088" w:hanging="360"/>
      </w:pPr>
      <w:rPr>
        <w:rFonts w:ascii="Symbol" w:hAnsi="Symbol" w:hint="default"/>
      </w:rPr>
    </w:lvl>
    <w:lvl w:ilvl="4" w:tplc="04090019" w:tentative="1">
      <w:start w:val="1"/>
      <w:numFmt w:val="bullet"/>
      <w:lvlText w:val="o"/>
      <w:lvlJc w:val="left"/>
      <w:pPr>
        <w:ind w:left="3808" w:hanging="360"/>
      </w:pPr>
      <w:rPr>
        <w:rFonts w:ascii="Courier New" w:hAnsi="Courier New" w:cs="Courier New" w:hint="default"/>
      </w:rPr>
    </w:lvl>
    <w:lvl w:ilvl="5" w:tplc="0409001B" w:tentative="1">
      <w:start w:val="1"/>
      <w:numFmt w:val="bullet"/>
      <w:lvlText w:val=""/>
      <w:lvlJc w:val="left"/>
      <w:pPr>
        <w:ind w:left="4528" w:hanging="360"/>
      </w:pPr>
      <w:rPr>
        <w:rFonts w:ascii="Wingdings" w:hAnsi="Wingdings" w:hint="default"/>
      </w:rPr>
    </w:lvl>
    <w:lvl w:ilvl="6" w:tplc="0409000F" w:tentative="1">
      <w:start w:val="1"/>
      <w:numFmt w:val="bullet"/>
      <w:lvlText w:val=""/>
      <w:lvlJc w:val="left"/>
      <w:pPr>
        <w:ind w:left="5248" w:hanging="360"/>
      </w:pPr>
      <w:rPr>
        <w:rFonts w:ascii="Symbol" w:hAnsi="Symbol" w:hint="default"/>
      </w:rPr>
    </w:lvl>
    <w:lvl w:ilvl="7" w:tplc="04090019" w:tentative="1">
      <w:start w:val="1"/>
      <w:numFmt w:val="bullet"/>
      <w:lvlText w:val="o"/>
      <w:lvlJc w:val="left"/>
      <w:pPr>
        <w:ind w:left="5968" w:hanging="360"/>
      </w:pPr>
      <w:rPr>
        <w:rFonts w:ascii="Courier New" w:hAnsi="Courier New" w:cs="Courier New" w:hint="default"/>
      </w:rPr>
    </w:lvl>
    <w:lvl w:ilvl="8" w:tplc="0409001B" w:tentative="1">
      <w:start w:val="1"/>
      <w:numFmt w:val="bullet"/>
      <w:lvlText w:val=""/>
      <w:lvlJc w:val="left"/>
      <w:pPr>
        <w:ind w:left="6688" w:hanging="360"/>
      </w:pPr>
      <w:rPr>
        <w:rFonts w:ascii="Wingdings" w:hAnsi="Wingdings" w:hint="default"/>
      </w:rPr>
    </w:lvl>
  </w:abstractNum>
  <w:abstractNum w:abstractNumId="5" w15:restartNumberingAfterBreak="0">
    <w:nsid w:val="157C5B43"/>
    <w:multiLevelType w:val="multilevel"/>
    <w:tmpl w:val="5D4CBCD0"/>
    <w:styleLink w:val="Style1"/>
    <w:lvl w:ilvl="0">
      <w:start w:val="5"/>
      <w:numFmt w:val="decimal"/>
      <w:lvlText w:val="%1."/>
      <w:lvlJc w:val="left"/>
      <w:pPr>
        <w:ind w:left="1068" w:hanging="360"/>
      </w:pPr>
      <w:rPr>
        <w:rFonts w:hint="default"/>
      </w:rPr>
    </w:lvl>
    <w:lvl w:ilvl="1">
      <w:start w:val="1"/>
      <w:numFmt w:val="decimal"/>
      <w:pStyle w:val="T51"/>
      <w:lvlText w:val="%1.%2."/>
      <w:lvlJc w:val="left"/>
      <w:pPr>
        <w:ind w:left="1500" w:hanging="432"/>
      </w:pPr>
      <w:rPr>
        <w:rFonts w:hint="default"/>
      </w:rPr>
    </w:lvl>
    <w:lvl w:ilvl="2">
      <w:start w:val="1"/>
      <w:numFmt w:val="decimal"/>
      <w:pStyle w:val="T511"/>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6" w15:restartNumberingAfterBreak="0">
    <w:nsid w:val="25A72DF2"/>
    <w:multiLevelType w:val="hybridMultilevel"/>
    <w:tmpl w:val="C37C2254"/>
    <w:lvl w:ilvl="0" w:tplc="23EEB10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57564"/>
    <w:multiLevelType w:val="hybridMultilevel"/>
    <w:tmpl w:val="B504F0C2"/>
    <w:lvl w:ilvl="0" w:tplc="D69CB3D6">
      <w:numFmt w:val="bullet"/>
      <w:lvlText w:val="-"/>
      <w:lvlJc w:val="left"/>
      <w:pPr>
        <w:ind w:left="720" w:hanging="360"/>
      </w:pPr>
      <w:rPr>
        <w:rFonts w:ascii="Times New Roman" w:eastAsia="Calibri"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31792D27"/>
    <w:multiLevelType w:val="hybridMultilevel"/>
    <w:tmpl w:val="9D0AF17C"/>
    <w:lvl w:ilvl="0" w:tplc="23EEB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E13661"/>
    <w:multiLevelType w:val="hybridMultilevel"/>
    <w:tmpl w:val="C53C2C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B060C74"/>
    <w:multiLevelType w:val="hybridMultilevel"/>
    <w:tmpl w:val="C23CEC6C"/>
    <w:lvl w:ilvl="0" w:tplc="040C000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D22485"/>
    <w:multiLevelType w:val="hybridMultilevel"/>
    <w:tmpl w:val="B02E7874"/>
    <w:lvl w:ilvl="0" w:tplc="23EEB1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17632"/>
    <w:multiLevelType w:val="hybridMultilevel"/>
    <w:tmpl w:val="7C2E9738"/>
    <w:lvl w:ilvl="0" w:tplc="040C0001">
      <w:numFmt w:val="bullet"/>
      <w:lvlText w:val="-"/>
      <w:lvlJc w:val="left"/>
      <w:pPr>
        <w:ind w:left="766" w:hanging="360"/>
      </w:pPr>
      <w:rPr>
        <w:rFonts w:ascii="Times New Roman" w:eastAsia="Calibri" w:hAnsi="Times New Roman" w:cs="Times New Roman"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3" w15:restartNumberingAfterBreak="0">
    <w:nsid w:val="5BD841B6"/>
    <w:multiLevelType w:val="hybridMultilevel"/>
    <w:tmpl w:val="39EEC9B6"/>
    <w:lvl w:ilvl="0" w:tplc="23EEB102">
      <w:numFmt w:val="bullet"/>
      <w:lvlText w:val="-"/>
      <w:lvlJc w:val="left"/>
      <w:pPr>
        <w:ind w:left="766" w:hanging="360"/>
      </w:pPr>
      <w:rPr>
        <w:rFonts w:ascii="Times New Roman" w:eastAsia="Calibri" w:hAnsi="Times New Roman" w:cs="Times New Roman"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4" w15:restartNumberingAfterBreak="0">
    <w:nsid w:val="5E9D08A1"/>
    <w:multiLevelType w:val="hybridMultilevel"/>
    <w:tmpl w:val="A700338C"/>
    <w:lvl w:ilvl="0" w:tplc="23EEB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88F0F38"/>
    <w:multiLevelType w:val="hybridMultilevel"/>
    <w:tmpl w:val="2DF094C8"/>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6" w15:restartNumberingAfterBreak="0">
    <w:nsid w:val="6D273929"/>
    <w:multiLevelType w:val="hybridMultilevel"/>
    <w:tmpl w:val="107CDED6"/>
    <w:lvl w:ilvl="0" w:tplc="040C0001">
      <w:start w:val="1"/>
      <w:numFmt w:val="bullet"/>
      <w:lvlText w:val=""/>
      <w:lvlJc w:val="left"/>
      <w:pPr>
        <w:ind w:left="360" w:hanging="360"/>
      </w:pPr>
      <w:rPr>
        <w:rFonts w:ascii="Symbol" w:hAnsi="Symbol" w:hint="default"/>
      </w:rPr>
    </w:lvl>
    <w:lvl w:ilvl="1" w:tplc="040C0019" w:tentative="1">
      <w:start w:val="1"/>
      <w:numFmt w:val="bullet"/>
      <w:lvlText w:val="o"/>
      <w:lvlJc w:val="left"/>
      <w:pPr>
        <w:ind w:left="1080" w:hanging="360"/>
      </w:pPr>
      <w:rPr>
        <w:rFonts w:ascii="Courier New" w:hAnsi="Courier New" w:cs="Courier New" w:hint="default"/>
      </w:rPr>
    </w:lvl>
    <w:lvl w:ilvl="2" w:tplc="0FFA4F1A" w:tentative="1">
      <w:start w:val="1"/>
      <w:numFmt w:val="bullet"/>
      <w:lvlText w:val=""/>
      <w:lvlJc w:val="left"/>
      <w:pPr>
        <w:ind w:left="1800" w:hanging="360"/>
      </w:pPr>
      <w:rPr>
        <w:rFonts w:ascii="Wingdings" w:hAnsi="Wingdings" w:hint="default"/>
      </w:rPr>
    </w:lvl>
    <w:lvl w:ilvl="3" w:tplc="040C000F" w:tentative="1">
      <w:start w:val="1"/>
      <w:numFmt w:val="bullet"/>
      <w:lvlText w:val=""/>
      <w:lvlJc w:val="left"/>
      <w:pPr>
        <w:ind w:left="2520" w:hanging="360"/>
      </w:pPr>
      <w:rPr>
        <w:rFonts w:ascii="Symbol" w:hAnsi="Symbol" w:hint="default"/>
      </w:rPr>
    </w:lvl>
    <w:lvl w:ilvl="4" w:tplc="040C0019" w:tentative="1">
      <w:start w:val="1"/>
      <w:numFmt w:val="bullet"/>
      <w:lvlText w:val="o"/>
      <w:lvlJc w:val="left"/>
      <w:pPr>
        <w:ind w:left="3240" w:hanging="360"/>
      </w:pPr>
      <w:rPr>
        <w:rFonts w:ascii="Courier New" w:hAnsi="Courier New" w:cs="Courier New" w:hint="default"/>
      </w:rPr>
    </w:lvl>
    <w:lvl w:ilvl="5" w:tplc="040C001B" w:tentative="1">
      <w:start w:val="1"/>
      <w:numFmt w:val="bullet"/>
      <w:lvlText w:val=""/>
      <w:lvlJc w:val="left"/>
      <w:pPr>
        <w:ind w:left="3960" w:hanging="360"/>
      </w:pPr>
      <w:rPr>
        <w:rFonts w:ascii="Wingdings" w:hAnsi="Wingdings" w:hint="default"/>
      </w:rPr>
    </w:lvl>
    <w:lvl w:ilvl="6" w:tplc="040C000F" w:tentative="1">
      <w:start w:val="1"/>
      <w:numFmt w:val="bullet"/>
      <w:lvlText w:val=""/>
      <w:lvlJc w:val="left"/>
      <w:pPr>
        <w:ind w:left="4680" w:hanging="360"/>
      </w:pPr>
      <w:rPr>
        <w:rFonts w:ascii="Symbol" w:hAnsi="Symbol" w:hint="default"/>
      </w:rPr>
    </w:lvl>
    <w:lvl w:ilvl="7" w:tplc="040C0019" w:tentative="1">
      <w:start w:val="1"/>
      <w:numFmt w:val="bullet"/>
      <w:lvlText w:val="o"/>
      <w:lvlJc w:val="left"/>
      <w:pPr>
        <w:ind w:left="5400" w:hanging="360"/>
      </w:pPr>
      <w:rPr>
        <w:rFonts w:ascii="Courier New" w:hAnsi="Courier New" w:cs="Courier New" w:hint="default"/>
      </w:rPr>
    </w:lvl>
    <w:lvl w:ilvl="8" w:tplc="040C001B" w:tentative="1">
      <w:start w:val="1"/>
      <w:numFmt w:val="bullet"/>
      <w:lvlText w:val=""/>
      <w:lvlJc w:val="left"/>
      <w:pPr>
        <w:ind w:left="6120" w:hanging="360"/>
      </w:pPr>
      <w:rPr>
        <w:rFonts w:ascii="Wingdings" w:hAnsi="Wingdings" w:hint="default"/>
      </w:rPr>
    </w:lvl>
  </w:abstractNum>
  <w:abstractNum w:abstractNumId="17" w15:restartNumberingAfterBreak="0">
    <w:nsid w:val="71E36D59"/>
    <w:multiLevelType w:val="hybridMultilevel"/>
    <w:tmpl w:val="862E263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72CF4850"/>
    <w:multiLevelType w:val="hybridMultilevel"/>
    <w:tmpl w:val="DD604DB0"/>
    <w:lvl w:ilvl="0" w:tplc="040C0001">
      <w:start w:val="1"/>
      <w:numFmt w:val="decimal"/>
      <w:lvlText w:val="%1."/>
      <w:lvlJc w:val="righ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9" w15:restartNumberingAfterBreak="0">
    <w:nsid w:val="72EC2581"/>
    <w:multiLevelType w:val="hybridMultilevel"/>
    <w:tmpl w:val="9E5CB4C0"/>
    <w:lvl w:ilvl="0" w:tplc="AB3A59FE">
      <w:start w:val="1"/>
      <w:numFmt w:val="bullet"/>
      <w:lvlText w:val=""/>
      <w:lvlJc w:val="left"/>
      <w:pPr>
        <w:ind w:left="360" w:hanging="360"/>
      </w:pPr>
      <w:rPr>
        <w:rFonts w:ascii="Symbol" w:hAnsi="Symbol" w:hint="default"/>
      </w:rPr>
    </w:lvl>
    <w:lvl w:ilvl="1" w:tplc="040C0019" w:tentative="1">
      <w:start w:val="1"/>
      <w:numFmt w:val="bullet"/>
      <w:lvlText w:val="o"/>
      <w:lvlJc w:val="left"/>
      <w:pPr>
        <w:ind w:left="1080" w:hanging="360"/>
      </w:pPr>
      <w:rPr>
        <w:rFonts w:ascii="Courier New" w:hAnsi="Courier New" w:cs="Courier New" w:hint="default"/>
      </w:rPr>
    </w:lvl>
    <w:lvl w:ilvl="2" w:tplc="040C001B" w:tentative="1">
      <w:start w:val="1"/>
      <w:numFmt w:val="bullet"/>
      <w:lvlText w:val=""/>
      <w:lvlJc w:val="left"/>
      <w:pPr>
        <w:ind w:left="1800" w:hanging="360"/>
      </w:pPr>
      <w:rPr>
        <w:rFonts w:ascii="Wingdings" w:hAnsi="Wingdings" w:hint="default"/>
      </w:rPr>
    </w:lvl>
    <w:lvl w:ilvl="3" w:tplc="040C000F" w:tentative="1">
      <w:start w:val="1"/>
      <w:numFmt w:val="bullet"/>
      <w:lvlText w:val=""/>
      <w:lvlJc w:val="left"/>
      <w:pPr>
        <w:ind w:left="2520" w:hanging="360"/>
      </w:pPr>
      <w:rPr>
        <w:rFonts w:ascii="Symbol" w:hAnsi="Symbol" w:hint="default"/>
      </w:rPr>
    </w:lvl>
    <w:lvl w:ilvl="4" w:tplc="040C0019" w:tentative="1">
      <w:start w:val="1"/>
      <w:numFmt w:val="bullet"/>
      <w:lvlText w:val="o"/>
      <w:lvlJc w:val="left"/>
      <w:pPr>
        <w:ind w:left="3240" w:hanging="360"/>
      </w:pPr>
      <w:rPr>
        <w:rFonts w:ascii="Courier New" w:hAnsi="Courier New" w:cs="Courier New" w:hint="default"/>
      </w:rPr>
    </w:lvl>
    <w:lvl w:ilvl="5" w:tplc="040C001B" w:tentative="1">
      <w:start w:val="1"/>
      <w:numFmt w:val="bullet"/>
      <w:lvlText w:val=""/>
      <w:lvlJc w:val="left"/>
      <w:pPr>
        <w:ind w:left="3960" w:hanging="360"/>
      </w:pPr>
      <w:rPr>
        <w:rFonts w:ascii="Wingdings" w:hAnsi="Wingdings" w:hint="default"/>
      </w:rPr>
    </w:lvl>
    <w:lvl w:ilvl="6" w:tplc="040C000F" w:tentative="1">
      <w:start w:val="1"/>
      <w:numFmt w:val="bullet"/>
      <w:lvlText w:val=""/>
      <w:lvlJc w:val="left"/>
      <w:pPr>
        <w:ind w:left="4680" w:hanging="360"/>
      </w:pPr>
      <w:rPr>
        <w:rFonts w:ascii="Symbol" w:hAnsi="Symbol" w:hint="default"/>
      </w:rPr>
    </w:lvl>
    <w:lvl w:ilvl="7" w:tplc="040C0019" w:tentative="1">
      <w:start w:val="1"/>
      <w:numFmt w:val="bullet"/>
      <w:lvlText w:val="o"/>
      <w:lvlJc w:val="left"/>
      <w:pPr>
        <w:ind w:left="5400" w:hanging="360"/>
      </w:pPr>
      <w:rPr>
        <w:rFonts w:ascii="Courier New" w:hAnsi="Courier New" w:cs="Courier New" w:hint="default"/>
      </w:rPr>
    </w:lvl>
    <w:lvl w:ilvl="8" w:tplc="040C001B" w:tentative="1">
      <w:start w:val="1"/>
      <w:numFmt w:val="bullet"/>
      <w:lvlText w:val=""/>
      <w:lvlJc w:val="left"/>
      <w:pPr>
        <w:ind w:left="6120" w:hanging="360"/>
      </w:pPr>
      <w:rPr>
        <w:rFonts w:ascii="Wingdings" w:hAnsi="Wingdings" w:hint="default"/>
      </w:rPr>
    </w:lvl>
  </w:abstractNum>
  <w:abstractNum w:abstractNumId="20" w15:restartNumberingAfterBreak="0">
    <w:nsid w:val="77EF6B04"/>
    <w:multiLevelType w:val="hybridMultilevel"/>
    <w:tmpl w:val="7A020D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99512EE"/>
    <w:multiLevelType w:val="hybridMultilevel"/>
    <w:tmpl w:val="20362DCA"/>
    <w:lvl w:ilvl="0" w:tplc="040C0001">
      <w:numFmt w:val="bullet"/>
      <w:lvlText w:val="-"/>
      <w:lvlJc w:val="left"/>
      <w:pPr>
        <w:ind w:left="644" w:hanging="360"/>
      </w:pPr>
      <w:rPr>
        <w:rFonts w:ascii="Times New Roman" w:eastAsia="Calibri" w:hAnsi="Times New Roman" w:cs="Times New Roman" w:hint="default"/>
      </w:rPr>
    </w:lvl>
    <w:lvl w:ilvl="1" w:tplc="040C0003" w:tentative="1">
      <w:start w:val="1"/>
      <w:numFmt w:val="lowerLetter"/>
      <w:lvlText w:val="%2."/>
      <w:lvlJc w:val="left"/>
      <w:pPr>
        <w:ind w:left="1364" w:hanging="360"/>
      </w:pPr>
    </w:lvl>
    <w:lvl w:ilvl="2" w:tplc="040C0005" w:tentative="1">
      <w:start w:val="1"/>
      <w:numFmt w:val="lowerRoman"/>
      <w:lvlText w:val="%3."/>
      <w:lvlJc w:val="right"/>
      <w:pPr>
        <w:ind w:left="2084" w:hanging="180"/>
      </w:pPr>
    </w:lvl>
    <w:lvl w:ilvl="3" w:tplc="040C0001" w:tentative="1">
      <w:start w:val="1"/>
      <w:numFmt w:val="decimal"/>
      <w:lvlText w:val="%4."/>
      <w:lvlJc w:val="left"/>
      <w:pPr>
        <w:ind w:left="2804" w:hanging="360"/>
      </w:pPr>
    </w:lvl>
    <w:lvl w:ilvl="4" w:tplc="040C0003" w:tentative="1">
      <w:start w:val="1"/>
      <w:numFmt w:val="lowerLetter"/>
      <w:lvlText w:val="%5."/>
      <w:lvlJc w:val="left"/>
      <w:pPr>
        <w:ind w:left="3524" w:hanging="360"/>
      </w:pPr>
    </w:lvl>
    <w:lvl w:ilvl="5" w:tplc="040C0005" w:tentative="1">
      <w:start w:val="1"/>
      <w:numFmt w:val="lowerRoman"/>
      <w:lvlText w:val="%6."/>
      <w:lvlJc w:val="right"/>
      <w:pPr>
        <w:ind w:left="4244" w:hanging="180"/>
      </w:pPr>
    </w:lvl>
    <w:lvl w:ilvl="6" w:tplc="040C0001" w:tentative="1">
      <w:start w:val="1"/>
      <w:numFmt w:val="decimal"/>
      <w:lvlText w:val="%7."/>
      <w:lvlJc w:val="left"/>
      <w:pPr>
        <w:ind w:left="4964" w:hanging="360"/>
      </w:pPr>
    </w:lvl>
    <w:lvl w:ilvl="7" w:tplc="040C0003" w:tentative="1">
      <w:start w:val="1"/>
      <w:numFmt w:val="lowerLetter"/>
      <w:lvlText w:val="%8."/>
      <w:lvlJc w:val="left"/>
      <w:pPr>
        <w:ind w:left="5684" w:hanging="360"/>
      </w:pPr>
    </w:lvl>
    <w:lvl w:ilvl="8" w:tplc="040C0005" w:tentative="1">
      <w:start w:val="1"/>
      <w:numFmt w:val="lowerRoman"/>
      <w:lvlText w:val="%9."/>
      <w:lvlJc w:val="right"/>
      <w:pPr>
        <w:ind w:left="6404" w:hanging="180"/>
      </w:pPr>
    </w:lvl>
  </w:abstractNum>
  <w:num w:numId="1">
    <w:abstractNumId w:val="5"/>
  </w:num>
  <w:num w:numId="2">
    <w:abstractNumId w:val="9"/>
  </w:num>
  <w:num w:numId="3">
    <w:abstractNumId w:val="4"/>
  </w:num>
  <w:num w:numId="4">
    <w:abstractNumId w:val="15"/>
  </w:num>
  <w:num w:numId="5">
    <w:abstractNumId w:val="0"/>
  </w:num>
  <w:num w:numId="6">
    <w:abstractNumId w:val="21"/>
  </w:num>
  <w:num w:numId="7">
    <w:abstractNumId w:val="7"/>
  </w:num>
  <w:num w:numId="8">
    <w:abstractNumId w:val="6"/>
  </w:num>
  <w:num w:numId="9">
    <w:abstractNumId w:val="1"/>
  </w:num>
  <w:num w:numId="10">
    <w:abstractNumId w:val="10"/>
  </w:num>
  <w:num w:numId="11">
    <w:abstractNumId w:val="12"/>
  </w:num>
  <w:num w:numId="12">
    <w:abstractNumId w:val="3"/>
  </w:num>
  <w:num w:numId="13">
    <w:abstractNumId w:val="13"/>
  </w:num>
  <w:num w:numId="14">
    <w:abstractNumId w:val="2"/>
  </w:num>
  <w:num w:numId="15">
    <w:abstractNumId w:val="16"/>
  </w:num>
  <w:num w:numId="16">
    <w:abstractNumId w:val="8"/>
  </w:num>
  <w:num w:numId="17">
    <w:abstractNumId w:val="11"/>
  </w:num>
  <w:num w:numId="18">
    <w:abstractNumId w:val="19"/>
  </w:num>
  <w:num w:numId="19">
    <w:abstractNumId w:val="20"/>
  </w:num>
  <w:num w:numId="20">
    <w:abstractNumId w:val="14"/>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C302A"/>
    <w:rsid w:val="000007C0"/>
    <w:rsid w:val="00000976"/>
    <w:rsid w:val="00001268"/>
    <w:rsid w:val="00001877"/>
    <w:rsid w:val="00003BC5"/>
    <w:rsid w:val="00003C75"/>
    <w:rsid w:val="00003D3F"/>
    <w:rsid w:val="00004256"/>
    <w:rsid w:val="000054CC"/>
    <w:rsid w:val="000058AA"/>
    <w:rsid w:val="000059A2"/>
    <w:rsid w:val="00006755"/>
    <w:rsid w:val="00006DF8"/>
    <w:rsid w:val="00010823"/>
    <w:rsid w:val="00010A10"/>
    <w:rsid w:val="00010AEF"/>
    <w:rsid w:val="0001151B"/>
    <w:rsid w:val="00011666"/>
    <w:rsid w:val="00012509"/>
    <w:rsid w:val="00012D34"/>
    <w:rsid w:val="00013228"/>
    <w:rsid w:val="00013983"/>
    <w:rsid w:val="00014498"/>
    <w:rsid w:val="00014534"/>
    <w:rsid w:val="000145F7"/>
    <w:rsid w:val="00014BD2"/>
    <w:rsid w:val="00014E94"/>
    <w:rsid w:val="000159F3"/>
    <w:rsid w:val="00015FEE"/>
    <w:rsid w:val="00016E8B"/>
    <w:rsid w:val="00017A1B"/>
    <w:rsid w:val="0002066D"/>
    <w:rsid w:val="00021B33"/>
    <w:rsid w:val="00021CB5"/>
    <w:rsid w:val="000222FE"/>
    <w:rsid w:val="00022796"/>
    <w:rsid w:val="00022F0F"/>
    <w:rsid w:val="000230CF"/>
    <w:rsid w:val="000232BC"/>
    <w:rsid w:val="0002446A"/>
    <w:rsid w:val="0002454E"/>
    <w:rsid w:val="00024646"/>
    <w:rsid w:val="0002621A"/>
    <w:rsid w:val="000275F6"/>
    <w:rsid w:val="00027FD8"/>
    <w:rsid w:val="00030141"/>
    <w:rsid w:val="0003074B"/>
    <w:rsid w:val="00030E1E"/>
    <w:rsid w:val="00030FA6"/>
    <w:rsid w:val="00031D62"/>
    <w:rsid w:val="000321E2"/>
    <w:rsid w:val="00032C72"/>
    <w:rsid w:val="0003561B"/>
    <w:rsid w:val="00035D7D"/>
    <w:rsid w:val="00036806"/>
    <w:rsid w:val="00036F9B"/>
    <w:rsid w:val="00040163"/>
    <w:rsid w:val="00040AC5"/>
    <w:rsid w:val="00040BF4"/>
    <w:rsid w:val="00041C22"/>
    <w:rsid w:val="0004227A"/>
    <w:rsid w:val="0004261B"/>
    <w:rsid w:val="000427DB"/>
    <w:rsid w:val="00042B48"/>
    <w:rsid w:val="0004328B"/>
    <w:rsid w:val="00043B65"/>
    <w:rsid w:val="00043D56"/>
    <w:rsid w:val="00044279"/>
    <w:rsid w:val="00044A36"/>
    <w:rsid w:val="00045169"/>
    <w:rsid w:val="00045A23"/>
    <w:rsid w:val="00045BDF"/>
    <w:rsid w:val="00046333"/>
    <w:rsid w:val="000463AC"/>
    <w:rsid w:val="0004671A"/>
    <w:rsid w:val="00046DD0"/>
    <w:rsid w:val="00047E9A"/>
    <w:rsid w:val="00047F05"/>
    <w:rsid w:val="00050810"/>
    <w:rsid w:val="00050E60"/>
    <w:rsid w:val="0005154B"/>
    <w:rsid w:val="00051595"/>
    <w:rsid w:val="00051968"/>
    <w:rsid w:val="00051A47"/>
    <w:rsid w:val="00051E38"/>
    <w:rsid w:val="00051F6F"/>
    <w:rsid w:val="00052A81"/>
    <w:rsid w:val="00052D6F"/>
    <w:rsid w:val="00053868"/>
    <w:rsid w:val="00053EDC"/>
    <w:rsid w:val="00053F04"/>
    <w:rsid w:val="00054267"/>
    <w:rsid w:val="000549CA"/>
    <w:rsid w:val="00054EA8"/>
    <w:rsid w:val="00055050"/>
    <w:rsid w:val="0005510C"/>
    <w:rsid w:val="00055351"/>
    <w:rsid w:val="0005566E"/>
    <w:rsid w:val="0005588B"/>
    <w:rsid w:val="000560F7"/>
    <w:rsid w:val="00056228"/>
    <w:rsid w:val="00056AA0"/>
    <w:rsid w:val="00057E7F"/>
    <w:rsid w:val="00060096"/>
    <w:rsid w:val="0006057A"/>
    <w:rsid w:val="00060C7A"/>
    <w:rsid w:val="00061ECF"/>
    <w:rsid w:val="000620BD"/>
    <w:rsid w:val="0006260E"/>
    <w:rsid w:val="00062673"/>
    <w:rsid w:val="00062688"/>
    <w:rsid w:val="00062EF3"/>
    <w:rsid w:val="00063503"/>
    <w:rsid w:val="00064400"/>
    <w:rsid w:val="00064530"/>
    <w:rsid w:val="000645ED"/>
    <w:rsid w:val="00064C9F"/>
    <w:rsid w:val="00064F61"/>
    <w:rsid w:val="00065665"/>
    <w:rsid w:val="00065FC3"/>
    <w:rsid w:val="000665C3"/>
    <w:rsid w:val="00066D44"/>
    <w:rsid w:val="0006705A"/>
    <w:rsid w:val="000670ED"/>
    <w:rsid w:val="00067BC2"/>
    <w:rsid w:val="0007111A"/>
    <w:rsid w:val="00071595"/>
    <w:rsid w:val="00071950"/>
    <w:rsid w:val="00072191"/>
    <w:rsid w:val="00072372"/>
    <w:rsid w:val="00072628"/>
    <w:rsid w:val="000728B1"/>
    <w:rsid w:val="00072E64"/>
    <w:rsid w:val="000738D7"/>
    <w:rsid w:val="00073DA5"/>
    <w:rsid w:val="000744F4"/>
    <w:rsid w:val="000752E0"/>
    <w:rsid w:val="000753C6"/>
    <w:rsid w:val="0007597B"/>
    <w:rsid w:val="00076E97"/>
    <w:rsid w:val="0007745A"/>
    <w:rsid w:val="00077C6A"/>
    <w:rsid w:val="0008018E"/>
    <w:rsid w:val="000804B4"/>
    <w:rsid w:val="0008153A"/>
    <w:rsid w:val="00081A45"/>
    <w:rsid w:val="00082212"/>
    <w:rsid w:val="000827D2"/>
    <w:rsid w:val="00083DC3"/>
    <w:rsid w:val="00084060"/>
    <w:rsid w:val="000843E7"/>
    <w:rsid w:val="00084457"/>
    <w:rsid w:val="00084B21"/>
    <w:rsid w:val="00085EB0"/>
    <w:rsid w:val="000866A4"/>
    <w:rsid w:val="000868C7"/>
    <w:rsid w:val="000868DA"/>
    <w:rsid w:val="00086E2D"/>
    <w:rsid w:val="0008706C"/>
    <w:rsid w:val="00087240"/>
    <w:rsid w:val="00087F33"/>
    <w:rsid w:val="000903E2"/>
    <w:rsid w:val="00090F79"/>
    <w:rsid w:val="00092502"/>
    <w:rsid w:val="0009345D"/>
    <w:rsid w:val="00094301"/>
    <w:rsid w:val="0009526E"/>
    <w:rsid w:val="00095516"/>
    <w:rsid w:val="00096BE4"/>
    <w:rsid w:val="00096E3F"/>
    <w:rsid w:val="000971EB"/>
    <w:rsid w:val="00097422"/>
    <w:rsid w:val="00097C82"/>
    <w:rsid w:val="00097FAF"/>
    <w:rsid w:val="000A0A5E"/>
    <w:rsid w:val="000A0C2E"/>
    <w:rsid w:val="000A0F66"/>
    <w:rsid w:val="000A1668"/>
    <w:rsid w:val="000A1D2E"/>
    <w:rsid w:val="000A21AA"/>
    <w:rsid w:val="000A21C3"/>
    <w:rsid w:val="000A2B61"/>
    <w:rsid w:val="000A346B"/>
    <w:rsid w:val="000A3634"/>
    <w:rsid w:val="000A3D61"/>
    <w:rsid w:val="000A42D8"/>
    <w:rsid w:val="000A552C"/>
    <w:rsid w:val="000A5DAB"/>
    <w:rsid w:val="000A5DE1"/>
    <w:rsid w:val="000A5E8D"/>
    <w:rsid w:val="000A6382"/>
    <w:rsid w:val="000A6606"/>
    <w:rsid w:val="000A6DAE"/>
    <w:rsid w:val="000A6E89"/>
    <w:rsid w:val="000A6F40"/>
    <w:rsid w:val="000A7524"/>
    <w:rsid w:val="000A79B7"/>
    <w:rsid w:val="000A7C7F"/>
    <w:rsid w:val="000B030E"/>
    <w:rsid w:val="000B095C"/>
    <w:rsid w:val="000B0F9F"/>
    <w:rsid w:val="000B1120"/>
    <w:rsid w:val="000B14DA"/>
    <w:rsid w:val="000B1658"/>
    <w:rsid w:val="000B2398"/>
    <w:rsid w:val="000B2EA7"/>
    <w:rsid w:val="000B3136"/>
    <w:rsid w:val="000B35CE"/>
    <w:rsid w:val="000B3B59"/>
    <w:rsid w:val="000B4815"/>
    <w:rsid w:val="000B482C"/>
    <w:rsid w:val="000B5203"/>
    <w:rsid w:val="000B539C"/>
    <w:rsid w:val="000B53CF"/>
    <w:rsid w:val="000B5A04"/>
    <w:rsid w:val="000B5AFF"/>
    <w:rsid w:val="000B5F5C"/>
    <w:rsid w:val="000B7460"/>
    <w:rsid w:val="000C0195"/>
    <w:rsid w:val="000C128D"/>
    <w:rsid w:val="000C2FA9"/>
    <w:rsid w:val="000C365B"/>
    <w:rsid w:val="000C3680"/>
    <w:rsid w:val="000C375D"/>
    <w:rsid w:val="000C3D49"/>
    <w:rsid w:val="000C4059"/>
    <w:rsid w:val="000C5053"/>
    <w:rsid w:val="000C6590"/>
    <w:rsid w:val="000C7EE3"/>
    <w:rsid w:val="000D03BE"/>
    <w:rsid w:val="000D0E9E"/>
    <w:rsid w:val="000D1911"/>
    <w:rsid w:val="000D29A8"/>
    <w:rsid w:val="000D3A47"/>
    <w:rsid w:val="000D46FD"/>
    <w:rsid w:val="000D4A85"/>
    <w:rsid w:val="000D4DCD"/>
    <w:rsid w:val="000D4FB7"/>
    <w:rsid w:val="000D557D"/>
    <w:rsid w:val="000D5FF7"/>
    <w:rsid w:val="000D7326"/>
    <w:rsid w:val="000D7BB4"/>
    <w:rsid w:val="000E03AB"/>
    <w:rsid w:val="000E054B"/>
    <w:rsid w:val="000E0BB8"/>
    <w:rsid w:val="000E0E5D"/>
    <w:rsid w:val="000E1373"/>
    <w:rsid w:val="000E15D9"/>
    <w:rsid w:val="000E17B8"/>
    <w:rsid w:val="000E185C"/>
    <w:rsid w:val="000E1BB7"/>
    <w:rsid w:val="000E1CF2"/>
    <w:rsid w:val="000E1E55"/>
    <w:rsid w:val="000E20A9"/>
    <w:rsid w:val="000E2BB4"/>
    <w:rsid w:val="000E2CF6"/>
    <w:rsid w:val="000E335A"/>
    <w:rsid w:val="000E41F5"/>
    <w:rsid w:val="000E4289"/>
    <w:rsid w:val="000E695C"/>
    <w:rsid w:val="000E6E43"/>
    <w:rsid w:val="000E7293"/>
    <w:rsid w:val="000E7301"/>
    <w:rsid w:val="000E7BD7"/>
    <w:rsid w:val="000F009B"/>
    <w:rsid w:val="000F0714"/>
    <w:rsid w:val="000F079B"/>
    <w:rsid w:val="000F0B16"/>
    <w:rsid w:val="000F1190"/>
    <w:rsid w:val="000F14AD"/>
    <w:rsid w:val="000F161D"/>
    <w:rsid w:val="000F1891"/>
    <w:rsid w:val="000F21EA"/>
    <w:rsid w:val="000F2310"/>
    <w:rsid w:val="000F25C8"/>
    <w:rsid w:val="000F2D93"/>
    <w:rsid w:val="000F2E3B"/>
    <w:rsid w:val="000F3CCF"/>
    <w:rsid w:val="000F3E26"/>
    <w:rsid w:val="000F43D7"/>
    <w:rsid w:val="000F5210"/>
    <w:rsid w:val="000F5409"/>
    <w:rsid w:val="000F6020"/>
    <w:rsid w:val="000F6283"/>
    <w:rsid w:val="000F66DB"/>
    <w:rsid w:val="000F6DCA"/>
    <w:rsid w:val="000F7629"/>
    <w:rsid w:val="000F765E"/>
    <w:rsid w:val="00100427"/>
    <w:rsid w:val="00100F34"/>
    <w:rsid w:val="00101304"/>
    <w:rsid w:val="00101E35"/>
    <w:rsid w:val="0010209D"/>
    <w:rsid w:val="00103395"/>
    <w:rsid w:val="001038C7"/>
    <w:rsid w:val="00104998"/>
    <w:rsid w:val="001064B7"/>
    <w:rsid w:val="0010696A"/>
    <w:rsid w:val="00106E80"/>
    <w:rsid w:val="00106F20"/>
    <w:rsid w:val="00107A88"/>
    <w:rsid w:val="001103E6"/>
    <w:rsid w:val="001106F8"/>
    <w:rsid w:val="001108E0"/>
    <w:rsid w:val="001108FC"/>
    <w:rsid w:val="00110934"/>
    <w:rsid w:val="00110A6F"/>
    <w:rsid w:val="00110E3C"/>
    <w:rsid w:val="001110CC"/>
    <w:rsid w:val="00111AE1"/>
    <w:rsid w:val="00111B3E"/>
    <w:rsid w:val="001125D5"/>
    <w:rsid w:val="001127BC"/>
    <w:rsid w:val="00112A92"/>
    <w:rsid w:val="00112CED"/>
    <w:rsid w:val="00112F5C"/>
    <w:rsid w:val="00113760"/>
    <w:rsid w:val="00113AC0"/>
    <w:rsid w:val="00113D02"/>
    <w:rsid w:val="001141F4"/>
    <w:rsid w:val="001145E3"/>
    <w:rsid w:val="00114BD7"/>
    <w:rsid w:val="00116107"/>
    <w:rsid w:val="0011677C"/>
    <w:rsid w:val="00116DF2"/>
    <w:rsid w:val="001179A0"/>
    <w:rsid w:val="00117A96"/>
    <w:rsid w:val="00117EE0"/>
    <w:rsid w:val="001203FF"/>
    <w:rsid w:val="0012102B"/>
    <w:rsid w:val="001210E4"/>
    <w:rsid w:val="001211D0"/>
    <w:rsid w:val="001235F1"/>
    <w:rsid w:val="00124B35"/>
    <w:rsid w:val="00124DC3"/>
    <w:rsid w:val="001252E7"/>
    <w:rsid w:val="00125431"/>
    <w:rsid w:val="00126011"/>
    <w:rsid w:val="0012671D"/>
    <w:rsid w:val="00126FFC"/>
    <w:rsid w:val="001278CA"/>
    <w:rsid w:val="0013001C"/>
    <w:rsid w:val="00130B50"/>
    <w:rsid w:val="00131758"/>
    <w:rsid w:val="0013181F"/>
    <w:rsid w:val="00131870"/>
    <w:rsid w:val="00131982"/>
    <w:rsid w:val="00131DB6"/>
    <w:rsid w:val="001343A2"/>
    <w:rsid w:val="00134894"/>
    <w:rsid w:val="00134EFA"/>
    <w:rsid w:val="0013507C"/>
    <w:rsid w:val="001355C3"/>
    <w:rsid w:val="00136973"/>
    <w:rsid w:val="00136FB9"/>
    <w:rsid w:val="001376F5"/>
    <w:rsid w:val="00137B7E"/>
    <w:rsid w:val="00137F09"/>
    <w:rsid w:val="00137F5E"/>
    <w:rsid w:val="00137FE4"/>
    <w:rsid w:val="00140CFA"/>
    <w:rsid w:val="00140DDD"/>
    <w:rsid w:val="00140E46"/>
    <w:rsid w:val="0014154B"/>
    <w:rsid w:val="00141827"/>
    <w:rsid w:val="0014187C"/>
    <w:rsid w:val="00142998"/>
    <w:rsid w:val="00142A9C"/>
    <w:rsid w:val="0014314C"/>
    <w:rsid w:val="001432AD"/>
    <w:rsid w:val="00144001"/>
    <w:rsid w:val="00144122"/>
    <w:rsid w:val="0014446D"/>
    <w:rsid w:val="00144C00"/>
    <w:rsid w:val="001455B2"/>
    <w:rsid w:val="00145BC3"/>
    <w:rsid w:val="00145CD4"/>
    <w:rsid w:val="00146511"/>
    <w:rsid w:val="00146F29"/>
    <w:rsid w:val="0015052B"/>
    <w:rsid w:val="00151098"/>
    <w:rsid w:val="00151476"/>
    <w:rsid w:val="0015151F"/>
    <w:rsid w:val="001528C2"/>
    <w:rsid w:val="00152C39"/>
    <w:rsid w:val="00152D2B"/>
    <w:rsid w:val="00153115"/>
    <w:rsid w:val="0015335E"/>
    <w:rsid w:val="00153C07"/>
    <w:rsid w:val="00154E12"/>
    <w:rsid w:val="00155EEB"/>
    <w:rsid w:val="0015639D"/>
    <w:rsid w:val="00156622"/>
    <w:rsid w:val="0015725F"/>
    <w:rsid w:val="00157B5B"/>
    <w:rsid w:val="00157D73"/>
    <w:rsid w:val="00160BE9"/>
    <w:rsid w:val="001612AA"/>
    <w:rsid w:val="001612BF"/>
    <w:rsid w:val="00161CFF"/>
    <w:rsid w:val="001620DD"/>
    <w:rsid w:val="001622BD"/>
    <w:rsid w:val="001628E7"/>
    <w:rsid w:val="001629B8"/>
    <w:rsid w:val="001633B7"/>
    <w:rsid w:val="0016388F"/>
    <w:rsid w:val="001643D0"/>
    <w:rsid w:val="00164A6D"/>
    <w:rsid w:val="00164B44"/>
    <w:rsid w:val="0016530E"/>
    <w:rsid w:val="0016539B"/>
    <w:rsid w:val="00165842"/>
    <w:rsid w:val="00166719"/>
    <w:rsid w:val="00166B4F"/>
    <w:rsid w:val="00166B75"/>
    <w:rsid w:val="00166B84"/>
    <w:rsid w:val="00166C00"/>
    <w:rsid w:val="001671C7"/>
    <w:rsid w:val="001672AF"/>
    <w:rsid w:val="00170196"/>
    <w:rsid w:val="001708FF"/>
    <w:rsid w:val="00170BC9"/>
    <w:rsid w:val="00170F8C"/>
    <w:rsid w:val="0017127F"/>
    <w:rsid w:val="00171BB3"/>
    <w:rsid w:val="00172107"/>
    <w:rsid w:val="00172265"/>
    <w:rsid w:val="0017284D"/>
    <w:rsid w:val="00172E34"/>
    <w:rsid w:val="0017324D"/>
    <w:rsid w:val="00173877"/>
    <w:rsid w:val="00173E34"/>
    <w:rsid w:val="00174806"/>
    <w:rsid w:val="00174C74"/>
    <w:rsid w:val="00174D38"/>
    <w:rsid w:val="00174EC6"/>
    <w:rsid w:val="00175134"/>
    <w:rsid w:val="00175472"/>
    <w:rsid w:val="00175AD7"/>
    <w:rsid w:val="00175C39"/>
    <w:rsid w:val="001769CD"/>
    <w:rsid w:val="00176A85"/>
    <w:rsid w:val="00176F4D"/>
    <w:rsid w:val="00177542"/>
    <w:rsid w:val="00177702"/>
    <w:rsid w:val="00177C93"/>
    <w:rsid w:val="00177D16"/>
    <w:rsid w:val="001803EC"/>
    <w:rsid w:val="00180C11"/>
    <w:rsid w:val="0018225A"/>
    <w:rsid w:val="001824C0"/>
    <w:rsid w:val="001828E3"/>
    <w:rsid w:val="00182C97"/>
    <w:rsid w:val="0018313D"/>
    <w:rsid w:val="00184A60"/>
    <w:rsid w:val="00184FAC"/>
    <w:rsid w:val="00185C9B"/>
    <w:rsid w:val="00185E1F"/>
    <w:rsid w:val="00185F29"/>
    <w:rsid w:val="00186451"/>
    <w:rsid w:val="00187328"/>
    <w:rsid w:val="00187DC7"/>
    <w:rsid w:val="00187DFC"/>
    <w:rsid w:val="00190210"/>
    <w:rsid w:val="001906E5"/>
    <w:rsid w:val="0019167D"/>
    <w:rsid w:val="001917AB"/>
    <w:rsid w:val="00192114"/>
    <w:rsid w:val="001921A6"/>
    <w:rsid w:val="0019224A"/>
    <w:rsid w:val="00192B90"/>
    <w:rsid w:val="0019377C"/>
    <w:rsid w:val="0019382A"/>
    <w:rsid w:val="00194786"/>
    <w:rsid w:val="0019480F"/>
    <w:rsid w:val="00195393"/>
    <w:rsid w:val="001955D0"/>
    <w:rsid w:val="00195F02"/>
    <w:rsid w:val="00196131"/>
    <w:rsid w:val="00196278"/>
    <w:rsid w:val="001962D3"/>
    <w:rsid w:val="0019641E"/>
    <w:rsid w:val="00196453"/>
    <w:rsid w:val="00196694"/>
    <w:rsid w:val="00196E07"/>
    <w:rsid w:val="001970E7"/>
    <w:rsid w:val="00197164"/>
    <w:rsid w:val="0019745D"/>
    <w:rsid w:val="00197B34"/>
    <w:rsid w:val="00197BC7"/>
    <w:rsid w:val="001A022B"/>
    <w:rsid w:val="001A0349"/>
    <w:rsid w:val="001A0FAD"/>
    <w:rsid w:val="001A1487"/>
    <w:rsid w:val="001A2100"/>
    <w:rsid w:val="001A311C"/>
    <w:rsid w:val="001A3FF0"/>
    <w:rsid w:val="001A42BD"/>
    <w:rsid w:val="001A4C28"/>
    <w:rsid w:val="001A4DC5"/>
    <w:rsid w:val="001A55A9"/>
    <w:rsid w:val="001A57BB"/>
    <w:rsid w:val="001A58D7"/>
    <w:rsid w:val="001A62A9"/>
    <w:rsid w:val="001A6624"/>
    <w:rsid w:val="001A6E76"/>
    <w:rsid w:val="001A71D8"/>
    <w:rsid w:val="001A7866"/>
    <w:rsid w:val="001A7E95"/>
    <w:rsid w:val="001A7EC8"/>
    <w:rsid w:val="001B0470"/>
    <w:rsid w:val="001B04DC"/>
    <w:rsid w:val="001B06A7"/>
    <w:rsid w:val="001B0A3F"/>
    <w:rsid w:val="001B0ABB"/>
    <w:rsid w:val="001B1B34"/>
    <w:rsid w:val="001B2B21"/>
    <w:rsid w:val="001B2B66"/>
    <w:rsid w:val="001B2DE7"/>
    <w:rsid w:val="001B3BC1"/>
    <w:rsid w:val="001B4547"/>
    <w:rsid w:val="001B57A4"/>
    <w:rsid w:val="001B5A6E"/>
    <w:rsid w:val="001B5D4C"/>
    <w:rsid w:val="001B6F80"/>
    <w:rsid w:val="001B7341"/>
    <w:rsid w:val="001B789D"/>
    <w:rsid w:val="001B7BC3"/>
    <w:rsid w:val="001C083C"/>
    <w:rsid w:val="001C09BF"/>
    <w:rsid w:val="001C1D8B"/>
    <w:rsid w:val="001C334C"/>
    <w:rsid w:val="001C36B9"/>
    <w:rsid w:val="001C3907"/>
    <w:rsid w:val="001C3928"/>
    <w:rsid w:val="001C3C03"/>
    <w:rsid w:val="001C440D"/>
    <w:rsid w:val="001C49CB"/>
    <w:rsid w:val="001C52E6"/>
    <w:rsid w:val="001C64DB"/>
    <w:rsid w:val="001C7263"/>
    <w:rsid w:val="001D0276"/>
    <w:rsid w:val="001D052C"/>
    <w:rsid w:val="001D08CA"/>
    <w:rsid w:val="001D0C9F"/>
    <w:rsid w:val="001D1027"/>
    <w:rsid w:val="001D17D7"/>
    <w:rsid w:val="001D17F4"/>
    <w:rsid w:val="001D1D2D"/>
    <w:rsid w:val="001D22F2"/>
    <w:rsid w:val="001D2828"/>
    <w:rsid w:val="001D310E"/>
    <w:rsid w:val="001D36C4"/>
    <w:rsid w:val="001D38B8"/>
    <w:rsid w:val="001D3A20"/>
    <w:rsid w:val="001D53B6"/>
    <w:rsid w:val="001D556B"/>
    <w:rsid w:val="001D5BF2"/>
    <w:rsid w:val="001D5F9A"/>
    <w:rsid w:val="001D6015"/>
    <w:rsid w:val="001D6886"/>
    <w:rsid w:val="001D73B6"/>
    <w:rsid w:val="001D743E"/>
    <w:rsid w:val="001D78D5"/>
    <w:rsid w:val="001E1D6B"/>
    <w:rsid w:val="001E2A91"/>
    <w:rsid w:val="001E37F4"/>
    <w:rsid w:val="001E3990"/>
    <w:rsid w:val="001E39E9"/>
    <w:rsid w:val="001E4052"/>
    <w:rsid w:val="001E5503"/>
    <w:rsid w:val="001E69AE"/>
    <w:rsid w:val="001E69BE"/>
    <w:rsid w:val="001E7572"/>
    <w:rsid w:val="001E789C"/>
    <w:rsid w:val="001E7E36"/>
    <w:rsid w:val="001F05E5"/>
    <w:rsid w:val="001F0BEC"/>
    <w:rsid w:val="001F12A6"/>
    <w:rsid w:val="001F1C20"/>
    <w:rsid w:val="001F1CA4"/>
    <w:rsid w:val="001F1D65"/>
    <w:rsid w:val="001F3A29"/>
    <w:rsid w:val="001F3B0B"/>
    <w:rsid w:val="001F3E52"/>
    <w:rsid w:val="001F4339"/>
    <w:rsid w:val="001F473D"/>
    <w:rsid w:val="001F4EEF"/>
    <w:rsid w:val="001F52DC"/>
    <w:rsid w:val="001F69D4"/>
    <w:rsid w:val="001F782F"/>
    <w:rsid w:val="001F78ED"/>
    <w:rsid w:val="002000AD"/>
    <w:rsid w:val="002002E5"/>
    <w:rsid w:val="0020036B"/>
    <w:rsid w:val="00200FB6"/>
    <w:rsid w:val="00201177"/>
    <w:rsid w:val="00202202"/>
    <w:rsid w:val="002034CB"/>
    <w:rsid w:val="00203664"/>
    <w:rsid w:val="00203690"/>
    <w:rsid w:val="00203AF4"/>
    <w:rsid w:val="00204BD0"/>
    <w:rsid w:val="00205122"/>
    <w:rsid w:val="002055A7"/>
    <w:rsid w:val="002056E5"/>
    <w:rsid w:val="0020575C"/>
    <w:rsid w:val="00205F2C"/>
    <w:rsid w:val="00206595"/>
    <w:rsid w:val="0020679B"/>
    <w:rsid w:val="00206864"/>
    <w:rsid w:val="00206AC3"/>
    <w:rsid w:val="00206C5B"/>
    <w:rsid w:val="00206DDC"/>
    <w:rsid w:val="00207507"/>
    <w:rsid w:val="00207631"/>
    <w:rsid w:val="002102E3"/>
    <w:rsid w:val="00210A20"/>
    <w:rsid w:val="00210D1E"/>
    <w:rsid w:val="00211C25"/>
    <w:rsid w:val="00211C5B"/>
    <w:rsid w:val="00211FC7"/>
    <w:rsid w:val="0021256A"/>
    <w:rsid w:val="00212F1C"/>
    <w:rsid w:val="002131E4"/>
    <w:rsid w:val="00213E3F"/>
    <w:rsid w:val="0021407C"/>
    <w:rsid w:val="00214546"/>
    <w:rsid w:val="00214733"/>
    <w:rsid w:val="00214737"/>
    <w:rsid w:val="002149E6"/>
    <w:rsid w:val="00215612"/>
    <w:rsid w:val="00215FA9"/>
    <w:rsid w:val="002161FF"/>
    <w:rsid w:val="00216F6A"/>
    <w:rsid w:val="00217978"/>
    <w:rsid w:val="00217A3D"/>
    <w:rsid w:val="0022003B"/>
    <w:rsid w:val="0022008B"/>
    <w:rsid w:val="00220839"/>
    <w:rsid w:val="00220E84"/>
    <w:rsid w:val="0022201E"/>
    <w:rsid w:val="00222874"/>
    <w:rsid w:val="00223181"/>
    <w:rsid w:val="00223471"/>
    <w:rsid w:val="00223D89"/>
    <w:rsid w:val="00223F40"/>
    <w:rsid w:val="00224582"/>
    <w:rsid w:val="00224A96"/>
    <w:rsid w:val="00224ADE"/>
    <w:rsid w:val="00224FAE"/>
    <w:rsid w:val="00225680"/>
    <w:rsid w:val="00226AAF"/>
    <w:rsid w:val="002272B4"/>
    <w:rsid w:val="00227710"/>
    <w:rsid w:val="00227CDB"/>
    <w:rsid w:val="00227FC4"/>
    <w:rsid w:val="0023055C"/>
    <w:rsid w:val="00230781"/>
    <w:rsid w:val="00230D40"/>
    <w:rsid w:val="0023102F"/>
    <w:rsid w:val="00231F1F"/>
    <w:rsid w:val="00232328"/>
    <w:rsid w:val="002328C5"/>
    <w:rsid w:val="00232D27"/>
    <w:rsid w:val="00234535"/>
    <w:rsid w:val="0023489B"/>
    <w:rsid w:val="002349C4"/>
    <w:rsid w:val="00235051"/>
    <w:rsid w:val="00235219"/>
    <w:rsid w:val="00235680"/>
    <w:rsid w:val="002364F8"/>
    <w:rsid w:val="00236BD6"/>
    <w:rsid w:val="00236EDA"/>
    <w:rsid w:val="002372DE"/>
    <w:rsid w:val="0023744A"/>
    <w:rsid w:val="002374B2"/>
    <w:rsid w:val="00240540"/>
    <w:rsid w:val="002413A1"/>
    <w:rsid w:val="00241587"/>
    <w:rsid w:val="0024168D"/>
    <w:rsid w:val="00241FB3"/>
    <w:rsid w:val="0024289C"/>
    <w:rsid w:val="00242C96"/>
    <w:rsid w:val="0024300E"/>
    <w:rsid w:val="00243058"/>
    <w:rsid w:val="002434C2"/>
    <w:rsid w:val="00243EF2"/>
    <w:rsid w:val="0024414D"/>
    <w:rsid w:val="00244475"/>
    <w:rsid w:val="00244591"/>
    <w:rsid w:val="002453D5"/>
    <w:rsid w:val="00245447"/>
    <w:rsid w:val="002463CE"/>
    <w:rsid w:val="00246605"/>
    <w:rsid w:val="00246CFB"/>
    <w:rsid w:val="0025014D"/>
    <w:rsid w:val="002504DA"/>
    <w:rsid w:val="002507B6"/>
    <w:rsid w:val="00251C83"/>
    <w:rsid w:val="0025325F"/>
    <w:rsid w:val="002537F2"/>
    <w:rsid w:val="00253C93"/>
    <w:rsid w:val="00253E43"/>
    <w:rsid w:val="00253E54"/>
    <w:rsid w:val="00254292"/>
    <w:rsid w:val="002549F5"/>
    <w:rsid w:val="00256239"/>
    <w:rsid w:val="0025647B"/>
    <w:rsid w:val="002570B2"/>
    <w:rsid w:val="0025746C"/>
    <w:rsid w:val="002579D6"/>
    <w:rsid w:val="00257AB3"/>
    <w:rsid w:val="00260B9F"/>
    <w:rsid w:val="00260D91"/>
    <w:rsid w:val="002613E0"/>
    <w:rsid w:val="002615B9"/>
    <w:rsid w:val="00261BE9"/>
    <w:rsid w:val="00262032"/>
    <w:rsid w:val="0026214B"/>
    <w:rsid w:val="002625E3"/>
    <w:rsid w:val="00262612"/>
    <w:rsid w:val="00262C5D"/>
    <w:rsid w:val="00262D19"/>
    <w:rsid w:val="00263047"/>
    <w:rsid w:val="002632A0"/>
    <w:rsid w:val="002635F4"/>
    <w:rsid w:val="0026369E"/>
    <w:rsid w:val="002637C0"/>
    <w:rsid w:val="00263944"/>
    <w:rsid w:val="00264BE8"/>
    <w:rsid w:val="00264F4D"/>
    <w:rsid w:val="00265886"/>
    <w:rsid w:val="002661A1"/>
    <w:rsid w:val="00266A18"/>
    <w:rsid w:val="00267292"/>
    <w:rsid w:val="00267385"/>
    <w:rsid w:val="00267D75"/>
    <w:rsid w:val="00267FF6"/>
    <w:rsid w:val="002708EC"/>
    <w:rsid w:val="00271274"/>
    <w:rsid w:val="0027129A"/>
    <w:rsid w:val="00271414"/>
    <w:rsid w:val="0027183D"/>
    <w:rsid w:val="00272506"/>
    <w:rsid w:val="00272B35"/>
    <w:rsid w:val="00273A58"/>
    <w:rsid w:val="00273EF8"/>
    <w:rsid w:val="002744AF"/>
    <w:rsid w:val="00274D9F"/>
    <w:rsid w:val="00274E0D"/>
    <w:rsid w:val="002751A7"/>
    <w:rsid w:val="0027532B"/>
    <w:rsid w:val="00276334"/>
    <w:rsid w:val="00276504"/>
    <w:rsid w:val="00280200"/>
    <w:rsid w:val="002805BA"/>
    <w:rsid w:val="00280BD5"/>
    <w:rsid w:val="002815FC"/>
    <w:rsid w:val="00281691"/>
    <w:rsid w:val="002828D5"/>
    <w:rsid w:val="00282C24"/>
    <w:rsid w:val="00282D05"/>
    <w:rsid w:val="002830B4"/>
    <w:rsid w:val="00283157"/>
    <w:rsid w:val="002832CA"/>
    <w:rsid w:val="00283A19"/>
    <w:rsid w:val="00284BD2"/>
    <w:rsid w:val="0028505D"/>
    <w:rsid w:val="00285336"/>
    <w:rsid w:val="002855FD"/>
    <w:rsid w:val="002856B9"/>
    <w:rsid w:val="00286DDF"/>
    <w:rsid w:val="00287038"/>
    <w:rsid w:val="00287076"/>
    <w:rsid w:val="00287DBF"/>
    <w:rsid w:val="00287F28"/>
    <w:rsid w:val="00287F62"/>
    <w:rsid w:val="002905C1"/>
    <w:rsid w:val="00290FA4"/>
    <w:rsid w:val="00291F2C"/>
    <w:rsid w:val="002923B2"/>
    <w:rsid w:val="002926D4"/>
    <w:rsid w:val="00292D9C"/>
    <w:rsid w:val="002932B8"/>
    <w:rsid w:val="0029361D"/>
    <w:rsid w:val="002938BB"/>
    <w:rsid w:val="00293BE8"/>
    <w:rsid w:val="00293C74"/>
    <w:rsid w:val="00293F53"/>
    <w:rsid w:val="0029483D"/>
    <w:rsid w:val="00294C6B"/>
    <w:rsid w:val="00294C76"/>
    <w:rsid w:val="002955F9"/>
    <w:rsid w:val="00295868"/>
    <w:rsid w:val="0029621A"/>
    <w:rsid w:val="00296DFB"/>
    <w:rsid w:val="002970F8"/>
    <w:rsid w:val="00297E73"/>
    <w:rsid w:val="002A0561"/>
    <w:rsid w:val="002A0610"/>
    <w:rsid w:val="002A0A3B"/>
    <w:rsid w:val="002A0E54"/>
    <w:rsid w:val="002A1938"/>
    <w:rsid w:val="002A2188"/>
    <w:rsid w:val="002A21B9"/>
    <w:rsid w:val="002A233B"/>
    <w:rsid w:val="002A3ACD"/>
    <w:rsid w:val="002A3B41"/>
    <w:rsid w:val="002A4641"/>
    <w:rsid w:val="002A4AE2"/>
    <w:rsid w:val="002A4D32"/>
    <w:rsid w:val="002A5090"/>
    <w:rsid w:val="002A54D5"/>
    <w:rsid w:val="002A556C"/>
    <w:rsid w:val="002A5BE0"/>
    <w:rsid w:val="002A634C"/>
    <w:rsid w:val="002A6481"/>
    <w:rsid w:val="002A659B"/>
    <w:rsid w:val="002A6B88"/>
    <w:rsid w:val="002A6E70"/>
    <w:rsid w:val="002A76C8"/>
    <w:rsid w:val="002A77C3"/>
    <w:rsid w:val="002B0532"/>
    <w:rsid w:val="002B0A0D"/>
    <w:rsid w:val="002B0CC6"/>
    <w:rsid w:val="002B2C25"/>
    <w:rsid w:val="002B2F9B"/>
    <w:rsid w:val="002B35C4"/>
    <w:rsid w:val="002B419F"/>
    <w:rsid w:val="002B5025"/>
    <w:rsid w:val="002B56A2"/>
    <w:rsid w:val="002B5872"/>
    <w:rsid w:val="002B5950"/>
    <w:rsid w:val="002B6BFB"/>
    <w:rsid w:val="002B6F65"/>
    <w:rsid w:val="002B75EF"/>
    <w:rsid w:val="002B787F"/>
    <w:rsid w:val="002C0E53"/>
    <w:rsid w:val="002C0F00"/>
    <w:rsid w:val="002C2111"/>
    <w:rsid w:val="002C2E56"/>
    <w:rsid w:val="002C302A"/>
    <w:rsid w:val="002C303B"/>
    <w:rsid w:val="002C37C4"/>
    <w:rsid w:val="002C37E4"/>
    <w:rsid w:val="002C47ED"/>
    <w:rsid w:val="002C4A8B"/>
    <w:rsid w:val="002C4B12"/>
    <w:rsid w:val="002C4FB8"/>
    <w:rsid w:val="002C50DE"/>
    <w:rsid w:val="002C6220"/>
    <w:rsid w:val="002C63C9"/>
    <w:rsid w:val="002C6E23"/>
    <w:rsid w:val="002C7FAB"/>
    <w:rsid w:val="002D00CF"/>
    <w:rsid w:val="002D01FF"/>
    <w:rsid w:val="002D0620"/>
    <w:rsid w:val="002D0A80"/>
    <w:rsid w:val="002D2655"/>
    <w:rsid w:val="002D35D7"/>
    <w:rsid w:val="002D363B"/>
    <w:rsid w:val="002D3954"/>
    <w:rsid w:val="002D420D"/>
    <w:rsid w:val="002D4D31"/>
    <w:rsid w:val="002D50B8"/>
    <w:rsid w:val="002D569B"/>
    <w:rsid w:val="002D57A9"/>
    <w:rsid w:val="002D62DD"/>
    <w:rsid w:val="002D6992"/>
    <w:rsid w:val="002D6A0A"/>
    <w:rsid w:val="002D7117"/>
    <w:rsid w:val="002D7D7C"/>
    <w:rsid w:val="002E0C64"/>
    <w:rsid w:val="002E1D73"/>
    <w:rsid w:val="002E1EEB"/>
    <w:rsid w:val="002E254D"/>
    <w:rsid w:val="002E25FC"/>
    <w:rsid w:val="002E287C"/>
    <w:rsid w:val="002E293D"/>
    <w:rsid w:val="002E2CD7"/>
    <w:rsid w:val="002E3140"/>
    <w:rsid w:val="002E3A21"/>
    <w:rsid w:val="002E3BBE"/>
    <w:rsid w:val="002E3FE0"/>
    <w:rsid w:val="002E445D"/>
    <w:rsid w:val="002E48CB"/>
    <w:rsid w:val="002E505E"/>
    <w:rsid w:val="002E547A"/>
    <w:rsid w:val="002E55B7"/>
    <w:rsid w:val="002E57DA"/>
    <w:rsid w:val="002E5840"/>
    <w:rsid w:val="002E59A1"/>
    <w:rsid w:val="002E5C30"/>
    <w:rsid w:val="002E6F36"/>
    <w:rsid w:val="002E7175"/>
    <w:rsid w:val="002E7181"/>
    <w:rsid w:val="002E7548"/>
    <w:rsid w:val="002F0475"/>
    <w:rsid w:val="002F0E32"/>
    <w:rsid w:val="002F0F72"/>
    <w:rsid w:val="002F16A4"/>
    <w:rsid w:val="002F1A96"/>
    <w:rsid w:val="002F2C0C"/>
    <w:rsid w:val="002F2E6D"/>
    <w:rsid w:val="002F3927"/>
    <w:rsid w:val="002F3CC9"/>
    <w:rsid w:val="002F4433"/>
    <w:rsid w:val="002F4575"/>
    <w:rsid w:val="002F479C"/>
    <w:rsid w:val="002F4E27"/>
    <w:rsid w:val="002F5A74"/>
    <w:rsid w:val="002F69C5"/>
    <w:rsid w:val="002F7955"/>
    <w:rsid w:val="002F7AD2"/>
    <w:rsid w:val="002F7D15"/>
    <w:rsid w:val="003003EA"/>
    <w:rsid w:val="00302AFA"/>
    <w:rsid w:val="00302E8F"/>
    <w:rsid w:val="00302F09"/>
    <w:rsid w:val="0030322F"/>
    <w:rsid w:val="003034E6"/>
    <w:rsid w:val="00303A92"/>
    <w:rsid w:val="00303B0E"/>
    <w:rsid w:val="00304267"/>
    <w:rsid w:val="0030427B"/>
    <w:rsid w:val="003052E1"/>
    <w:rsid w:val="0030561A"/>
    <w:rsid w:val="00305B01"/>
    <w:rsid w:val="00306C6A"/>
    <w:rsid w:val="00306C85"/>
    <w:rsid w:val="00307A9E"/>
    <w:rsid w:val="00307E1F"/>
    <w:rsid w:val="003104FA"/>
    <w:rsid w:val="00311096"/>
    <w:rsid w:val="003110C9"/>
    <w:rsid w:val="00311D59"/>
    <w:rsid w:val="003125A0"/>
    <w:rsid w:val="00312FCB"/>
    <w:rsid w:val="0031347F"/>
    <w:rsid w:val="00313BDC"/>
    <w:rsid w:val="00315095"/>
    <w:rsid w:val="00315B7D"/>
    <w:rsid w:val="00315C0F"/>
    <w:rsid w:val="00315C4D"/>
    <w:rsid w:val="00316277"/>
    <w:rsid w:val="003171BA"/>
    <w:rsid w:val="00317623"/>
    <w:rsid w:val="00317DEC"/>
    <w:rsid w:val="00320126"/>
    <w:rsid w:val="0032112E"/>
    <w:rsid w:val="0032176D"/>
    <w:rsid w:val="00321A4B"/>
    <w:rsid w:val="0032216E"/>
    <w:rsid w:val="00323299"/>
    <w:rsid w:val="003232C4"/>
    <w:rsid w:val="00323400"/>
    <w:rsid w:val="00323FA7"/>
    <w:rsid w:val="003240CB"/>
    <w:rsid w:val="00324B2E"/>
    <w:rsid w:val="00324C36"/>
    <w:rsid w:val="00325632"/>
    <w:rsid w:val="003257D5"/>
    <w:rsid w:val="003259E5"/>
    <w:rsid w:val="00325F18"/>
    <w:rsid w:val="003260B0"/>
    <w:rsid w:val="0032661E"/>
    <w:rsid w:val="0032678A"/>
    <w:rsid w:val="003267FB"/>
    <w:rsid w:val="003278C9"/>
    <w:rsid w:val="00327EC9"/>
    <w:rsid w:val="003312C4"/>
    <w:rsid w:val="00331582"/>
    <w:rsid w:val="00331BF8"/>
    <w:rsid w:val="00331D91"/>
    <w:rsid w:val="00332215"/>
    <w:rsid w:val="00333562"/>
    <w:rsid w:val="00333EB1"/>
    <w:rsid w:val="00333F97"/>
    <w:rsid w:val="00335319"/>
    <w:rsid w:val="00335D1B"/>
    <w:rsid w:val="00336009"/>
    <w:rsid w:val="00336511"/>
    <w:rsid w:val="003400FD"/>
    <w:rsid w:val="00341357"/>
    <w:rsid w:val="00341EBB"/>
    <w:rsid w:val="00342CB6"/>
    <w:rsid w:val="00342FEA"/>
    <w:rsid w:val="003432C2"/>
    <w:rsid w:val="00343E59"/>
    <w:rsid w:val="00344420"/>
    <w:rsid w:val="00344E33"/>
    <w:rsid w:val="00345394"/>
    <w:rsid w:val="00345F17"/>
    <w:rsid w:val="003463A0"/>
    <w:rsid w:val="00346966"/>
    <w:rsid w:val="00347C17"/>
    <w:rsid w:val="003505CE"/>
    <w:rsid w:val="00351BF0"/>
    <w:rsid w:val="00352271"/>
    <w:rsid w:val="003525B0"/>
    <w:rsid w:val="003530DF"/>
    <w:rsid w:val="0035377A"/>
    <w:rsid w:val="00353AD6"/>
    <w:rsid w:val="00354A0B"/>
    <w:rsid w:val="00354A9F"/>
    <w:rsid w:val="00354C5B"/>
    <w:rsid w:val="00354EB4"/>
    <w:rsid w:val="00355964"/>
    <w:rsid w:val="00356086"/>
    <w:rsid w:val="00356BE7"/>
    <w:rsid w:val="00356C9A"/>
    <w:rsid w:val="00356F41"/>
    <w:rsid w:val="00357511"/>
    <w:rsid w:val="00361294"/>
    <w:rsid w:val="00361F72"/>
    <w:rsid w:val="00362F39"/>
    <w:rsid w:val="00362FE6"/>
    <w:rsid w:val="003632CC"/>
    <w:rsid w:val="003642BE"/>
    <w:rsid w:val="003644A5"/>
    <w:rsid w:val="00364F6B"/>
    <w:rsid w:val="003655C9"/>
    <w:rsid w:val="00365779"/>
    <w:rsid w:val="00366110"/>
    <w:rsid w:val="0036660E"/>
    <w:rsid w:val="003672FD"/>
    <w:rsid w:val="003677CA"/>
    <w:rsid w:val="00367D63"/>
    <w:rsid w:val="00370064"/>
    <w:rsid w:val="00371F9A"/>
    <w:rsid w:val="00372233"/>
    <w:rsid w:val="0037226A"/>
    <w:rsid w:val="00372821"/>
    <w:rsid w:val="00372D80"/>
    <w:rsid w:val="00373AA2"/>
    <w:rsid w:val="00373B6E"/>
    <w:rsid w:val="003740B0"/>
    <w:rsid w:val="0037584F"/>
    <w:rsid w:val="00375BFD"/>
    <w:rsid w:val="00375C01"/>
    <w:rsid w:val="00375EFD"/>
    <w:rsid w:val="00376968"/>
    <w:rsid w:val="00377B85"/>
    <w:rsid w:val="00380F42"/>
    <w:rsid w:val="003811FC"/>
    <w:rsid w:val="00381689"/>
    <w:rsid w:val="0038286D"/>
    <w:rsid w:val="00382ADF"/>
    <w:rsid w:val="00382C5A"/>
    <w:rsid w:val="00383BFB"/>
    <w:rsid w:val="00383E0B"/>
    <w:rsid w:val="00385072"/>
    <w:rsid w:val="003859DB"/>
    <w:rsid w:val="00385B9A"/>
    <w:rsid w:val="00386680"/>
    <w:rsid w:val="00386B3F"/>
    <w:rsid w:val="00387200"/>
    <w:rsid w:val="00387EF7"/>
    <w:rsid w:val="00387F86"/>
    <w:rsid w:val="00390A78"/>
    <w:rsid w:val="0039132F"/>
    <w:rsid w:val="00391B87"/>
    <w:rsid w:val="00393125"/>
    <w:rsid w:val="003935C1"/>
    <w:rsid w:val="00393B44"/>
    <w:rsid w:val="0039480A"/>
    <w:rsid w:val="00394FEA"/>
    <w:rsid w:val="00395238"/>
    <w:rsid w:val="00395F74"/>
    <w:rsid w:val="003A0361"/>
    <w:rsid w:val="003A0997"/>
    <w:rsid w:val="003A131F"/>
    <w:rsid w:val="003A297F"/>
    <w:rsid w:val="003A404C"/>
    <w:rsid w:val="003A4C3B"/>
    <w:rsid w:val="003A523D"/>
    <w:rsid w:val="003A5732"/>
    <w:rsid w:val="003A6048"/>
    <w:rsid w:val="003A6205"/>
    <w:rsid w:val="003A6DE9"/>
    <w:rsid w:val="003A6DF5"/>
    <w:rsid w:val="003B052D"/>
    <w:rsid w:val="003B1D44"/>
    <w:rsid w:val="003B2F83"/>
    <w:rsid w:val="003B3EE7"/>
    <w:rsid w:val="003B4464"/>
    <w:rsid w:val="003B44B5"/>
    <w:rsid w:val="003B45B2"/>
    <w:rsid w:val="003B4D89"/>
    <w:rsid w:val="003B4EEA"/>
    <w:rsid w:val="003B5A43"/>
    <w:rsid w:val="003C122C"/>
    <w:rsid w:val="003C1A1E"/>
    <w:rsid w:val="003C211F"/>
    <w:rsid w:val="003C21D7"/>
    <w:rsid w:val="003C2EA7"/>
    <w:rsid w:val="003C300C"/>
    <w:rsid w:val="003C332F"/>
    <w:rsid w:val="003C33AB"/>
    <w:rsid w:val="003C42C5"/>
    <w:rsid w:val="003C4491"/>
    <w:rsid w:val="003C57EF"/>
    <w:rsid w:val="003C59F9"/>
    <w:rsid w:val="003C5EF7"/>
    <w:rsid w:val="003C651B"/>
    <w:rsid w:val="003C6B4B"/>
    <w:rsid w:val="003C703C"/>
    <w:rsid w:val="003C7134"/>
    <w:rsid w:val="003C71C3"/>
    <w:rsid w:val="003C72D0"/>
    <w:rsid w:val="003C7596"/>
    <w:rsid w:val="003D0D5A"/>
    <w:rsid w:val="003D1360"/>
    <w:rsid w:val="003D18B8"/>
    <w:rsid w:val="003D1F53"/>
    <w:rsid w:val="003D251C"/>
    <w:rsid w:val="003D269E"/>
    <w:rsid w:val="003D364A"/>
    <w:rsid w:val="003D4085"/>
    <w:rsid w:val="003D42C3"/>
    <w:rsid w:val="003D430D"/>
    <w:rsid w:val="003D4F8A"/>
    <w:rsid w:val="003D5D15"/>
    <w:rsid w:val="003D64F2"/>
    <w:rsid w:val="003D653B"/>
    <w:rsid w:val="003D6E28"/>
    <w:rsid w:val="003D7288"/>
    <w:rsid w:val="003D7730"/>
    <w:rsid w:val="003D7CB8"/>
    <w:rsid w:val="003E1C8A"/>
    <w:rsid w:val="003E20C6"/>
    <w:rsid w:val="003E2898"/>
    <w:rsid w:val="003E3192"/>
    <w:rsid w:val="003E497B"/>
    <w:rsid w:val="003E4D25"/>
    <w:rsid w:val="003E5AAB"/>
    <w:rsid w:val="003E6A7D"/>
    <w:rsid w:val="003E6F2A"/>
    <w:rsid w:val="003E70FA"/>
    <w:rsid w:val="003E786D"/>
    <w:rsid w:val="003E787A"/>
    <w:rsid w:val="003E7F69"/>
    <w:rsid w:val="003F0101"/>
    <w:rsid w:val="003F058E"/>
    <w:rsid w:val="003F13EE"/>
    <w:rsid w:val="003F240F"/>
    <w:rsid w:val="003F26AE"/>
    <w:rsid w:val="003F2769"/>
    <w:rsid w:val="003F475E"/>
    <w:rsid w:val="003F4A65"/>
    <w:rsid w:val="003F4BC3"/>
    <w:rsid w:val="003F4D91"/>
    <w:rsid w:val="003F520B"/>
    <w:rsid w:val="003F5B61"/>
    <w:rsid w:val="003F6225"/>
    <w:rsid w:val="003F681B"/>
    <w:rsid w:val="003F6863"/>
    <w:rsid w:val="003F7E7D"/>
    <w:rsid w:val="00400568"/>
    <w:rsid w:val="00400D15"/>
    <w:rsid w:val="00400E47"/>
    <w:rsid w:val="004013CB"/>
    <w:rsid w:val="004014EB"/>
    <w:rsid w:val="00401A60"/>
    <w:rsid w:val="00401F01"/>
    <w:rsid w:val="00402418"/>
    <w:rsid w:val="004025BE"/>
    <w:rsid w:val="00403300"/>
    <w:rsid w:val="004039DD"/>
    <w:rsid w:val="00403DE6"/>
    <w:rsid w:val="00403DF0"/>
    <w:rsid w:val="00404637"/>
    <w:rsid w:val="00404EBF"/>
    <w:rsid w:val="0040514A"/>
    <w:rsid w:val="00405F7F"/>
    <w:rsid w:val="004065E7"/>
    <w:rsid w:val="004076B0"/>
    <w:rsid w:val="00407FFC"/>
    <w:rsid w:val="0041030B"/>
    <w:rsid w:val="004109E4"/>
    <w:rsid w:val="004115E3"/>
    <w:rsid w:val="004118EB"/>
    <w:rsid w:val="0041192A"/>
    <w:rsid w:val="00412D08"/>
    <w:rsid w:val="004131C2"/>
    <w:rsid w:val="004132E6"/>
    <w:rsid w:val="004141DC"/>
    <w:rsid w:val="00414604"/>
    <w:rsid w:val="0041509E"/>
    <w:rsid w:val="0041521E"/>
    <w:rsid w:val="00416639"/>
    <w:rsid w:val="00416F10"/>
    <w:rsid w:val="00417402"/>
    <w:rsid w:val="004178A9"/>
    <w:rsid w:val="004209A1"/>
    <w:rsid w:val="00420F93"/>
    <w:rsid w:val="00421220"/>
    <w:rsid w:val="004223FE"/>
    <w:rsid w:val="00422D34"/>
    <w:rsid w:val="00424A2A"/>
    <w:rsid w:val="0042504E"/>
    <w:rsid w:val="004257DA"/>
    <w:rsid w:val="00425D01"/>
    <w:rsid w:val="0042645E"/>
    <w:rsid w:val="00426B70"/>
    <w:rsid w:val="004273A1"/>
    <w:rsid w:val="00427763"/>
    <w:rsid w:val="004312C2"/>
    <w:rsid w:val="004315AA"/>
    <w:rsid w:val="00431DC6"/>
    <w:rsid w:val="00431E32"/>
    <w:rsid w:val="00432093"/>
    <w:rsid w:val="00433399"/>
    <w:rsid w:val="00433913"/>
    <w:rsid w:val="00433D87"/>
    <w:rsid w:val="004355B3"/>
    <w:rsid w:val="00435813"/>
    <w:rsid w:val="00435815"/>
    <w:rsid w:val="0043589E"/>
    <w:rsid w:val="00435D8B"/>
    <w:rsid w:val="00436913"/>
    <w:rsid w:val="0043699A"/>
    <w:rsid w:val="00436F37"/>
    <w:rsid w:val="0043729A"/>
    <w:rsid w:val="00437395"/>
    <w:rsid w:val="00437D59"/>
    <w:rsid w:val="00440218"/>
    <w:rsid w:val="004408A1"/>
    <w:rsid w:val="00442523"/>
    <w:rsid w:val="00442B5A"/>
    <w:rsid w:val="00443078"/>
    <w:rsid w:val="004438B3"/>
    <w:rsid w:val="00443E6D"/>
    <w:rsid w:val="00443ECE"/>
    <w:rsid w:val="00443F37"/>
    <w:rsid w:val="00444147"/>
    <w:rsid w:val="004441A0"/>
    <w:rsid w:val="00444DE9"/>
    <w:rsid w:val="00445612"/>
    <w:rsid w:val="004456A5"/>
    <w:rsid w:val="00445A3E"/>
    <w:rsid w:val="004467CA"/>
    <w:rsid w:val="004472C4"/>
    <w:rsid w:val="004473A1"/>
    <w:rsid w:val="00447585"/>
    <w:rsid w:val="00450D9A"/>
    <w:rsid w:val="00452471"/>
    <w:rsid w:val="00452720"/>
    <w:rsid w:val="00452909"/>
    <w:rsid w:val="00452DE2"/>
    <w:rsid w:val="00453A0C"/>
    <w:rsid w:val="00453E0C"/>
    <w:rsid w:val="00454BF3"/>
    <w:rsid w:val="004555BD"/>
    <w:rsid w:val="004557F6"/>
    <w:rsid w:val="00455A3A"/>
    <w:rsid w:val="004605B7"/>
    <w:rsid w:val="00460B32"/>
    <w:rsid w:val="00460DAC"/>
    <w:rsid w:val="00460FBC"/>
    <w:rsid w:val="00461661"/>
    <w:rsid w:val="004618BF"/>
    <w:rsid w:val="00461B4F"/>
    <w:rsid w:val="0046393B"/>
    <w:rsid w:val="00463951"/>
    <w:rsid w:val="00463BD7"/>
    <w:rsid w:val="00464444"/>
    <w:rsid w:val="00464DCB"/>
    <w:rsid w:val="00464F41"/>
    <w:rsid w:val="0046660A"/>
    <w:rsid w:val="00467236"/>
    <w:rsid w:val="00467F8E"/>
    <w:rsid w:val="0047046F"/>
    <w:rsid w:val="004705B5"/>
    <w:rsid w:val="004705D7"/>
    <w:rsid w:val="00470628"/>
    <w:rsid w:val="0047102D"/>
    <w:rsid w:val="00471882"/>
    <w:rsid w:val="00471BE3"/>
    <w:rsid w:val="004720F3"/>
    <w:rsid w:val="00472470"/>
    <w:rsid w:val="0047320F"/>
    <w:rsid w:val="0047374B"/>
    <w:rsid w:val="00473950"/>
    <w:rsid w:val="0047453F"/>
    <w:rsid w:val="0047459C"/>
    <w:rsid w:val="0047478A"/>
    <w:rsid w:val="004759C6"/>
    <w:rsid w:val="00475ADA"/>
    <w:rsid w:val="00475F13"/>
    <w:rsid w:val="00476D69"/>
    <w:rsid w:val="004807E6"/>
    <w:rsid w:val="00480C9D"/>
    <w:rsid w:val="00481686"/>
    <w:rsid w:val="00481732"/>
    <w:rsid w:val="0048201C"/>
    <w:rsid w:val="00483334"/>
    <w:rsid w:val="00483849"/>
    <w:rsid w:val="00483A9F"/>
    <w:rsid w:val="00483E6D"/>
    <w:rsid w:val="00484DB6"/>
    <w:rsid w:val="00484DC5"/>
    <w:rsid w:val="00484E49"/>
    <w:rsid w:val="00485486"/>
    <w:rsid w:val="004854A0"/>
    <w:rsid w:val="004857E9"/>
    <w:rsid w:val="0048606D"/>
    <w:rsid w:val="00486650"/>
    <w:rsid w:val="00486DEC"/>
    <w:rsid w:val="004870F1"/>
    <w:rsid w:val="00487400"/>
    <w:rsid w:val="00487A05"/>
    <w:rsid w:val="0049004D"/>
    <w:rsid w:val="00490175"/>
    <w:rsid w:val="0049032D"/>
    <w:rsid w:val="00490BA7"/>
    <w:rsid w:val="00490D38"/>
    <w:rsid w:val="00490E85"/>
    <w:rsid w:val="0049107A"/>
    <w:rsid w:val="00491A75"/>
    <w:rsid w:val="00491BFD"/>
    <w:rsid w:val="00491DA4"/>
    <w:rsid w:val="00492093"/>
    <w:rsid w:val="00493F94"/>
    <w:rsid w:val="004942E2"/>
    <w:rsid w:val="00494CC8"/>
    <w:rsid w:val="004958A6"/>
    <w:rsid w:val="00495E01"/>
    <w:rsid w:val="004965A3"/>
    <w:rsid w:val="00497198"/>
    <w:rsid w:val="004974A7"/>
    <w:rsid w:val="00497542"/>
    <w:rsid w:val="004975C2"/>
    <w:rsid w:val="00497723"/>
    <w:rsid w:val="00497F9B"/>
    <w:rsid w:val="004A0B5B"/>
    <w:rsid w:val="004A0BF4"/>
    <w:rsid w:val="004A1128"/>
    <w:rsid w:val="004A1A42"/>
    <w:rsid w:val="004A2D92"/>
    <w:rsid w:val="004A2DBA"/>
    <w:rsid w:val="004A30F3"/>
    <w:rsid w:val="004A34C8"/>
    <w:rsid w:val="004A4028"/>
    <w:rsid w:val="004A4038"/>
    <w:rsid w:val="004A4575"/>
    <w:rsid w:val="004A4E13"/>
    <w:rsid w:val="004A5A86"/>
    <w:rsid w:val="004A5FEC"/>
    <w:rsid w:val="004A63A6"/>
    <w:rsid w:val="004A6B6F"/>
    <w:rsid w:val="004A7CD5"/>
    <w:rsid w:val="004B044C"/>
    <w:rsid w:val="004B093B"/>
    <w:rsid w:val="004B1072"/>
    <w:rsid w:val="004B11F4"/>
    <w:rsid w:val="004B2BBA"/>
    <w:rsid w:val="004B2DD9"/>
    <w:rsid w:val="004B387D"/>
    <w:rsid w:val="004B3A7E"/>
    <w:rsid w:val="004B463E"/>
    <w:rsid w:val="004B4717"/>
    <w:rsid w:val="004B4A76"/>
    <w:rsid w:val="004B4B36"/>
    <w:rsid w:val="004B5570"/>
    <w:rsid w:val="004B57F1"/>
    <w:rsid w:val="004B634A"/>
    <w:rsid w:val="004B677D"/>
    <w:rsid w:val="004B6883"/>
    <w:rsid w:val="004B6D26"/>
    <w:rsid w:val="004C0297"/>
    <w:rsid w:val="004C076B"/>
    <w:rsid w:val="004C0A70"/>
    <w:rsid w:val="004C0DF8"/>
    <w:rsid w:val="004C1F2C"/>
    <w:rsid w:val="004C25C0"/>
    <w:rsid w:val="004C2A22"/>
    <w:rsid w:val="004C2FF4"/>
    <w:rsid w:val="004C4918"/>
    <w:rsid w:val="004C49AC"/>
    <w:rsid w:val="004C50D5"/>
    <w:rsid w:val="004C5681"/>
    <w:rsid w:val="004C5CB4"/>
    <w:rsid w:val="004C6829"/>
    <w:rsid w:val="004C74B7"/>
    <w:rsid w:val="004D00AF"/>
    <w:rsid w:val="004D0BAC"/>
    <w:rsid w:val="004D1266"/>
    <w:rsid w:val="004D1BE9"/>
    <w:rsid w:val="004D2363"/>
    <w:rsid w:val="004D2E17"/>
    <w:rsid w:val="004D3255"/>
    <w:rsid w:val="004D4241"/>
    <w:rsid w:val="004D45F3"/>
    <w:rsid w:val="004D5A17"/>
    <w:rsid w:val="004D60CD"/>
    <w:rsid w:val="004D6934"/>
    <w:rsid w:val="004D6BB6"/>
    <w:rsid w:val="004D6E98"/>
    <w:rsid w:val="004D7991"/>
    <w:rsid w:val="004E03D2"/>
    <w:rsid w:val="004E0AB5"/>
    <w:rsid w:val="004E0E48"/>
    <w:rsid w:val="004E10C5"/>
    <w:rsid w:val="004E1E8E"/>
    <w:rsid w:val="004E2E24"/>
    <w:rsid w:val="004E39D9"/>
    <w:rsid w:val="004E41B3"/>
    <w:rsid w:val="004E46AF"/>
    <w:rsid w:val="004E5410"/>
    <w:rsid w:val="004E5A4B"/>
    <w:rsid w:val="004E5D3E"/>
    <w:rsid w:val="004E6A90"/>
    <w:rsid w:val="004E6B3F"/>
    <w:rsid w:val="004E7E29"/>
    <w:rsid w:val="004F05E7"/>
    <w:rsid w:val="004F064D"/>
    <w:rsid w:val="004F0F08"/>
    <w:rsid w:val="004F1234"/>
    <w:rsid w:val="004F1360"/>
    <w:rsid w:val="004F1779"/>
    <w:rsid w:val="004F23FA"/>
    <w:rsid w:val="004F2B97"/>
    <w:rsid w:val="004F3012"/>
    <w:rsid w:val="004F3158"/>
    <w:rsid w:val="004F322C"/>
    <w:rsid w:val="004F3B42"/>
    <w:rsid w:val="004F3DD5"/>
    <w:rsid w:val="004F46A7"/>
    <w:rsid w:val="004F48D0"/>
    <w:rsid w:val="004F4AFC"/>
    <w:rsid w:val="004F4C76"/>
    <w:rsid w:val="004F53DD"/>
    <w:rsid w:val="004F57DD"/>
    <w:rsid w:val="004F5BAD"/>
    <w:rsid w:val="00500750"/>
    <w:rsid w:val="00500AE9"/>
    <w:rsid w:val="00500BE6"/>
    <w:rsid w:val="00501B98"/>
    <w:rsid w:val="005023A2"/>
    <w:rsid w:val="0050247D"/>
    <w:rsid w:val="00502699"/>
    <w:rsid w:val="005028EF"/>
    <w:rsid w:val="00503280"/>
    <w:rsid w:val="005036A4"/>
    <w:rsid w:val="005036BB"/>
    <w:rsid w:val="0050375C"/>
    <w:rsid w:val="00504665"/>
    <w:rsid w:val="00504855"/>
    <w:rsid w:val="00505691"/>
    <w:rsid w:val="00505883"/>
    <w:rsid w:val="005065F3"/>
    <w:rsid w:val="00506D7C"/>
    <w:rsid w:val="00507A8F"/>
    <w:rsid w:val="00510276"/>
    <w:rsid w:val="0051039E"/>
    <w:rsid w:val="00511730"/>
    <w:rsid w:val="005119EC"/>
    <w:rsid w:val="0051217D"/>
    <w:rsid w:val="00512C04"/>
    <w:rsid w:val="005133D1"/>
    <w:rsid w:val="005135C9"/>
    <w:rsid w:val="005136BD"/>
    <w:rsid w:val="0051485C"/>
    <w:rsid w:val="00514BC8"/>
    <w:rsid w:val="00515171"/>
    <w:rsid w:val="00515978"/>
    <w:rsid w:val="00515BA7"/>
    <w:rsid w:val="00515E84"/>
    <w:rsid w:val="00516018"/>
    <w:rsid w:val="005165F7"/>
    <w:rsid w:val="00516764"/>
    <w:rsid w:val="005170BD"/>
    <w:rsid w:val="00517125"/>
    <w:rsid w:val="00517225"/>
    <w:rsid w:val="005176D9"/>
    <w:rsid w:val="00520A0E"/>
    <w:rsid w:val="0052118B"/>
    <w:rsid w:val="00521880"/>
    <w:rsid w:val="00522065"/>
    <w:rsid w:val="0052229F"/>
    <w:rsid w:val="00523242"/>
    <w:rsid w:val="005232D0"/>
    <w:rsid w:val="00523617"/>
    <w:rsid w:val="00523977"/>
    <w:rsid w:val="00523B4D"/>
    <w:rsid w:val="00523D99"/>
    <w:rsid w:val="005244AC"/>
    <w:rsid w:val="0052636B"/>
    <w:rsid w:val="005270E4"/>
    <w:rsid w:val="00527229"/>
    <w:rsid w:val="0052783B"/>
    <w:rsid w:val="00531097"/>
    <w:rsid w:val="00531B39"/>
    <w:rsid w:val="005324AD"/>
    <w:rsid w:val="00532799"/>
    <w:rsid w:val="005338DE"/>
    <w:rsid w:val="0053408E"/>
    <w:rsid w:val="00534492"/>
    <w:rsid w:val="005344AC"/>
    <w:rsid w:val="00534BB1"/>
    <w:rsid w:val="00534EC8"/>
    <w:rsid w:val="00535587"/>
    <w:rsid w:val="005362FE"/>
    <w:rsid w:val="00537747"/>
    <w:rsid w:val="0053775C"/>
    <w:rsid w:val="00537D07"/>
    <w:rsid w:val="00540961"/>
    <w:rsid w:val="005409EF"/>
    <w:rsid w:val="00540C0E"/>
    <w:rsid w:val="005410DC"/>
    <w:rsid w:val="00542F2E"/>
    <w:rsid w:val="005436C6"/>
    <w:rsid w:val="005443EB"/>
    <w:rsid w:val="005448DB"/>
    <w:rsid w:val="00544A6F"/>
    <w:rsid w:val="00544D28"/>
    <w:rsid w:val="00544EB5"/>
    <w:rsid w:val="00544FD4"/>
    <w:rsid w:val="0054501A"/>
    <w:rsid w:val="00545412"/>
    <w:rsid w:val="00545F36"/>
    <w:rsid w:val="005467E4"/>
    <w:rsid w:val="00546814"/>
    <w:rsid w:val="00546858"/>
    <w:rsid w:val="005472AC"/>
    <w:rsid w:val="005475BF"/>
    <w:rsid w:val="0054767A"/>
    <w:rsid w:val="005505AE"/>
    <w:rsid w:val="00550971"/>
    <w:rsid w:val="00550C83"/>
    <w:rsid w:val="00551041"/>
    <w:rsid w:val="00551EEE"/>
    <w:rsid w:val="005526BB"/>
    <w:rsid w:val="00552CAE"/>
    <w:rsid w:val="00553717"/>
    <w:rsid w:val="005542E7"/>
    <w:rsid w:val="005545C0"/>
    <w:rsid w:val="00554AF3"/>
    <w:rsid w:val="00555CBA"/>
    <w:rsid w:val="00555D36"/>
    <w:rsid w:val="0055608D"/>
    <w:rsid w:val="0055666E"/>
    <w:rsid w:val="00556A7C"/>
    <w:rsid w:val="00556F66"/>
    <w:rsid w:val="005570B5"/>
    <w:rsid w:val="00560081"/>
    <w:rsid w:val="00560718"/>
    <w:rsid w:val="00560CF7"/>
    <w:rsid w:val="00561D36"/>
    <w:rsid w:val="005625A0"/>
    <w:rsid w:val="00562A05"/>
    <w:rsid w:val="00563653"/>
    <w:rsid w:val="005643FC"/>
    <w:rsid w:val="005646CF"/>
    <w:rsid w:val="00566A9A"/>
    <w:rsid w:val="00567072"/>
    <w:rsid w:val="00567884"/>
    <w:rsid w:val="00567C5D"/>
    <w:rsid w:val="00567CAC"/>
    <w:rsid w:val="00570872"/>
    <w:rsid w:val="00570AD3"/>
    <w:rsid w:val="00570CA5"/>
    <w:rsid w:val="0057135E"/>
    <w:rsid w:val="00571833"/>
    <w:rsid w:val="00571D85"/>
    <w:rsid w:val="00571E61"/>
    <w:rsid w:val="00572003"/>
    <w:rsid w:val="00573206"/>
    <w:rsid w:val="00573BFA"/>
    <w:rsid w:val="00573C04"/>
    <w:rsid w:val="005741A1"/>
    <w:rsid w:val="005746E6"/>
    <w:rsid w:val="00575264"/>
    <w:rsid w:val="005757AE"/>
    <w:rsid w:val="00575BEA"/>
    <w:rsid w:val="00575EBA"/>
    <w:rsid w:val="00576730"/>
    <w:rsid w:val="005769A0"/>
    <w:rsid w:val="00576BCF"/>
    <w:rsid w:val="0058163B"/>
    <w:rsid w:val="005817F2"/>
    <w:rsid w:val="00581D02"/>
    <w:rsid w:val="00582942"/>
    <w:rsid w:val="00582FCD"/>
    <w:rsid w:val="0058364C"/>
    <w:rsid w:val="00583ADD"/>
    <w:rsid w:val="0058437F"/>
    <w:rsid w:val="00584417"/>
    <w:rsid w:val="00584466"/>
    <w:rsid w:val="005844E8"/>
    <w:rsid w:val="005845CB"/>
    <w:rsid w:val="0058465E"/>
    <w:rsid w:val="00584817"/>
    <w:rsid w:val="00585005"/>
    <w:rsid w:val="005858FE"/>
    <w:rsid w:val="00585CED"/>
    <w:rsid w:val="00585D66"/>
    <w:rsid w:val="00586335"/>
    <w:rsid w:val="005865B5"/>
    <w:rsid w:val="005867C2"/>
    <w:rsid w:val="00586A10"/>
    <w:rsid w:val="0058750A"/>
    <w:rsid w:val="00587A06"/>
    <w:rsid w:val="00590A85"/>
    <w:rsid w:val="00590FCB"/>
    <w:rsid w:val="00591DC7"/>
    <w:rsid w:val="005922DF"/>
    <w:rsid w:val="005926BA"/>
    <w:rsid w:val="00592812"/>
    <w:rsid w:val="0059365E"/>
    <w:rsid w:val="005938DC"/>
    <w:rsid w:val="00593E8B"/>
    <w:rsid w:val="00595126"/>
    <w:rsid w:val="00595F16"/>
    <w:rsid w:val="0059698A"/>
    <w:rsid w:val="00597A1D"/>
    <w:rsid w:val="00597DC3"/>
    <w:rsid w:val="00597EAE"/>
    <w:rsid w:val="005A04CA"/>
    <w:rsid w:val="005A0C17"/>
    <w:rsid w:val="005A147A"/>
    <w:rsid w:val="005A261F"/>
    <w:rsid w:val="005A2A31"/>
    <w:rsid w:val="005A2E76"/>
    <w:rsid w:val="005A3070"/>
    <w:rsid w:val="005A3930"/>
    <w:rsid w:val="005A39D5"/>
    <w:rsid w:val="005A3E89"/>
    <w:rsid w:val="005A45C0"/>
    <w:rsid w:val="005A4D6F"/>
    <w:rsid w:val="005A52A5"/>
    <w:rsid w:val="005A62C2"/>
    <w:rsid w:val="005A6C63"/>
    <w:rsid w:val="005A7002"/>
    <w:rsid w:val="005A70F2"/>
    <w:rsid w:val="005B1817"/>
    <w:rsid w:val="005B28CC"/>
    <w:rsid w:val="005B30FA"/>
    <w:rsid w:val="005B333B"/>
    <w:rsid w:val="005B381B"/>
    <w:rsid w:val="005B3DDF"/>
    <w:rsid w:val="005B4294"/>
    <w:rsid w:val="005B4C92"/>
    <w:rsid w:val="005B6051"/>
    <w:rsid w:val="005B6090"/>
    <w:rsid w:val="005B60BA"/>
    <w:rsid w:val="005B60EF"/>
    <w:rsid w:val="005B6465"/>
    <w:rsid w:val="005B6C96"/>
    <w:rsid w:val="005C17C6"/>
    <w:rsid w:val="005C20E8"/>
    <w:rsid w:val="005C37E5"/>
    <w:rsid w:val="005C38FF"/>
    <w:rsid w:val="005C441E"/>
    <w:rsid w:val="005C4910"/>
    <w:rsid w:val="005C6195"/>
    <w:rsid w:val="005C7240"/>
    <w:rsid w:val="005D02A5"/>
    <w:rsid w:val="005D081F"/>
    <w:rsid w:val="005D106A"/>
    <w:rsid w:val="005D18C6"/>
    <w:rsid w:val="005D34E1"/>
    <w:rsid w:val="005D3D46"/>
    <w:rsid w:val="005D4EE8"/>
    <w:rsid w:val="005D50BF"/>
    <w:rsid w:val="005D50F4"/>
    <w:rsid w:val="005D6BBA"/>
    <w:rsid w:val="005D7027"/>
    <w:rsid w:val="005D753A"/>
    <w:rsid w:val="005E029C"/>
    <w:rsid w:val="005E08B2"/>
    <w:rsid w:val="005E1015"/>
    <w:rsid w:val="005E1027"/>
    <w:rsid w:val="005E15C0"/>
    <w:rsid w:val="005E1811"/>
    <w:rsid w:val="005E1AC9"/>
    <w:rsid w:val="005E1FEC"/>
    <w:rsid w:val="005E2240"/>
    <w:rsid w:val="005E34B9"/>
    <w:rsid w:val="005E3855"/>
    <w:rsid w:val="005E3F54"/>
    <w:rsid w:val="005E4349"/>
    <w:rsid w:val="005E5426"/>
    <w:rsid w:val="005E601E"/>
    <w:rsid w:val="005E7EAB"/>
    <w:rsid w:val="005E7ED4"/>
    <w:rsid w:val="005F0356"/>
    <w:rsid w:val="005F069D"/>
    <w:rsid w:val="005F0AF1"/>
    <w:rsid w:val="005F0AFE"/>
    <w:rsid w:val="005F1894"/>
    <w:rsid w:val="005F1D4D"/>
    <w:rsid w:val="005F2595"/>
    <w:rsid w:val="005F2C3C"/>
    <w:rsid w:val="005F2CD9"/>
    <w:rsid w:val="005F2F06"/>
    <w:rsid w:val="005F2FAF"/>
    <w:rsid w:val="005F3C7E"/>
    <w:rsid w:val="005F40DC"/>
    <w:rsid w:val="005F4F31"/>
    <w:rsid w:val="005F5B01"/>
    <w:rsid w:val="005F5F0B"/>
    <w:rsid w:val="005F7153"/>
    <w:rsid w:val="005F73F8"/>
    <w:rsid w:val="005F761A"/>
    <w:rsid w:val="006006EB"/>
    <w:rsid w:val="00600B80"/>
    <w:rsid w:val="00601202"/>
    <w:rsid w:val="006013EE"/>
    <w:rsid w:val="00601D28"/>
    <w:rsid w:val="0060295E"/>
    <w:rsid w:val="00603533"/>
    <w:rsid w:val="006039CB"/>
    <w:rsid w:val="0060463C"/>
    <w:rsid w:val="00604A71"/>
    <w:rsid w:val="00604F48"/>
    <w:rsid w:val="00605B68"/>
    <w:rsid w:val="00605D75"/>
    <w:rsid w:val="0060605E"/>
    <w:rsid w:val="00606EF8"/>
    <w:rsid w:val="00607508"/>
    <w:rsid w:val="0061028E"/>
    <w:rsid w:val="00610975"/>
    <w:rsid w:val="00610CB0"/>
    <w:rsid w:val="00610D4D"/>
    <w:rsid w:val="00612012"/>
    <w:rsid w:val="00612942"/>
    <w:rsid w:val="00612958"/>
    <w:rsid w:val="00613BB5"/>
    <w:rsid w:val="00613D82"/>
    <w:rsid w:val="00614211"/>
    <w:rsid w:val="006155CF"/>
    <w:rsid w:val="00615C8F"/>
    <w:rsid w:val="00616572"/>
    <w:rsid w:val="0061672A"/>
    <w:rsid w:val="00616EAA"/>
    <w:rsid w:val="0061708A"/>
    <w:rsid w:val="00617C1F"/>
    <w:rsid w:val="0062025B"/>
    <w:rsid w:val="0062204E"/>
    <w:rsid w:val="00622124"/>
    <w:rsid w:val="0062252F"/>
    <w:rsid w:val="00622822"/>
    <w:rsid w:val="00622880"/>
    <w:rsid w:val="00624057"/>
    <w:rsid w:val="0062440F"/>
    <w:rsid w:val="00624596"/>
    <w:rsid w:val="006249D8"/>
    <w:rsid w:val="00624DCB"/>
    <w:rsid w:val="00624DD6"/>
    <w:rsid w:val="0062576F"/>
    <w:rsid w:val="0062577F"/>
    <w:rsid w:val="00625CFA"/>
    <w:rsid w:val="006266C1"/>
    <w:rsid w:val="00626A95"/>
    <w:rsid w:val="00626C29"/>
    <w:rsid w:val="00631A34"/>
    <w:rsid w:val="00631D02"/>
    <w:rsid w:val="006323D4"/>
    <w:rsid w:val="00632BBC"/>
    <w:rsid w:val="00632FDF"/>
    <w:rsid w:val="006331E8"/>
    <w:rsid w:val="0063322F"/>
    <w:rsid w:val="006336C7"/>
    <w:rsid w:val="00634F0C"/>
    <w:rsid w:val="00635086"/>
    <w:rsid w:val="006356EB"/>
    <w:rsid w:val="006357C2"/>
    <w:rsid w:val="00635E2F"/>
    <w:rsid w:val="00636580"/>
    <w:rsid w:val="00636BC3"/>
    <w:rsid w:val="00637775"/>
    <w:rsid w:val="00640278"/>
    <w:rsid w:val="00641293"/>
    <w:rsid w:val="00642CA4"/>
    <w:rsid w:val="00643AD3"/>
    <w:rsid w:val="006440A3"/>
    <w:rsid w:val="00644268"/>
    <w:rsid w:val="00644643"/>
    <w:rsid w:val="0064489C"/>
    <w:rsid w:val="00645F7A"/>
    <w:rsid w:val="00646142"/>
    <w:rsid w:val="0064665D"/>
    <w:rsid w:val="006469C3"/>
    <w:rsid w:val="006474EA"/>
    <w:rsid w:val="006478AE"/>
    <w:rsid w:val="0064795E"/>
    <w:rsid w:val="0065074F"/>
    <w:rsid w:val="006508FC"/>
    <w:rsid w:val="00650DD6"/>
    <w:rsid w:val="00651B9D"/>
    <w:rsid w:val="00652675"/>
    <w:rsid w:val="00652C4B"/>
    <w:rsid w:val="00653026"/>
    <w:rsid w:val="00653868"/>
    <w:rsid w:val="00653CE7"/>
    <w:rsid w:val="00654330"/>
    <w:rsid w:val="0065451A"/>
    <w:rsid w:val="00654660"/>
    <w:rsid w:val="00654732"/>
    <w:rsid w:val="0065531C"/>
    <w:rsid w:val="00655575"/>
    <w:rsid w:val="00655598"/>
    <w:rsid w:val="006557B8"/>
    <w:rsid w:val="0065585F"/>
    <w:rsid w:val="00655B5B"/>
    <w:rsid w:val="0065695B"/>
    <w:rsid w:val="00656B7D"/>
    <w:rsid w:val="00656D62"/>
    <w:rsid w:val="00656EFB"/>
    <w:rsid w:val="00656FFF"/>
    <w:rsid w:val="00657EF6"/>
    <w:rsid w:val="006607CE"/>
    <w:rsid w:val="0066087E"/>
    <w:rsid w:val="006617B4"/>
    <w:rsid w:val="006617D5"/>
    <w:rsid w:val="00661EB9"/>
    <w:rsid w:val="0066267D"/>
    <w:rsid w:val="00662842"/>
    <w:rsid w:val="0066296E"/>
    <w:rsid w:val="00662BCC"/>
    <w:rsid w:val="006632EB"/>
    <w:rsid w:val="0066377E"/>
    <w:rsid w:val="00664AAB"/>
    <w:rsid w:val="00664D4A"/>
    <w:rsid w:val="00664D98"/>
    <w:rsid w:val="00664F1E"/>
    <w:rsid w:val="00665528"/>
    <w:rsid w:val="006662B1"/>
    <w:rsid w:val="00666408"/>
    <w:rsid w:val="00666604"/>
    <w:rsid w:val="006701A9"/>
    <w:rsid w:val="00670743"/>
    <w:rsid w:val="00670803"/>
    <w:rsid w:val="00671748"/>
    <w:rsid w:val="00671866"/>
    <w:rsid w:val="00671C83"/>
    <w:rsid w:val="00671E50"/>
    <w:rsid w:val="00671F66"/>
    <w:rsid w:val="006722FD"/>
    <w:rsid w:val="00672A5B"/>
    <w:rsid w:val="00672DAF"/>
    <w:rsid w:val="00672EFE"/>
    <w:rsid w:val="00673016"/>
    <w:rsid w:val="006730B0"/>
    <w:rsid w:val="00675561"/>
    <w:rsid w:val="006758D1"/>
    <w:rsid w:val="00675B80"/>
    <w:rsid w:val="00675BC3"/>
    <w:rsid w:val="00676674"/>
    <w:rsid w:val="00676A72"/>
    <w:rsid w:val="00676CBE"/>
    <w:rsid w:val="00676D3D"/>
    <w:rsid w:val="00676F3A"/>
    <w:rsid w:val="00677223"/>
    <w:rsid w:val="0068095C"/>
    <w:rsid w:val="00680F05"/>
    <w:rsid w:val="006812B1"/>
    <w:rsid w:val="00681BF5"/>
    <w:rsid w:val="00681BF8"/>
    <w:rsid w:val="00681D26"/>
    <w:rsid w:val="00681D79"/>
    <w:rsid w:val="00682E82"/>
    <w:rsid w:val="00682FD1"/>
    <w:rsid w:val="0068317A"/>
    <w:rsid w:val="00683325"/>
    <w:rsid w:val="00683E02"/>
    <w:rsid w:val="006842DD"/>
    <w:rsid w:val="006844B9"/>
    <w:rsid w:val="00684A20"/>
    <w:rsid w:val="0068557B"/>
    <w:rsid w:val="006861A7"/>
    <w:rsid w:val="00686925"/>
    <w:rsid w:val="0069078F"/>
    <w:rsid w:val="006909F2"/>
    <w:rsid w:val="006913FC"/>
    <w:rsid w:val="00691D0A"/>
    <w:rsid w:val="0069233A"/>
    <w:rsid w:val="00692648"/>
    <w:rsid w:val="006926BF"/>
    <w:rsid w:val="006926C3"/>
    <w:rsid w:val="006929BB"/>
    <w:rsid w:val="00693197"/>
    <w:rsid w:val="00693CC0"/>
    <w:rsid w:val="00693E2F"/>
    <w:rsid w:val="00694394"/>
    <w:rsid w:val="00695900"/>
    <w:rsid w:val="00695D41"/>
    <w:rsid w:val="006961AF"/>
    <w:rsid w:val="0069692A"/>
    <w:rsid w:val="00697148"/>
    <w:rsid w:val="00697D60"/>
    <w:rsid w:val="00697E00"/>
    <w:rsid w:val="006A0686"/>
    <w:rsid w:val="006A0794"/>
    <w:rsid w:val="006A0A1D"/>
    <w:rsid w:val="006A0A2C"/>
    <w:rsid w:val="006A0E89"/>
    <w:rsid w:val="006A1258"/>
    <w:rsid w:val="006A1822"/>
    <w:rsid w:val="006A1A25"/>
    <w:rsid w:val="006A1A84"/>
    <w:rsid w:val="006A2876"/>
    <w:rsid w:val="006A40F1"/>
    <w:rsid w:val="006A41A6"/>
    <w:rsid w:val="006A4386"/>
    <w:rsid w:val="006A4414"/>
    <w:rsid w:val="006A492E"/>
    <w:rsid w:val="006A4FFD"/>
    <w:rsid w:val="006A5554"/>
    <w:rsid w:val="006A58FE"/>
    <w:rsid w:val="006A60DE"/>
    <w:rsid w:val="006A6A25"/>
    <w:rsid w:val="006A7852"/>
    <w:rsid w:val="006B0732"/>
    <w:rsid w:val="006B0800"/>
    <w:rsid w:val="006B1C5B"/>
    <w:rsid w:val="006B1FED"/>
    <w:rsid w:val="006B2364"/>
    <w:rsid w:val="006B2D53"/>
    <w:rsid w:val="006B2E13"/>
    <w:rsid w:val="006B357D"/>
    <w:rsid w:val="006B4196"/>
    <w:rsid w:val="006B4617"/>
    <w:rsid w:val="006B550D"/>
    <w:rsid w:val="006B57A3"/>
    <w:rsid w:val="006B62C5"/>
    <w:rsid w:val="006B7485"/>
    <w:rsid w:val="006B7787"/>
    <w:rsid w:val="006B7C0E"/>
    <w:rsid w:val="006B7CC5"/>
    <w:rsid w:val="006C0AB2"/>
    <w:rsid w:val="006C1236"/>
    <w:rsid w:val="006C1727"/>
    <w:rsid w:val="006C21B9"/>
    <w:rsid w:val="006C3845"/>
    <w:rsid w:val="006C43D4"/>
    <w:rsid w:val="006C5597"/>
    <w:rsid w:val="006C7E1A"/>
    <w:rsid w:val="006D02E9"/>
    <w:rsid w:val="006D0ABD"/>
    <w:rsid w:val="006D260B"/>
    <w:rsid w:val="006D3C6D"/>
    <w:rsid w:val="006D3DE2"/>
    <w:rsid w:val="006D3FD6"/>
    <w:rsid w:val="006D439C"/>
    <w:rsid w:val="006D5723"/>
    <w:rsid w:val="006D618E"/>
    <w:rsid w:val="006D6692"/>
    <w:rsid w:val="006D67BF"/>
    <w:rsid w:val="006D729A"/>
    <w:rsid w:val="006D7843"/>
    <w:rsid w:val="006D7A7E"/>
    <w:rsid w:val="006D7AAF"/>
    <w:rsid w:val="006D7C32"/>
    <w:rsid w:val="006D7D61"/>
    <w:rsid w:val="006E00A1"/>
    <w:rsid w:val="006E1600"/>
    <w:rsid w:val="006E18C5"/>
    <w:rsid w:val="006E1B0E"/>
    <w:rsid w:val="006E1EFE"/>
    <w:rsid w:val="006E218C"/>
    <w:rsid w:val="006E283D"/>
    <w:rsid w:val="006E283E"/>
    <w:rsid w:val="006E2A4C"/>
    <w:rsid w:val="006E32E7"/>
    <w:rsid w:val="006E33FD"/>
    <w:rsid w:val="006E34E0"/>
    <w:rsid w:val="006E393A"/>
    <w:rsid w:val="006E3DBE"/>
    <w:rsid w:val="006E491B"/>
    <w:rsid w:val="006E4B7F"/>
    <w:rsid w:val="006E4C8E"/>
    <w:rsid w:val="006E5515"/>
    <w:rsid w:val="006E5644"/>
    <w:rsid w:val="006E77D8"/>
    <w:rsid w:val="006F0239"/>
    <w:rsid w:val="006F0BDB"/>
    <w:rsid w:val="006F1DAE"/>
    <w:rsid w:val="006F35B9"/>
    <w:rsid w:val="006F36BF"/>
    <w:rsid w:val="006F3886"/>
    <w:rsid w:val="006F3B29"/>
    <w:rsid w:val="006F3BFE"/>
    <w:rsid w:val="006F3F19"/>
    <w:rsid w:val="006F43AF"/>
    <w:rsid w:val="006F44D3"/>
    <w:rsid w:val="006F49E1"/>
    <w:rsid w:val="006F5125"/>
    <w:rsid w:val="006F5444"/>
    <w:rsid w:val="006F5C8F"/>
    <w:rsid w:val="006F5C97"/>
    <w:rsid w:val="006F74BF"/>
    <w:rsid w:val="006F7D24"/>
    <w:rsid w:val="00700587"/>
    <w:rsid w:val="007011A2"/>
    <w:rsid w:val="007012D3"/>
    <w:rsid w:val="0070193B"/>
    <w:rsid w:val="00701C5F"/>
    <w:rsid w:val="007034F3"/>
    <w:rsid w:val="00703F84"/>
    <w:rsid w:val="00703FA0"/>
    <w:rsid w:val="00704730"/>
    <w:rsid w:val="00705443"/>
    <w:rsid w:val="00705F0B"/>
    <w:rsid w:val="0070632E"/>
    <w:rsid w:val="007064B1"/>
    <w:rsid w:val="00706B97"/>
    <w:rsid w:val="00707A73"/>
    <w:rsid w:val="00707CC9"/>
    <w:rsid w:val="00707D6A"/>
    <w:rsid w:val="007107A8"/>
    <w:rsid w:val="00711524"/>
    <w:rsid w:val="007117B6"/>
    <w:rsid w:val="00711B2F"/>
    <w:rsid w:val="0071216E"/>
    <w:rsid w:val="00712DB8"/>
    <w:rsid w:val="0071342D"/>
    <w:rsid w:val="00713AAF"/>
    <w:rsid w:val="00714D74"/>
    <w:rsid w:val="00715311"/>
    <w:rsid w:val="0071537F"/>
    <w:rsid w:val="00716673"/>
    <w:rsid w:val="00716D3A"/>
    <w:rsid w:val="00717650"/>
    <w:rsid w:val="00717D79"/>
    <w:rsid w:val="007203DA"/>
    <w:rsid w:val="00720790"/>
    <w:rsid w:val="0072133C"/>
    <w:rsid w:val="00721AE1"/>
    <w:rsid w:val="00721B47"/>
    <w:rsid w:val="007223D2"/>
    <w:rsid w:val="0072241A"/>
    <w:rsid w:val="007226B2"/>
    <w:rsid w:val="00722D65"/>
    <w:rsid w:val="00722E59"/>
    <w:rsid w:val="007233AA"/>
    <w:rsid w:val="00723487"/>
    <w:rsid w:val="00723555"/>
    <w:rsid w:val="007237C8"/>
    <w:rsid w:val="00724A46"/>
    <w:rsid w:val="00724C8C"/>
    <w:rsid w:val="0072531B"/>
    <w:rsid w:val="007259DF"/>
    <w:rsid w:val="00725A37"/>
    <w:rsid w:val="00725B7D"/>
    <w:rsid w:val="00725D36"/>
    <w:rsid w:val="00725F54"/>
    <w:rsid w:val="00725FD6"/>
    <w:rsid w:val="007267A1"/>
    <w:rsid w:val="00726B31"/>
    <w:rsid w:val="00726B32"/>
    <w:rsid w:val="007307E5"/>
    <w:rsid w:val="007309F4"/>
    <w:rsid w:val="00731555"/>
    <w:rsid w:val="0073227D"/>
    <w:rsid w:val="00732D64"/>
    <w:rsid w:val="00733585"/>
    <w:rsid w:val="00733768"/>
    <w:rsid w:val="00733C45"/>
    <w:rsid w:val="007351B8"/>
    <w:rsid w:val="00735FD4"/>
    <w:rsid w:val="0073609F"/>
    <w:rsid w:val="00736737"/>
    <w:rsid w:val="007367AB"/>
    <w:rsid w:val="00736E77"/>
    <w:rsid w:val="00736F6E"/>
    <w:rsid w:val="007371E6"/>
    <w:rsid w:val="00737345"/>
    <w:rsid w:val="00737545"/>
    <w:rsid w:val="0073768A"/>
    <w:rsid w:val="00737EEF"/>
    <w:rsid w:val="007400F2"/>
    <w:rsid w:val="00740DB4"/>
    <w:rsid w:val="00741474"/>
    <w:rsid w:val="007415A1"/>
    <w:rsid w:val="00741DA9"/>
    <w:rsid w:val="00742061"/>
    <w:rsid w:val="00742323"/>
    <w:rsid w:val="00742924"/>
    <w:rsid w:val="0074366C"/>
    <w:rsid w:val="007438E2"/>
    <w:rsid w:val="00744C68"/>
    <w:rsid w:val="00744E9A"/>
    <w:rsid w:val="00744EBB"/>
    <w:rsid w:val="00744F07"/>
    <w:rsid w:val="0074504D"/>
    <w:rsid w:val="007457CC"/>
    <w:rsid w:val="0074621A"/>
    <w:rsid w:val="00746395"/>
    <w:rsid w:val="007465F3"/>
    <w:rsid w:val="00750417"/>
    <w:rsid w:val="00750EEA"/>
    <w:rsid w:val="0075176B"/>
    <w:rsid w:val="007520CD"/>
    <w:rsid w:val="007524C8"/>
    <w:rsid w:val="007526EC"/>
    <w:rsid w:val="0075280E"/>
    <w:rsid w:val="00753989"/>
    <w:rsid w:val="00754797"/>
    <w:rsid w:val="00757308"/>
    <w:rsid w:val="0075786A"/>
    <w:rsid w:val="007578BB"/>
    <w:rsid w:val="00757E5A"/>
    <w:rsid w:val="00757E9E"/>
    <w:rsid w:val="00761BE8"/>
    <w:rsid w:val="00761D5B"/>
    <w:rsid w:val="00761FAB"/>
    <w:rsid w:val="00762D50"/>
    <w:rsid w:val="007636BF"/>
    <w:rsid w:val="00763C00"/>
    <w:rsid w:val="00763F50"/>
    <w:rsid w:val="0076451B"/>
    <w:rsid w:val="007656FC"/>
    <w:rsid w:val="00767C6D"/>
    <w:rsid w:val="00767E89"/>
    <w:rsid w:val="007705A9"/>
    <w:rsid w:val="00770C9C"/>
    <w:rsid w:val="00770E52"/>
    <w:rsid w:val="007711B5"/>
    <w:rsid w:val="0077169B"/>
    <w:rsid w:val="00772E5F"/>
    <w:rsid w:val="007730F2"/>
    <w:rsid w:val="0077487E"/>
    <w:rsid w:val="00774A22"/>
    <w:rsid w:val="00774C39"/>
    <w:rsid w:val="00774CD4"/>
    <w:rsid w:val="00774CF6"/>
    <w:rsid w:val="00775DDE"/>
    <w:rsid w:val="007764B3"/>
    <w:rsid w:val="007764F1"/>
    <w:rsid w:val="007765E1"/>
    <w:rsid w:val="00776FAD"/>
    <w:rsid w:val="007816E7"/>
    <w:rsid w:val="00781A7C"/>
    <w:rsid w:val="00781D6D"/>
    <w:rsid w:val="0078213F"/>
    <w:rsid w:val="00783F7F"/>
    <w:rsid w:val="00783FFF"/>
    <w:rsid w:val="00784151"/>
    <w:rsid w:val="00784381"/>
    <w:rsid w:val="00784AE8"/>
    <w:rsid w:val="00785813"/>
    <w:rsid w:val="00785E1B"/>
    <w:rsid w:val="0078743F"/>
    <w:rsid w:val="00787858"/>
    <w:rsid w:val="00787C08"/>
    <w:rsid w:val="00790046"/>
    <w:rsid w:val="00790AB4"/>
    <w:rsid w:val="007912A4"/>
    <w:rsid w:val="007918E1"/>
    <w:rsid w:val="007921E6"/>
    <w:rsid w:val="007925E9"/>
    <w:rsid w:val="007929B9"/>
    <w:rsid w:val="00792A4C"/>
    <w:rsid w:val="0079381F"/>
    <w:rsid w:val="007948E8"/>
    <w:rsid w:val="00794A01"/>
    <w:rsid w:val="007951D6"/>
    <w:rsid w:val="00795387"/>
    <w:rsid w:val="00795499"/>
    <w:rsid w:val="007970E5"/>
    <w:rsid w:val="00797146"/>
    <w:rsid w:val="007976F6"/>
    <w:rsid w:val="007A033D"/>
    <w:rsid w:val="007A03AE"/>
    <w:rsid w:val="007A0BF6"/>
    <w:rsid w:val="007A126F"/>
    <w:rsid w:val="007A1AF2"/>
    <w:rsid w:val="007A3294"/>
    <w:rsid w:val="007A52D9"/>
    <w:rsid w:val="007A5A41"/>
    <w:rsid w:val="007A5D89"/>
    <w:rsid w:val="007A6105"/>
    <w:rsid w:val="007A6608"/>
    <w:rsid w:val="007A6813"/>
    <w:rsid w:val="007A7B26"/>
    <w:rsid w:val="007B0B18"/>
    <w:rsid w:val="007B11F8"/>
    <w:rsid w:val="007B1613"/>
    <w:rsid w:val="007B1706"/>
    <w:rsid w:val="007B1B18"/>
    <w:rsid w:val="007B1BBC"/>
    <w:rsid w:val="007B2162"/>
    <w:rsid w:val="007B24DC"/>
    <w:rsid w:val="007B2F14"/>
    <w:rsid w:val="007B395C"/>
    <w:rsid w:val="007B3F06"/>
    <w:rsid w:val="007B43D0"/>
    <w:rsid w:val="007B4DC2"/>
    <w:rsid w:val="007B528E"/>
    <w:rsid w:val="007B53E8"/>
    <w:rsid w:val="007B5AB2"/>
    <w:rsid w:val="007B5AD7"/>
    <w:rsid w:val="007B5CE5"/>
    <w:rsid w:val="007B5E2D"/>
    <w:rsid w:val="007B6789"/>
    <w:rsid w:val="007B7843"/>
    <w:rsid w:val="007C02F1"/>
    <w:rsid w:val="007C051D"/>
    <w:rsid w:val="007C0AF3"/>
    <w:rsid w:val="007C0BAB"/>
    <w:rsid w:val="007C102D"/>
    <w:rsid w:val="007C145C"/>
    <w:rsid w:val="007C15EC"/>
    <w:rsid w:val="007C16BA"/>
    <w:rsid w:val="007C1BD3"/>
    <w:rsid w:val="007C1CBB"/>
    <w:rsid w:val="007C250D"/>
    <w:rsid w:val="007C3299"/>
    <w:rsid w:val="007C3F41"/>
    <w:rsid w:val="007C40B8"/>
    <w:rsid w:val="007C465D"/>
    <w:rsid w:val="007C58AD"/>
    <w:rsid w:val="007C60BC"/>
    <w:rsid w:val="007C7A25"/>
    <w:rsid w:val="007D0685"/>
    <w:rsid w:val="007D0A51"/>
    <w:rsid w:val="007D186B"/>
    <w:rsid w:val="007D1F47"/>
    <w:rsid w:val="007D24F1"/>
    <w:rsid w:val="007D250E"/>
    <w:rsid w:val="007D2612"/>
    <w:rsid w:val="007D2ACD"/>
    <w:rsid w:val="007D2F2B"/>
    <w:rsid w:val="007D3070"/>
    <w:rsid w:val="007D3107"/>
    <w:rsid w:val="007D347D"/>
    <w:rsid w:val="007D3BB3"/>
    <w:rsid w:val="007D41AD"/>
    <w:rsid w:val="007D439C"/>
    <w:rsid w:val="007D6033"/>
    <w:rsid w:val="007D62CA"/>
    <w:rsid w:val="007D63AB"/>
    <w:rsid w:val="007D6ADE"/>
    <w:rsid w:val="007D6DB7"/>
    <w:rsid w:val="007D6DC6"/>
    <w:rsid w:val="007D7D4E"/>
    <w:rsid w:val="007D7D51"/>
    <w:rsid w:val="007E0471"/>
    <w:rsid w:val="007E0CF7"/>
    <w:rsid w:val="007E13B2"/>
    <w:rsid w:val="007E219A"/>
    <w:rsid w:val="007E2D33"/>
    <w:rsid w:val="007E349B"/>
    <w:rsid w:val="007E3ADC"/>
    <w:rsid w:val="007E3FB4"/>
    <w:rsid w:val="007E51B6"/>
    <w:rsid w:val="007E57FB"/>
    <w:rsid w:val="007E61A6"/>
    <w:rsid w:val="007E635F"/>
    <w:rsid w:val="007E7147"/>
    <w:rsid w:val="007E761A"/>
    <w:rsid w:val="007E7944"/>
    <w:rsid w:val="007E7C93"/>
    <w:rsid w:val="007F00A2"/>
    <w:rsid w:val="007F1334"/>
    <w:rsid w:val="007F1584"/>
    <w:rsid w:val="007F188C"/>
    <w:rsid w:val="007F32D1"/>
    <w:rsid w:val="007F3CE5"/>
    <w:rsid w:val="007F465F"/>
    <w:rsid w:val="007F47E0"/>
    <w:rsid w:val="007F507D"/>
    <w:rsid w:val="007F663F"/>
    <w:rsid w:val="007F665C"/>
    <w:rsid w:val="007F7A07"/>
    <w:rsid w:val="0080006B"/>
    <w:rsid w:val="00801482"/>
    <w:rsid w:val="008028BD"/>
    <w:rsid w:val="00802A38"/>
    <w:rsid w:val="008033EA"/>
    <w:rsid w:val="00803F2E"/>
    <w:rsid w:val="008054D0"/>
    <w:rsid w:val="00805905"/>
    <w:rsid w:val="00805952"/>
    <w:rsid w:val="008068E8"/>
    <w:rsid w:val="00806A02"/>
    <w:rsid w:val="00806A2D"/>
    <w:rsid w:val="00806F0F"/>
    <w:rsid w:val="00807441"/>
    <w:rsid w:val="0080751B"/>
    <w:rsid w:val="00807A18"/>
    <w:rsid w:val="00810072"/>
    <w:rsid w:val="0081030B"/>
    <w:rsid w:val="0081057A"/>
    <w:rsid w:val="008107D5"/>
    <w:rsid w:val="008109CC"/>
    <w:rsid w:val="008116D5"/>
    <w:rsid w:val="00812730"/>
    <w:rsid w:val="00813086"/>
    <w:rsid w:val="00813544"/>
    <w:rsid w:val="00813CDE"/>
    <w:rsid w:val="00814679"/>
    <w:rsid w:val="00814862"/>
    <w:rsid w:val="0081498F"/>
    <w:rsid w:val="0081572E"/>
    <w:rsid w:val="008157FF"/>
    <w:rsid w:val="00815DCD"/>
    <w:rsid w:val="0081604C"/>
    <w:rsid w:val="00816D9A"/>
    <w:rsid w:val="0081733B"/>
    <w:rsid w:val="00817C84"/>
    <w:rsid w:val="008202E7"/>
    <w:rsid w:val="00820877"/>
    <w:rsid w:val="0082090A"/>
    <w:rsid w:val="00820B80"/>
    <w:rsid w:val="00820EA4"/>
    <w:rsid w:val="0082216D"/>
    <w:rsid w:val="00822416"/>
    <w:rsid w:val="00823011"/>
    <w:rsid w:val="0082310B"/>
    <w:rsid w:val="0082334C"/>
    <w:rsid w:val="00823408"/>
    <w:rsid w:val="00823CDE"/>
    <w:rsid w:val="008249C4"/>
    <w:rsid w:val="00824CF4"/>
    <w:rsid w:val="00824F2A"/>
    <w:rsid w:val="00825921"/>
    <w:rsid w:val="00827A2D"/>
    <w:rsid w:val="008300BE"/>
    <w:rsid w:val="0083076A"/>
    <w:rsid w:val="0083191A"/>
    <w:rsid w:val="00832112"/>
    <w:rsid w:val="008327A0"/>
    <w:rsid w:val="00832BCE"/>
    <w:rsid w:val="00833355"/>
    <w:rsid w:val="00833690"/>
    <w:rsid w:val="008361E7"/>
    <w:rsid w:val="008374AA"/>
    <w:rsid w:val="00837971"/>
    <w:rsid w:val="008407F4"/>
    <w:rsid w:val="00842BDE"/>
    <w:rsid w:val="00842C0F"/>
    <w:rsid w:val="008439CC"/>
    <w:rsid w:val="00843A02"/>
    <w:rsid w:val="008441F6"/>
    <w:rsid w:val="008444A3"/>
    <w:rsid w:val="008446B3"/>
    <w:rsid w:val="00845399"/>
    <w:rsid w:val="00845556"/>
    <w:rsid w:val="00845D20"/>
    <w:rsid w:val="008466F8"/>
    <w:rsid w:val="0084706F"/>
    <w:rsid w:val="00847682"/>
    <w:rsid w:val="00847CC9"/>
    <w:rsid w:val="008502E6"/>
    <w:rsid w:val="00851FF9"/>
    <w:rsid w:val="00852683"/>
    <w:rsid w:val="008527E3"/>
    <w:rsid w:val="00852DB3"/>
    <w:rsid w:val="008531E2"/>
    <w:rsid w:val="0085320D"/>
    <w:rsid w:val="00854578"/>
    <w:rsid w:val="008549F9"/>
    <w:rsid w:val="00854AEF"/>
    <w:rsid w:val="008556DF"/>
    <w:rsid w:val="00855821"/>
    <w:rsid w:val="00855D03"/>
    <w:rsid w:val="00855F9C"/>
    <w:rsid w:val="00857E39"/>
    <w:rsid w:val="00860280"/>
    <w:rsid w:val="008603C9"/>
    <w:rsid w:val="008608B6"/>
    <w:rsid w:val="0086147C"/>
    <w:rsid w:val="00861E72"/>
    <w:rsid w:val="00863A4F"/>
    <w:rsid w:val="0086465C"/>
    <w:rsid w:val="00864B62"/>
    <w:rsid w:val="008652EE"/>
    <w:rsid w:val="00865433"/>
    <w:rsid w:val="0086556C"/>
    <w:rsid w:val="00865DB6"/>
    <w:rsid w:val="008668AA"/>
    <w:rsid w:val="00866A07"/>
    <w:rsid w:val="00866D9F"/>
    <w:rsid w:val="008672E7"/>
    <w:rsid w:val="00867C5B"/>
    <w:rsid w:val="00867CD3"/>
    <w:rsid w:val="00870800"/>
    <w:rsid w:val="00870B0F"/>
    <w:rsid w:val="00871245"/>
    <w:rsid w:val="00871F39"/>
    <w:rsid w:val="00872129"/>
    <w:rsid w:val="008727C5"/>
    <w:rsid w:val="00872BE2"/>
    <w:rsid w:val="00873747"/>
    <w:rsid w:val="00873C70"/>
    <w:rsid w:val="0087482B"/>
    <w:rsid w:val="00874A4F"/>
    <w:rsid w:val="00874EA9"/>
    <w:rsid w:val="00875240"/>
    <w:rsid w:val="00875830"/>
    <w:rsid w:val="00875BB9"/>
    <w:rsid w:val="00876464"/>
    <w:rsid w:val="008764EA"/>
    <w:rsid w:val="00876BD1"/>
    <w:rsid w:val="008776E9"/>
    <w:rsid w:val="00880CC7"/>
    <w:rsid w:val="00881436"/>
    <w:rsid w:val="00881A5D"/>
    <w:rsid w:val="00881B4F"/>
    <w:rsid w:val="00881CAB"/>
    <w:rsid w:val="00881E34"/>
    <w:rsid w:val="008826F6"/>
    <w:rsid w:val="00883058"/>
    <w:rsid w:val="00885AC5"/>
    <w:rsid w:val="008864A8"/>
    <w:rsid w:val="00886E00"/>
    <w:rsid w:val="00886EAE"/>
    <w:rsid w:val="00886FE9"/>
    <w:rsid w:val="00887107"/>
    <w:rsid w:val="00887F89"/>
    <w:rsid w:val="008901EA"/>
    <w:rsid w:val="008907B4"/>
    <w:rsid w:val="008909CD"/>
    <w:rsid w:val="00890BDC"/>
    <w:rsid w:val="008919ED"/>
    <w:rsid w:val="008919FC"/>
    <w:rsid w:val="00891B11"/>
    <w:rsid w:val="00891F61"/>
    <w:rsid w:val="008921B2"/>
    <w:rsid w:val="00892918"/>
    <w:rsid w:val="0089301A"/>
    <w:rsid w:val="0089426F"/>
    <w:rsid w:val="008942F4"/>
    <w:rsid w:val="00894C27"/>
    <w:rsid w:val="00895521"/>
    <w:rsid w:val="00895708"/>
    <w:rsid w:val="008961BE"/>
    <w:rsid w:val="00896B60"/>
    <w:rsid w:val="00896F19"/>
    <w:rsid w:val="008A0380"/>
    <w:rsid w:val="008A05C0"/>
    <w:rsid w:val="008A0DF0"/>
    <w:rsid w:val="008A1ED5"/>
    <w:rsid w:val="008A20C7"/>
    <w:rsid w:val="008A2166"/>
    <w:rsid w:val="008A30BB"/>
    <w:rsid w:val="008A36C0"/>
    <w:rsid w:val="008A36DE"/>
    <w:rsid w:val="008A396A"/>
    <w:rsid w:val="008A4567"/>
    <w:rsid w:val="008A4C42"/>
    <w:rsid w:val="008A4E48"/>
    <w:rsid w:val="008A505F"/>
    <w:rsid w:val="008A64B5"/>
    <w:rsid w:val="008A6D28"/>
    <w:rsid w:val="008A77FC"/>
    <w:rsid w:val="008A7937"/>
    <w:rsid w:val="008A7EA9"/>
    <w:rsid w:val="008B0247"/>
    <w:rsid w:val="008B0AF1"/>
    <w:rsid w:val="008B0BB0"/>
    <w:rsid w:val="008B0CB4"/>
    <w:rsid w:val="008B1DA9"/>
    <w:rsid w:val="008B24EA"/>
    <w:rsid w:val="008B2D44"/>
    <w:rsid w:val="008B38EB"/>
    <w:rsid w:val="008B3B4B"/>
    <w:rsid w:val="008B3DF0"/>
    <w:rsid w:val="008B4079"/>
    <w:rsid w:val="008B44A9"/>
    <w:rsid w:val="008B5307"/>
    <w:rsid w:val="008B5528"/>
    <w:rsid w:val="008B5A3F"/>
    <w:rsid w:val="008B6433"/>
    <w:rsid w:val="008B6789"/>
    <w:rsid w:val="008B69FE"/>
    <w:rsid w:val="008C0774"/>
    <w:rsid w:val="008C1CAC"/>
    <w:rsid w:val="008C1EAE"/>
    <w:rsid w:val="008C2057"/>
    <w:rsid w:val="008C2241"/>
    <w:rsid w:val="008C254D"/>
    <w:rsid w:val="008C2690"/>
    <w:rsid w:val="008C2AF2"/>
    <w:rsid w:val="008C2FA9"/>
    <w:rsid w:val="008C3428"/>
    <w:rsid w:val="008C351E"/>
    <w:rsid w:val="008C5EF5"/>
    <w:rsid w:val="008C61A8"/>
    <w:rsid w:val="008C6272"/>
    <w:rsid w:val="008C68C6"/>
    <w:rsid w:val="008C6A2B"/>
    <w:rsid w:val="008D197E"/>
    <w:rsid w:val="008D209D"/>
    <w:rsid w:val="008D2183"/>
    <w:rsid w:val="008D2376"/>
    <w:rsid w:val="008D2797"/>
    <w:rsid w:val="008D30AF"/>
    <w:rsid w:val="008D3CB6"/>
    <w:rsid w:val="008D3D33"/>
    <w:rsid w:val="008D4A6F"/>
    <w:rsid w:val="008D4C69"/>
    <w:rsid w:val="008D5875"/>
    <w:rsid w:val="008D58AC"/>
    <w:rsid w:val="008D5C2A"/>
    <w:rsid w:val="008D6050"/>
    <w:rsid w:val="008D6BA7"/>
    <w:rsid w:val="008D6D5C"/>
    <w:rsid w:val="008D71E2"/>
    <w:rsid w:val="008D77E4"/>
    <w:rsid w:val="008D7E1B"/>
    <w:rsid w:val="008D7F36"/>
    <w:rsid w:val="008E00D2"/>
    <w:rsid w:val="008E034A"/>
    <w:rsid w:val="008E0F98"/>
    <w:rsid w:val="008E12B9"/>
    <w:rsid w:val="008E1761"/>
    <w:rsid w:val="008E1829"/>
    <w:rsid w:val="008E1BD0"/>
    <w:rsid w:val="008E251B"/>
    <w:rsid w:val="008E2A5F"/>
    <w:rsid w:val="008E3514"/>
    <w:rsid w:val="008E36ED"/>
    <w:rsid w:val="008E37D0"/>
    <w:rsid w:val="008E3B72"/>
    <w:rsid w:val="008E422F"/>
    <w:rsid w:val="008E475E"/>
    <w:rsid w:val="008E51E3"/>
    <w:rsid w:val="008E5611"/>
    <w:rsid w:val="008E61FE"/>
    <w:rsid w:val="008E63A1"/>
    <w:rsid w:val="008E6ECA"/>
    <w:rsid w:val="008E72B4"/>
    <w:rsid w:val="008E793D"/>
    <w:rsid w:val="008F00FC"/>
    <w:rsid w:val="008F01E0"/>
    <w:rsid w:val="008F0457"/>
    <w:rsid w:val="008F0746"/>
    <w:rsid w:val="008F08FE"/>
    <w:rsid w:val="008F0A31"/>
    <w:rsid w:val="008F0B37"/>
    <w:rsid w:val="008F1F61"/>
    <w:rsid w:val="008F2346"/>
    <w:rsid w:val="008F2956"/>
    <w:rsid w:val="008F2B1E"/>
    <w:rsid w:val="008F3B72"/>
    <w:rsid w:val="008F4486"/>
    <w:rsid w:val="008F510A"/>
    <w:rsid w:val="008F54D6"/>
    <w:rsid w:val="008F567F"/>
    <w:rsid w:val="008F581C"/>
    <w:rsid w:val="008F5B5E"/>
    <w:rsid w:val="008F5BFB"/>
    <w:rsid w:val="008F603A"/>
    <w:rsid w:val="008F6E58"/>
    <w:rsid w:val="008F75A1"/>
    <w:rsid w:val="008F7DBE"/>
    <w:rsid w:val="00900589"/>
    <w:rsid w:val="009009F3"/>
    <w:rsid w:val="00901726"/>
    <w:rsid w:val="0090380E"/>
    <w:rsid w:val="009039AA"/>
    <w:rsid w:val="00904AC6"/>
    <w:rsid w:val="009050A1"/>
    <w:rsid w:val="00905319"/>
    <w:rsid w:val="00906124"/>
    <w:rsid w:val="00907057"/>
    <w:rsid w:val="009070E1"/>
    <w:rsid w:val="0090796E"/>
    <w:rsid w:val="00907A09"/>
    <w:rsid w:val="009102BE"/>
    <w:rsid w:val="00910663"/>
    <w:rsid w:val="00910784"/>
    <w:rsid w:val="00910B84"/>
    <w:rsid w:val="009115DF"/>
    <w:rsid w:val="00911962"/>
    <w:rsid w:val="0091243F"/>
    <w:rsid w:val="0091330A"/>
    <w:rsid w:val="00913381"/>
    <w:rsid w:val="009138AB"/>
    <w:rsid w:val="00914610"/>
    <w:rsid w:val="00914E1D"/>
    <w:rsid w:val="009168D9"/>
    <w:rsid w:val="009171B4"/>
    <w:rsid w:val="009173FF"/>
    <w:rsid w:val="00917C65"/>
    <w:rsid w:val="00917D58"/>
    <w:rsid w:val="0092026A"/>
    <w:rsid w:val="00920364"/>
    <w:rsid w:val="009208EA"/>
    <w:rsid w:val="00920E5C"/>
    <w:rsid w:val="00921BB5"/>
    <w:rsid w:val="00921FDA"/>
    <w:rsid w:val="00922551"/>
    <w:rsid w:val="009232FB"/>
    <w:rsid w:val="00923C5D"/>
    <w:rsid w:val="009240AE"/>
    <w:rsid w:val="00924A7A"/>
    <w:rsid w:val="0092511F"/>
    <w:rsid w:val="00925564"/>
    <w:rsid w:val="00925C1C"/>
    <w:rsid w:val="00926139"/>
    <w:rsid w:val="009266F2"/>
    <w:rsid w:val="00926878"/>
    <w:rsid w:val="00926989"/>
    <w:rsid w:val="00926A70"/>
    <w:rsid w:val="00926D1F"/>
    <w:rsid w:val="00927073"/>
    <w:rsid w:val="009274A8"/>
    <w:rsid w:val="009275F9"/>
    <w:rsid w:val="00930285"/>
    <w:rsid w:val="00930A59"/>
    <w:rsid w:val="00930D19"/>
    <w:rsid w:val="00931576"/>
    <w:rsid w:val="00931771"/>
    <w:rsid w:val="00931B66"/>
    <w:rsid w:val="009320EF"/>
    <w:rsid w:val="00932946"/>
    <w:rsid w:val="00932953"/>
    <w:rsid w:val="00932CC2"/>
    <w:rsid w:val="00932EF4"/>
    <w:rsid w:val="00933BAC"/>
    <w:rsid w:val="00933FBA"/>
    <w:rsid w:val="009341BA"/>
    <w:rsid w:val="009347ED"/>
    <w:rsid w:val="0093492E"/>
    <w:rsid w:val="00936333"/>
    <w:rsid w:val="00936AF4"/>
    <w:rsid w:val="00936D58"/>
    <w:rsid w:val="00937287"/>
    <w:rsid w:val="00937980"/>
    <w:rsid w:val="00937C94"/>
    <w:rsid w:val="00937E3C"/>
    <w:rsid w:val="0094037E"/>
    <w:rsid w:val="009405C2"/>
    <w:rsid w:val="00941060"/>
    <w:rsid w:val="009412DB"/>
    <w:rsid w:val="00941485"/>
    <w:rsid w:val="0094215E"/>
    <w:rsid w:val="0094217F"/>
    <w:rsid w:val="0094243C"/>
    <w:rsid w:val="009428A6"/>
    <w:rsid w:val="00943451"/>
    <w:rsid w:val="00943586"/>
    <w:rsid w:val="00943D66"/>
    <w:rsid w:val="00943DB5"/>
    <w:rsid w:val="0094410D"/>
    <w:rsid w:val="00944411"/>
    <w:rsid w:val="009445EA"/>
    <w:rsid w:val="00946250"/>
    <w:rsid w:val="009464A9"/>
    <w:rsid w:val="00946A37"/>
    <w:rsid w:val="00946D6B"/>
    <w:rsid w:val="009471B0"/>
    <w:rsid w:val="00950437"/>
    <w:rsid w:val="0095068B"/>
    <w:rsid w:val="00950782"/>
    <w:rsid w:val="00950977"/>
    <w:rsid w:val="00951181"/>
    <w:rsid w:val="00951643"/>
    <w:rsid w:val="009527F7"/>
    <w:rsid w:val="009535CE"/>
    <w:rsid w:val="009537C7"/>
    <w:rsid w:val="00953B07"/>
    <w:rsid w:val="00954048"/>
    <w:rsid w:val="00954D55"/>
    <w:rsid w:val="009552B8"/>
    <w:rsid w:val="00955650"/>
    <w:rsid w:val="00955E83"/>
    <w:rsid w:val="00956782"/>
    <w:rsid w:val="00956A7F"/>
    <w:rsid w:val="00957E22"/>
    <w:rsid w:val="0096009B"/>
    <w:rsid w:val="00960EAE"/>
    <w:rsid w:val="00961104"/>
    <w:rsid w:val="0096175D"/>
    <w:rsid w:val="00961895"/>
    <w:rsid w:val="00961B23"/>
    <w:rsid w:val="009627EC"/>
    <w:rsid w:val="00962F4F"/>
    <w:rsid w:val="00963006"/>
    <w:rsid w:val="00963368"/>
    <w:rsid w:val="00963C6F"/>
    <w:rsid w:val="00964985"/>
    <w:rsid w:val="00964E2C"/>
    <w:rsid w:val="00965206"/>
    <w:rsid w:val="00966357"/>
    <w:rsid w:val="009666B5"/>
    <w:rsid w:val="00966E54"/>
    <w:rsid w:val="00970B5C"/>
    <w:rsid w:val="00970D2D"/>
    <w:rsid w:val="00970F28"/>
    <w:rsid w:val="00970FA5"/>
    <w:rsid w:val="00971472"/>
    <w:rsid w:val="0097272F"/>
    <w:rsid w:val="009728C2"/>
    <w:rsid w:val="00972D68"/>
    <w:rsid w:val="00972DC1"/>
    <w:rsid w:val="00972E0B"/>
    <w:rsid w:val="00972FD7"/>
    <w:rsid w:val="00973485"/>
    <w:rsid w:val="00973677"/>
    <w:rsid w:val="009737E0"/>
    <w:rsid w:val="00973DB2"/>
    <w:rsid w:val="0097445B"/>
    <w:rsid w:val="0097481C"/>
    <w:rsid w:val="00974965"/>
    <w:rsid w:val="00974AB5"/>
    <w:rsid w:val="00974B80"/>
    <w:rsid w:val="00974E0C"/>
    <w:rsid w:val="00974E90"/>
    <w:rsid w:val="00974F5A"/>
    <w:rsid w:val="009755AC"/>
    <w:rsid w:val="00975992"/>
    <w:rsid w:val="00975A54"/>
    <w:rsid w:val="009761F7"/>
    <w:rsid w:val="0097633F"/>
    <w:rsid w:val="00976465"/>
    <w:rsid w:val="009768BF"/>
    <w:rsid w:val="009777D7"/>
    <w:rsid w:val="00977A02"/>
    <w:rsid w:val="00977C9D"/>
    <w:rsid w:val="00981720"/>
    <w:rsid w:val="009825FD"/>
    <w:rsid w:val="0098265B"/>
    <w:rsid w:val="00983193"/>
    <w:rsid w:val="009835B4"/>
    <w:rsid w:val="00983E4B"/>
    <w:rsid w:val="0098503B"/>
    <w:rsid w:val="00985521"/>
    <w:rsid w:val="0098556B"/>
    <w:rsid w:val="00985D60"/>
    <w:rsid w:val="0098657B"/>
    <w:rsid w:val="00986E80"/>
    <w:rsid w:val="00986F25"/>
    <w:rsid w:val="00987141"/>
    <w:rsid w:val="00987502"/>
    <w:rsid w:val="009876E4"/>
    <w:rsid w:val="00987736"/>
    <w:rsid w:val="00990050"/>
    <w:rsid w:val="00990269"/>
    <w:rsid w:val="00990297"/>
    <w:rsid w:val="00992055"/>
    <w:rsid w:val="009920CB"/>
    <w:rsid w:val="00993B65"/>
    <w:rsid w:val="0099564B"/>
    <w:rsid w:val="009958C0"/>
    <w:rsid w:val="00995C98"/>
    <w:rsid w:val="00995F69"/>
    <w:rsid w:val="0099644E"/>
    <w:rsid w:val="00996A34"/>
    <w:rsid w:val="009A002C"/>
    <w:rsid w:val="009A047F"/>
    <w:rsid w:val="009A0B15"/>
    <w:rsid w:val="009A0D11"/>
    <w:rsid w:val="009A17DD"/>
    <w:rsid w:val="009A1CAE"/>
    <w:rsid w:val="009A23D8"/>
    <w:rsid w:val="009A2AA5"/>
    <w:rsid w:val="009A481A"/>
    <w:rsid w:val="009A4E76"/>
    <w:rsid w:val="009A6F1D"/>
    <w:rsid w:val="009B02D6"/>
    <w:rsid w:val="009B066E"/>
    <w:rsid w:val="009B09E4"/>
    <w:rsid w:val="009B13C4"/>
    <w:rsid w:val="009B1846"/>
    <w:rsid w:val="009B1E26"/>
    <w:rsid w:val="009B1EE1"/>
    <w:rsid w:val="009B27FB"/>
    <w:rsid w:val="009B2ABF"/>
    <w:rsid w:val="009B36FC"/>
    <w:rsid w:val="009B37E6"/>
    <w:rsid w:val="009B3D7B"/>
    <w:rsid w:val="009B4230"/>
    <w:rsid w:val="009B4F04"/>
    <w:rsid w:val="009B538A"/>
    <w:rsid w:val="009B5A09"/>
    <w:rsid w:val="009B5D4E"/>
    <w:rsid w:val="009B5D62"/>
    <w:rsid w:val="009B6172"/>
    <w:rsid w:val="009B65DD"/>
    <w:rsid w:val="009B668D"/>
    <w:rsid w:val="009B676E"/>
    <w:rsid w:val="009B6B9C"/>
    <w:rsid w:val="009B6F11"/>
    <w:rsid w:val="009B72C2"/>
    <w:rsid w:val="009B75B7"/>
    <w:rsid w:val="009C0219"/>
    <w:rsid w:val="009C09F8"/>
    <w:rsid w:val="009C1177"/>
    <w:rsid w:val="009C1423"/>
    <w:rsid w:val="009C16F1"/>
    <w:rsid w:val="009C215F"/>
    <w:rsid w:val="009C2BD4"/>
    <w:rsid w:val="009C380B"/>
    <w:rsid w:val="009C382A"/>
    <w:rsid w:val="009C46E7"/>
    <w:rsid w:val="009C4BE2"/>
    <w:rsid w:val="009C4C90"/>
    <w:rsid w:val="009C4D10"/>
    <w:rsid w:val="009C4F84"/>
    <w:rsid w:val="009C53EE"/>
    <w:rsid w:val="009C55F0"/>
    <w:rsid w:val="009C60AC"/>
    <w:rsid w:val="009C6772"/>
    <w:rsid w:val="009C69D4"/>
    <w:rsid w:val="009C6FEE"/>
    <w:rsid w:val="009C7545"/>
    <w:rsid w:val="009C7651"/>
    <w:rsid w:val="009D13EE"/>
    <w:rsid w:val="009D143D"/>
    <w:rsid w:val="009D164E"/>
    <w:rsid w:val="009D1BDB"/>
    <w:rsid w:val="009D1FDF"/>
    <w:rsid w:val="009D2443"/>
    <w:rsid w:val="009D2A26"/>
    <w:rsid w:val="009D2EB8"/>
    <w:rsid w:val="009D318E"/>
    <w:rsid w:val="009D3B31"/>
    <w:rsid w:val="009D41AB"/>
    <w:rsid w:val="009D4236"/>
    <w:rsid w:val="009D47AF"/>
    <w:rsid w:val="009D597D"/>
    <w:rsid w:val="009D5B59"/>
    <w:rsid w:val="009D5BBE"/>
    <w:rsid w:val="009D609C"/>
    <w:rsid w:val="009D6B28"/>
    <w:rsid w:val="009D796C"/>
    <w:rsid w:val="009E0565"/>
    <w:rsid w:val="009E06D0"/>
    <w:rsid w:val="009E0EB1"/>
    <w:rsid w:val="009E13C1"/>
    <w:rsid w:val="009E1ADE"/>
    <w:rsid w:val="009E226D"/>
    <w:rsid w:val="009E2547"/>
    <w:rsid w:val="009E25DD"/>
    <w:rsid w:val="009E2E1C"/>
    <w:rsid w:val="009E2EB3"/>
    <w:rsid w:val="009E2EEF"/>
    <w:rsid w:val="009E3D3A"/>
    <w:rsid w:val="009E3D41"/>
    <w:rsid w:val="009E4044"/>
    <w:rsid w:val="009E41CB"/>
    <w:rsid w:val="009E4C1C"/>
    <w:rsid w:val="009E559D"/>
    <w:rsid w:val="009E5668"/>
    <w:rsid w:val="009E59AC"/>
    <w:rsid w:val="009E5E55"/>
    <w:rsid w:val="009E6200"/>
    <w:rsid w:val="009E6D6B"/>
    <w:rsid w:val="009E6FDB"/>
    <w:rsid w:val="009F0C9B"/>
    <w:rsid w:val="009F0D00"/>
    <w:rsid w:val="009F153D"/>
    <w:rsid w:val="009F16FA"/>
    <w:rsid w:val="009F1767"/>
    <w:rsid w:val="009F1831"/>
    <w:rsid w:val="009F18DF"/>
    <w:rsid w:val="009F1B5C"/>
    <w:rsid w:val="009F214C"/>
    <w:rsid w:val="009F2FC3"/>
    <w:rsid w:val="009F3093"/>
    <w:rsid w:val="009F33E4"/>
    <w:rsid w:val="009F36ED"/>
    <w:rsid w:val="009F37C5"/>
    <w:rsid w:val="009F431B"/>
    <w:rsid w:val="009F59D3"/>
    <w:rsid w:val="009F5AC7"/>
    <w:rsid w:val="009F66D8"/>
    <w:rsid w:val="009F6B4E"/>
    <w:rsid w:val="009F726F"/>
    <w:rsid w:val="009F76FB"/>
    <w:rsid w:val="009F7762"/>
    <w:rsid w:val="00A0062A"/>
    <w:rsid w:val="00A01227"/>
    <w:rsid w:val="00A01A63"/>
    <w:rsid w:val="00A01C3A"/>
    <w:rsid w:val="00A02BD0"/>
    <w:rsid w:val="00A02BE6"/>
    <w:rsid w:val="00A02EF0"/>
    <w:rsid w:val="00A03058"/>
    <w:rsid w:val="00A030B1"/>
    <w:rsid w:val="00A03C4D"/>
    <w:rsid w:val="00A044E1"/>
    <w:rsid w:val="00A04902"/>
    <w:rsid w:val="00A0495A"/>
    <w:rsid w:val="00A04CBC"/>
    <w:rsid w:val="00A04D1D"/>
    <w:rsid w:val="00A04D3A"/>
    <w:rsid w:val="00A054F8"/>
    <w:rsid w:val="00A05F2B"/>
    <w:rsid w:val="00A0652D"/>
    <w:rsid w:val="00A06D49"/>
    <w:rsid w:val="00A071CB"/>
    <w:rsid w:val="00A07BB0"/>
    <w:rsid w:val="00A07C12"/>
    <w:rsid w:val="00A07DC9"/>
    <w:rsid w:val="00A107E0"/>
    <w:rsid w:val="00A10B7B"/>
    <w:rsid w:val="00A10DDC"/>
    <w:rsid w:val="00A11C4C"/>
    <w:rsid w:val="00A1241A"/>
    <w:rsid w:val="00A1265D"/>
    <w:rsid w:val="00A12C5D"/>
    <w:rsid w:val="00A12CE8"/>
    <w:rsid w:val="00A13223"/>
    <w:rsid w:val="00A1339E"/>
    <w:rsid w:val="00A135ED"/>
    <w:rsid w:val="00A137E5"/>
    <w:rsid w:val="00A14073"/>
    <w:rsid w:val="00A14210"/>
    <w:rsid w:val="00A14B1C"/>
    <w:rsid w:val="00A15B61"/>
    <w:rsid w:val="00A15F11"/>
    <w:rsid w:val="00A16C94"/>
    <w:rsid w:val="00A16E34"/>
    <w:rsid w:val="00A17682"/>
    <w:rsid w:val="00A20EB7"/>
    <w:rsid w:val="00A21782"/>
    <w:rsid w:val="00A22AAE"/>
    <w:rsid w:val="00A23179"/>
    <w:rsid w:val="00A23A19"/>
    <w:rsid w:val="00A23C1D"/>
    <w:rsid w:val="00A24CB0"/>
    <w:rsid w:val="00A251AB"/>
    <w:rsid w:val="00A25AA2"/>
    <w:rsid w:val="00A25FB1"/>
    <w:rsid w:val="00A266B3"/>
    <w:rsid w:val="00A2747E"/>
    <w:rsid w:val="00A27749"/>
    <w:rsid w:val="00A27CB9"/>
    <w:rsid w:val="00A300DA"/>
    <w:rsid w:val="00A30153"/>
    <w:rsid w:val="00A30CB8"/>
    <w:rsid w:val="00A311DF"/>
    <w:rsid w:val="00A319DF"/>
    <w:rsid w:val="00A31E53"/>
    <w:rsid w:val="00A32E88"/>
    <w:rsid w:val="00A33227"/>
    <w:rsid w:val="00A33632"/>
    <w:rsid w:val="00A343EC"/>
    <w:rsid w:val="00A354E4"/>
    <w:rsid w:val="00A35BCF"/>
    <w:rsid w:val="00A35D10"/>
    <w:rsid w:val="00A35DA9"/>
    <w:rsid w:val="00A36279"/>
    <w:rsid w:val="00A364B9"/>
    <w:rsid w:val="00A366C3"/>
    <w:rsid w:val="00A37B2E"/>
    <w:rsid w:val="00A4036D"/>
    <w:rsid w:val="00A40C28"/>
    <w:rsid w:val="00A42068"/>
    <w:rsid w:val="00A4297F"/>
    <w:rsid w:val="00A43744"/>
    <w:rsid w:val="00A4423C"/>
    <w:rsid w:val="00A45BA1"/>
    <w:rsid w:val="00A45F31"/>
    <w:rsid w:val="00A46F78"/>
    <w:rsid w:val="00A471E0"/>
    <w:rsid w:val="00A50649"/>
    <w:rsid w:val="00A5092F"/>
    <w:rsid w:val="00A511C8"/>
    <w:rsid w:val="00A51E2A"/>
    <w:rsid w:val="00A523B1"/>
    <w:rsid w:val="00A52A2E"/>
    <w:rsid w:val="00A52C58"/>
    <w:rsid w:val="00A52CB2"/>
    <w:rsid w:val="00A536BA"/>
    <w:rsid w:val="00A539D8"/>
    <w:rsid w:val="00A53AD3"/>
    <w:rsid w:val="00A53C05"/>
    <w:rsid w:val="00A542D2"/>
    <w:rsid w:val="00A54BDA"/>
    <w:rsid w:val="00A551EE"/>
    <w:rsid w:val="00A5522F"/>
    <w:rsid w:val="00A55959"/>
    <w:rsid w:val="00A559A3"/>
    <w:rsid w:val="00A561F7"/>
    <w:rsid w:val="00A56260"/>
    <w:rsid w:val="00A5719A"/>
    <w:rsid w:val="00A5783B"/>
    <w:rsid w:val="00A57A2A"/>
    <w:rsid w:val="00A610E6"/>
    <w:rsid w:val="00A61BFB"/>
    <w:rsid w:val="00A61DAA"/>
    <w:rsid w:val="00A61FA2"/>
    <w:rsid w:val="00A6316A"/>
    <w:rsid w:val="00A63BE1"/>
    <w:rsid w:val="00A64932"/>
    <w:rsid w:val="00A66142"/>
    <w:rsid w:val="00A663CF"/>
    <w:rsid w:val="00A66D3E"/>
    <w:rsid w:val="00A670A6"/>
    <w:rsid w:val="00A674E8"/>
    <w:rsid w:val="00A67978"/>
    <w:rsid w:val="00A67BFA"/>
    <w:rsid w:val="00A70889"/>
    <w:rsid w:val="00A728D8"/>
    <w:rsid w:val="00A72A8A"/>
    <w:rsid w:val="00A739A9"/>
    <w:rsid w:val="00A748EC"/>
    <w:rsid w:val="00A753B1"/>
    <w:rsid w:val="00A7608B"/>
    <w:rsid w:val="00A76447"/>
    <w:rsid w:val="00A765E3"/>
    <w:rsid w:val="00A76611"/>
    <w:rsid w:val="00A76D32"/>
    <w:rsid w:val="00A776E9"/>
    <w:rsid w:val="00A77965"/>
    <w:rsid w:val="00A77A39"/>
    <w:rsid w:val="00A77C88"/>
    <w:rsid w:val="00A80771"/>
    <w:rsid w:val="00A80DED"/>
    <w:rsid w:val="00A817EE"/>
    <w:rsid w:val="00A81A07"/>
    <w:rsid w:val="00A82D6E"/>
    <w:rsid w:val="00A82D8B"/>
    <w:rsid w:val="00A82E62"/>
    <w:rsid w:val="00A838ED"/>
    <w:rsid w:val="00A83CF9"/>
    <w:rsid w:val="00A841FD"/>
    <w:rsid w:val="00A84455"/>
    <w:rsid w:val="00A853FD"/>
    <w:rsid w:val="00A854BE"/>
    <w:rsid w:val="00A858B7"/>
    <w:rsid w:val="00A85AFB"/>
    <w:rsid w:val="00A860D7"/>
    <w:rsid w:val="00A864BA"/>
    <w:rsid w:val="00A86B52"/>
    <w:rsid w:val="00A86CC9"/>
    <w:rsid w:val="00A86EDF"/>
    <w:rsid w:val="00A876BE"/>
    <w:rsid w:val="00A87A41"/>
    <w:rsid w:val="00A87AD5"/>
    <w:rsid w:val="00A90067"/>
    <w:rsid w:val="00A9018D"/>
    <w:rsid w:val="00A90A6E"/>
    <w:rsid w:val="00A9133A"/>
    <w:rsid w:val="00A91799"/>
    <w:rsid w:val="00A91F02"/>
    <w:rsid w:val="00A91F71"/>
    <w:rsid w:val="00A92446"/>
    <w:rsid w:val="00A92947"/>
    <w:rsid w:val="00A93808"/>
    <w:rsid w:val="00A94034"/>
    <w:rsid w:val="00A946F5"/>
    <w:rsid w:val="00A94EF5"/>
    <w:rsid w:val="00A95C30"/>
    <w:rsid w:val="00A960D2"/>
    <w:rsid w:val="00A97154"/>
    <w:rsid w:val="00AA0945"/>
    <w:rsid w:val="00AA16E9"/>
    <w:rsid w:val="00AA1E38"/>
    <w:rsid w:val="00AA23DF"/>
    <w:rsid w:val="00AA2B0C"/>
    <w:rsid w:val="00AA2BA9"/>
    <w:rsid w:val="00AA3A3D"/>
    <w:rsid w:val="00AA42E9"/>
    <w:rsid w:val="00AA48F3"/>
    <w:rsid w:val="00AA4D6D"/>
    <w:rsid w:val="00AA61BC"/>
    <w:rsid w:val="00AA666B"/>
    <w:rsid w:val="00AA6942"/>
    <w:rsid w:val="00AA6C43"/>
    <w:rsid w:val="00AA7BDA"/>
    <w:rsid w:val="00AA7F46"/>
    <w:rsid w:val="00AA7FDE"/>
    <w:rsid w:val="00AB0155"/>
    <w:rsid w:val="00AB0C74"/>
    <w:rsid w:val="00AB0D84"/>
    <w:rsid w:val="00AB1358"/>
    <w:rsid w:val="00AB1967"/>
    <w:rsid w:val="00AB2605"/>
    <w:rsid w:val="00AB29E6"/>
    <w:rsid w:val="00AB29FB"/>
    <w:rsid w:val="00AB2B89"/>
    <w:rsid w:val="00AB2BDD"/>
    <w:rsid w:val="00AB31DC"/>
    <w:rsid w:val="00AB3652"/>
    <w:rsid w:val="00AB3BBB"/>
    <w:rsid w:val="00AB4129"/>
    <w:rsid w:val="00AB44AC"/>
    <w:rsid w:val="00AB45D6"/>
    <w:rsid w:val="00AB5362"/>
    <w:rsid w:val="00AB5B17"/>
    <w:rsid w:val="00AB68B9"/>
    <w:rsid w:val="00AB6908"/>
    <w:rsid w:val="00AB6E29"/>
    <w:rsid w:val="00AB7034"/>
    <w:rsid w:val="00AB740C"/>
    <w:rsid w:val="00AB78F5"/>
    <w:rsid w:val="00AB7F12"/>
    <w:rsid w:val="00AC00D3"/>
    <w:rsid w:val="00AC19DB"/>
    <w:rsid w:val="00AC21CE"/>
    <w:rsid w:val="00AC2507"/>
    <w:rsid w:val="00AC28D2"/>
    <w:rsid w:val="00AC2DB1"/>
    <w:rsid w:val="00AC376F"/>
    <w:rsid w:val="00AC38BA"/>
    <w:rsid w:val="00AC3E43"/>
    <w:rsid w:val="00AC4286"/>
    <w:rsid w:val="00AC42D0"/>
    <w:rsid w:val="00AC44B0"/>
    <w:rsid w:val="00AC5D5F"/>
    <w:rsid w:val="00AC6644"/>
    <w:rsid w:val="00AC6695"/>
    <w:rsid w:val="00AC76D3"/>
    <w:rsid w:val="00AC785F"/>
    <w:rsid w:val="00AC7D72"/>
    <w:rsid w:val="00AD040F"/>
    <w:rsid w:val="00AD0549"/>
    <w:rsid w:val="00AD1096"/>
    <w:rsid w:val="00AD1B22"/>
    <w:rsid w:val="00AD20CC"/>
    <w:rsid w:val="00AD23EB"/>
    <w:rsid w:val="00AD2679"/>
    <w:rsid w:val="00AD2A0B"/>
    <w:rsid w:val="00AD2A66"/>
    <w:rsid w:val="00AD2B01"/>
    <w:rsid w:val="00AD3072"/>
    <w:rsid w:val="00AD34E8"/>
    <w:rsid w:val="00AD3ADD"/>
    <w:rsid w:val="00AD43A3"/>
    <w:rsid w:val="00AD43A7"/>
    <w:rsid w:val="00AD4632"/>
    <w:rsid w:val="00AD4704"/>
    <w:rsid w:val="00AD4E5D"/>
    <w:rsid w:val="00AD51EC"/>
    <w:rsid w:val="00AD5B8D"/>
    <w:rsid w:val="00AD626F"/>
    <w:rsid w:val="00AD62F8"/>
    <w:rsid w:val="00AD715F"/>
    <w:rsid w:val="00AD75DF"/>
    <w:rsid w:val="00AD7BC1"/>
    <w:rsid w:val="00AD7F5E"/>
    <w:rsid w:val="00AD7FA7"/>
    <w:rsid w:val="00AE0AC4"/>
    <w:rsid w:val="00AE0F07"/>
    <w:rsid w:val="00AE15F2"/>
    <w:rsid w:val="00AE2499"/>
    <w:rsid w:val="00AE29D9"/>
    <w:rsid w:val="00AE2F8C"/>
    <w:rsid w:val="00AE3EFA"/>
    <w:rsid w:val="00AE43CD"/>
    <w:rsid w:val="00AE4C08"/>
    <w:rsid w:val="00AE4F01"/>
    <w:rsid w:val="00AE53BF"/>
    <w:rsid w:val="00AE57A3"/>
    <w:rsid w:val="00AE7225"/>
    <w:rsid w:val="00AF02FB"/>
    <w:rsid w:val="00AF034C"/>
    <w:rsid w:val="00AF06B9"/>
    <w:rsid w:val="00AF07B2"/>
    <w:rsid w:val="00AF07D0"/>
    <w:rsid w:val="00AF17F8"/>
    <w:rsid w:val="00AF1A5C"/>
    <w:rsid w:val="00AF24C1"/>
    <w:rsid w:val="00AF25BD"/>
    <w:rsid w:val="00AF2701"/>
    <w:rsid w:val="00AF2A08"/>
    <w:rsid w:val="00AF39C2"/>
    <w:rsid w:val="00AF3DE3"/>
    <w:rsid w:val="00AF3F77"/>
    <w:rsid w:val="00AF4094"/>
    <w:rsid w:val="00AF4DD7"/>
    <w:rsid w:val="00AF5F7B"/>
    <w:rsid w:val="00AF660A"/>
    <w:rsid w:val="00AF704D"/>
    <w:rsid w:val="00AF7353"/>
    <w:rsid w:val="00AF74AE"/>
    <w:rsid w:val="00AF7CE5"/>
    <w:rsid w:val="00AF7FA9"/>
    <w:rsid w:val="00B004BF"/>
    <w:rsid w:val="00B00C17"/>
    <w:rsid w:val="00B01451"/>
    <w:rsid w:val="00B017F0"/>
    <w:rsid w:val="00B019F4"/>
    <w:rsid w:val="00B01C4D"/>
    <w:rsid w:val="00B02824"/>
    <w:rsid w:val="00B029D3"/>
    <w:rsid w:val="00B02E57"/>
    <w:rsid w:val="00B03462"/>
    <w:rsid w:val="00B03D52"/>
    <w:rsid w:val="00B04268"/>
    <w:rsid w:val="00B045EE"/>
    <w:rsid w:val="00B04FB6"/>
    <w:rsid w:val="00B05645"/>
    <w:rsid w:val="00B06BCC"/>
    <w:rsid w:val="00B074DC"/>
    <w:rsid w:val="00B0794D"/>
    <w:rsid w:val="00B101DF"/>
    <w:rsid w:val="00B105F9"/>
    <w:rsid w:val="00B11BD5"/>
    <w:rsid w:val="00B12028"/>
    <w:rsid w:val="00B12BD0"/>
    <w:rsid w:val="00B13086"/>
    <w:rsid w:val="00B132CC"/>
    <w:rsid w:val="00B13450"/>
    <w:rsid w:val="00B13E6D"/>
    <w:rsid w:val="00B1419E"/>
    <w:rsid w:val="00B146E8"/>
    <w:rsid w:val="00B149B9"/>
    <w:rsid w:val="00B14B04"/>
    <w:rsid w:val="00B14C91"/>
    <w:rsid w:val="00B1520C"/>
    <w:rsid w:val="00B16ACD"/>
    <w:rsid w:val="00B17B01"/>
    <w:rsid w:val="00B200B1"/>
    <w:rsid w:val="00B200F7"/>
    <w:rsid w:val="00B2081A"/>
    <w:rsid w:val="00B21270"/>
    <w:rsid w:val="00B21587"/>
    <w:rsid w:val="00B221C1"/>
    <w:rsid w:val="00B221CF"/>
    <w:rsid w:val="00B22561"/>
    <w:rsid w:val="00B225AA"/>
    <w:rsid w:val="00B228D6"/>
    <w:rsid w:val="00B22E00"/>
    <w:rsid w:val="00B23379"/>
    <w:rsid w:val="00B235F4"/>
    <w:rsid w:val="00B2367D"/>
    <w:rsid w:val="00B2399A"/>
    <w:rsid w:val="00B23AF7"/>
    <w:rsid w:val="00B23C42"/>
    <w:rsid w:val="00B23D29"/>
    <w:rsid w:val="00B23D9B"/>
    <w:rsid w:val="00B24485"/>
    <w:rsid w:val="00B25105"/>
    <w:rsid w:val="00B25B20"/>
    <w:rsid w:val="00B26187"/>
    <w:rsid w:val="00B26564"/>
    <w:rsid w:val="00B26983"/>
    <w:rsid w:val="00B26DE9"/>
    <w:rsid w:val="00B26EEA"/>
    <w:rsid w:val="00B275B1"/>
    <w:rsid w:val="00B275DB"/>
    <w:rsid w:val="00B276F2"/>
    <w:rsid w:val="00B27D65"/>
    <w:rsid w:val="00B27E1A"/>
    <w:rsid w:val="00B30129"/>
    <w:rsid w:val="00B3018C"/>
    <w:rsid w:val="00B3020F"/>
    <w:rsid w:val="00B30ADF"/>
    <w:rsid w:val="00B30D34"/>
    <w:rsid w:val="00B30E4C"/>
    <w:rsid w:val="00B31F6C"/>
    <w:rsid w:val="00B32AB2"/>
    <w:rsid w:val="00B32B73"/>
    <w:rsid w:val="00B3309E"/>
    <w:rsid w:val="00B33ECF"/>
    <w:rsid w:val="00B33FBD"/>
    <w:rsid w:val="00B3426D"/>
    <w:rsid w:val="00B34C55"/>
    <w:rsid w:val="00B3583B"/>
    <w:rsid w:val="00B364FF"/>
    <w:rsid w:val="00B3683C"/>
    <w:rsid w:val="00B36D36"/>
    <w:rsid w:val="00B375EB"/>
    <w:rsid w:val="00B40325"/>
    <w:rsid w:val="00B40A6D"/>
    <w:rsid w:val="00B40D46"/>
    <w:rsid w:val="00B41431"/>
    <w:rsid w:val="00B41EEE"/>
    <w:rsid w:val="00B42297"/>
    <w:rsid w:val="00B42EC4"/>
    <w:rsid w:val="00B431CA"/>
    <w:rsid w:val="00B438A9"/>
    <w:rsid w:val="00B43BFE"/>
    <w:rsid w:val="00B44B92"/>
    <w:rsid w:val="00B45E59"/>
    <w:rsid w:val="00B4669F"/>
    <w:rsid w:val="00B4759B"/>
    <w:rsid w:val="00B478A9"/>
    <w:rsid w:val="00B51BB6"/>
    <w:rsid w:val="00B52792"/>
    <w:rsid w:val="00B52CCB"/>
    <w:rsid w:val="00B5312B"/>
    <w:rsid w:val="00B533EE"/>
    <w:rsid w:val="00B53FD1"/>
    <w:rsid w:val="00B55724"/>
    <w:rsid w:val="00B5649D"/>
    <w:rsid w:val="00B5683B"/>
    <w:rsid w:val="00B568A1"/>
    <w:rsid w:val="00B56C21"/>
    <w:rsid w:val="00B56ECF"/>
    <w:rsid w:val="00B572BF"/>
    <w:rsid w:val="00B5753D"/>
    <w:rsid w:val="00B61409"/>
    <w:rsid w:val="00B61434"/>
    <w:rsid w:val="00B61716"/>
    <w:rsid w:val="00B618DF"/>
    <w:rsid w:val="00B619AC"/>
    <w:rsid w:val="00B61B3A"/>
    <w:rsid w:val="00B61F8E"/>
    <w:rsid w:val="00B622BB"/>
    <w:rsid w:val="00B62319"/>
    <w:rsid w:val="00B62CBF"/>
    <w:rsid w:val="00B632CA"/>
    <w:rsid w:val="00B6386F"/>
    <w:rsid w:val="00B64C56"/>
    <w:rsid w:val="00B652A0"/>
    <w:rsid w:val="00B6638C"/>
    <w:rsid w:val="00B66650"/>
    <w:rsid w:val="00B66707"/>
    <w:rsid w:val="00B70510"/>
    <w:rsid w:val="00B706AB"/>
    <w:rsid w:val="00B708E5"/>
    <w:rsid w:val="00B709E8"/>
    <w:rsid w:val="00B70D79"/>
    <w:rsid w:val="00B715A7"/>
    <w:rsid w:val="00B73504"/>
    <w:rsid w:val="00B73552"/>
    <w:rsid w:val="00B73CDA"/>
    <w:rsid w:val="00B73D87"/>
    <w:rsid w:val="00B73D9F"/>
    <w:rsid w:val="00B74197"/>
    <w:rsid w:val="00B746DB"/>
    <w:rsid w:val="00B74EE5"/>
    <w:rsid w:val="00B74FD9"/>
    <w:rsid w:val="00B759CF"/>
    <w:rsid w:val="00B75E53"/>
    <w:rsid w:val="00B7666E"/>
    <w:rsid w:val="00B76CCB"/>
    <w:rsid w:val="00B76D0A"/>
    <w:rsid w:val="00B77384"/>
    <w:rsid w:val="00B777F1"/>
    <w:rsid w:val="00B7799B"/>
    <w:rsid w:val="00B8056F"/>
    <w:rsid w:val="00B808E1"/>
    <w:rsid w:val="00B828DF"/>
    <w:rsid w:val="00B82B85"/>
    <w:rsid w:val="00B82C39"/>
    <w:rsid w:val="00B830E9"/>
    <w:rsid w:val="00B83120"/>
    <w:rsid w:val="00B834EC"/>
    <w:rsid w:val="00B8380D"/>
    <w:rsid w:val="00B8464F"/>
    <w:rsid w:val="00B84838"/>
    <w:rsid w:val="00B84B7F"/>
    <w:rsid w:val="00B85932"/>
    <w:rsid w:val="00B85CDC"/>
    <w:rsid w:val="00B85F92"/>
    <w:rsid w:val="00B8618A"/>
    <w:rsid w:val="00B86242"/>
    <w:rsid w:val="00B86467"/>
    <w:rsid w:val="00B86915"/>
    <w:rsid w:val="00B87BDC"/>
    <w:rsid w:val="00B90DD3"/>
    <w:rsid w:val="00B911F4"/>
    <w:rsid w:val="00B91693"/>
    <w:rsid w:val="00B9173E"/>
    <w:rsid w:val="00B91E46"/>
    <w:rsid w:val="00B9218B"/>
    <w:rsid w:val="00B9230F"/>
    <w:rsid w:val="00B939CE"/>
    <w:rsid w:val="00B93C4D"/>
    <w:rsid w:val="00B93F8C"/>
    <w:rsid w:val="00B9565B"/>
    <w:rsid w:val="00B959CA"/>
    <w:rsid w:val="00B95AAB"/>
    <w:rsid w:val="00B96032"/>
    <w:rsid w:val="00B96248"/>
    <w:rsid w:val="00B9640E"/>
    <w:rsid w:val="00B971C2"/>
    <w:rsid w:val="00B97972"/>
    <w:rsid w:val="00B97C84"/>
    <w:rsid w:val="00BA0953"/>
    <w:rsid w:val="00BA1011"/>
    <w:rsid w:val="00BA13BE"/>
    <w:rsid w:val="00BA141C"/>
    <w:rsid w:val="00BA1796"/>
    <w:rsid w:val="00BA18CC"/>
    <w:rsid w:val="00BA1F68"/>
    <w:rsid w:val="00BA2016"/>
    <w:rsid w:val="00BA24E3"/>
    <w:rsid w:val="00BA27E6"/>
    <w:rsid w:val="00BA2D08"/>
    <w:rsid w:val="00BA390F"/>
    <w:rsid w:val="00BA4675"/>
    <w:rsid w:val="00BA4CA1"/>
    <w:rsid w:val="00BA4F19"/>
    <w:rsid w:val="00BA5525"/>
    <w:rsid w:val="00BA7310"/>
    <w:rsid w:val="00BA7B30"/>
    <w:rsid w:val="00BB1701"/>
    <w:rsid w:val="00BB30CC"/>
    <w:rsid w:val="00BB3DD5"/>
    <w:rsid w:val="00BB3F82"/>
    <w:rsid w:val="00BB414E"/>
    <w:rsid w:val="00BB427F"/>
    <w:rsid w:val="00BB444D"/>
    <w:rsid w:val="00BB45A5"/>
    <w:rsid w:val="00BB46EE"/>
    <w:rsid w:val="00BB471D"/>
    <w:rsid w:val="00BB48F5"/>
    <w:rsid w:val="00BB6576"/>
    <w:rsid w:val="00BB665E"/>
    <w:rsid w:val="00BB688D"/>
    <w:rsid w:val="00BB72A7"/>
    <w:rsid w:val="00BB753A"/>
    <w:rsid w:val="00BB7DA7"/>
    <w:rsid w:val="00BC0B92"/>
    <w:rsid w:val="00BC0E94"/>
    <w:rsid w:val="00BC0F7F"/>
    <w:rsid w:val="00BC1937"/>
    <w:rsid w:val="00BC1A5C"/>
    <w:rsid w:val="00BC2206"/>
    <w:rsid w:val="00BC224A"/>
    <w:rsid w:val="00BC2CF9"/>
    <w:rsid w:val="00BC2F35"/>
    <w:rsid w:val="00BC30B3"/>
    <w:rsid w:val="00BC4647"/>
    <w:rsid w:val="00BC5CD2"/>
    <w:rsid w:val="00BC754A"/>
    <w:rsid w:val="00BC7AB9"/>
    <w:rsid w:val="00BC7FC6"/>
    <w:rsid w:val="00BD0A5E"/>
    <w:rsid w:val="00BD0B1E"/>
    <w:rsid w:val="00BD0E3C"/>
    <w:rsid w:val="00BD13C4"/>
    <w:rsid w:val="00BD1730"/>
    <w:rsid w:val="00BD1C3D"/>
    <w:rsid w:val="00BD1ED5"/>
    <w:rsid w:val="00BD3833"/>
    <w:rsid w:val="00BD3FE7"/>
    <w:rsid w:val="00BD4C4B"/>
    <w:rsid w:val="00BD4E66"/>
    <w:rsid w:val="00BD5323"/>
    <w:rsid w:val="00BD555A"/>
    <w:rsid w:val="00BD6353"/>
    <w:rsid w:val="00BD63B7"/>
    <w:rsid w:val="00BD6840"/>
    <w:rsid w:val="00BD6A75"/>
    <w:rsid w:val="00BD6B6C"/>
    <w:rsid w:val="00BD6C1A"/>
    <w:rsid w:val="00BD7094"/>
    <w:rsid w:val="00BD71B8"/>
    <w:rsid w:val="00BD7BC6"/>
    <w:rsid w:val="00BE06D2"/>
    <w:rsid w:val="00BE0EE6"/>
    <w:rsid w:val="00BE1003"/>
    <w:rsid w:val="00BE1B60"/>
    <w:rsid w:val="00BE1BEB"/>
    <w:rsid w:val="00BE1E23"/>
    <w:rsid w:val="00BE1E40"/>
    <w:rsid w:val="00BE2579"/>
    <w:rsid w:val="00BE2706"/>
    <w:rsid w:val="00BE330A"/>
    <w:rsid w:val="00BE3E40"/>
    <w:rsid w:val="00BE5732"/>
    <w:rsid w:val="00BE5924"/>
    <w:rsid w:val="00BE5AAF"/>
    <w:rsid w:val="00BE5C2A"/>
    <w:rsid w:val="00BE5C77"/>
    <w:rsid w:val="00BE63D7"/>
    <w:rsid w:val="00BE67B7"/>
    <w:rsid w:val="00BE7678"/>
    <w:rsid w:val="00BE7C4E"/>
    <w:rsid w:val="00BE7FD3"/>
    <w:rsid w:val="00BF0763"/>
    <w:rsid w:val="00BF07BB"/>
    <w:rsid w:val="00BF07FA"/>
    <w:rsid w:val="00BF0A39"/>
    <w:rsid w:val="00BF1157"/>
    <w:rsid w:val="00BF1646"/>
    <w:rsid w:val="00BF17C6"/>
    <w:rsid w:val="00BF1A3A"/>
    <w:rsid w:val="00BF258F"/>
    <w:rsid w:val="00BF2990"/>
    <w:rsid w:val="00BF2F0D"/>
    <w:rsid w:val="00BF306D"/>
    <w:rsid w:val="00BF30AF"/>
    <w:rsid w:val="00BF3394"/>
    <w:rsid w:val="00BF3436"/>
    <w:rsid w:val="00BF3710"/>
    <w:rsid w:val="00BF3825"/>
    <w:rsid w:val="00BF4906"/>
    <w:rsid w:val="00BF4B56"/>
    <w:rsid w:val="00BF564F"/>
    <w:rsid w:val="00BF5952"/>
    <w:rsid w:val="00BF6E06"/>
    <w:rsid w:val="00BF72D3"/>
    <w:rsid w:val="00C0017C"/>
    <w:rsid w:val="00C00440"/>
    <w:rsid w:val="00C00553"/>
    <w:rsid w:val="00C007B1"/>
    <w:rsid w:val="00C0081D"/>
    <w:rsid w:val="00C01BEB"/>
    <w:rsid w:val="00C01CDF"/>
    <w:rsid w:val="00C0224E"/>
    <w:rsid w:val="00C024E7"/>
    <w:rsid w:val="00C02ED3"/>
    <w:rsid w:val="00C02EF2"/>
    <w:rsid w:val="00C03863"/>
    <w:rsid w:val="00C03B76"/>
    <w:rsid w:val="00C04FC1"/>
    <w:rsid w:val="00C05F72"/>
    <w:rsid w:val="00C065E9"/>
    <w:rsid w:val="00C07744"/>
    <w:rsid w:val="00C07B22"/>
    <w:rsid w:val="00C10167"/>
    <w:rsid w:val="00C104AB"/>
    <w:rsid w:val="00C10570"/>
    <w:rsid w:val="00C10592"/>
    <w:rsid w:val="00C10921"/>
    <w:rsid w:val="00C10DFC"/>
    <w:rsid w:val="00C10E0F"/>
    <w:rsid w:val="00C11163"/>
    <w:rsid w:val="00C11F8F"/>
    <w:rsid w:val="00C1216B"/>
    <w:rsid w:val="00C12D29"/>
    <w:rsid w:val="00C13117"/>
    <w:rsid w:val="00C13803"/>
    <w:rsid w:val="00C1405B"/>
    <w:rsid w:val="00C14125"/>
    <w:rsid w:val="00C1438D"/>
    <w:rsid w:val="00C14906"/>
    <w:rsid w:val="00C14A27"/>
    <w:rsid w:val="00C14A5A"/>
    <w:rsid w:val="00C14AC2"/>
    <w:rsid w:val="00C14D8D"/>
    <w:rsid w:val="00C15C42"/>
    <w:rsid w:val="00C15C6F"/>
    <w:rsid w:val="00C16AAF"/>
    <w:rsid w:val="00C16B76"/>
    <w:rsid w:val="00C170BB"/>
    <w:rsid w:val="00C17194"/>
    <w:rsid w:val="00C17272"/>
    <w:rsid w:val="00C20184"/>
    <w:rsid w:val="00C2063C"/>
    <w:rsid w:val="00C214CD"/>
    <w:rsid w:val="00C2179C"/>
    <w:rsid w:val="00C226EE"/>
    <w:rsid w:val="00C22C9C"/>
    <w:rsid w:val="00C2323A"/>
    <w:rsid w:val="00C23B75"/>
    <w:rsid w:val="00C23C7E"/>
    <w:rsid w:val="00C24A2B"/>
    <w:rsid w:val="00C24ADC"/>
    <w:rsid w:val="00C24D88"/>
    <w:rsid w:val="00C25111"/>
    <w:rsid w:val="00C25162"/>
    <w:rsid w:val="00C25979"/>
    <w:rsid w:val="00C25B79"/>
    <w:rsid w:val="00C261E9"/>
    <w:rsid w:val="00C2688F"/>
    <w:rsid w:val="00C26AB2"/>
    <w:rsid w:val="00C2703E"/>
    <w:rsid w:val="00C270D2"/>
    <w:rsid w:val="00C27264"/>
    <w:rsid w:val="00C27923"/>
    <w:rsid w:val="00C308E1"/>
    <w:rsid w:val="00C30A31"/>
    <w:rsid w:val="00C30AD2"/>
    <w:rsid w:val="00C30EB1"/>
    <w:rsid w:val="00C317C8"/>
    <w:rsid w:val="00C31F1A"/>
    <w:rsid w:val="00C32135"/>
    <w:rsid w:val="00C32174"/>
    <w:rsid w:val="00C324EB"/>
    <w:rsid w:val="00C32947"/>
    <w:rsid w:val="00C342F5"/>
    <w:rsid w:val="00C34912"/>
    <w:rsid w:val="00C35D23"/>
    <w:rsid w:val="00C35FAA"/>
    <w:rsid w:val="00C35FB9"/>
    <w:rsid w:val="00C36795"/>
    <w:rsid w:val="00C36815"/>
    <w:rsid w:val="00C36CDB"/>
    <w:rsid w:val="00C376F7"/>
    <w:rsid w:val="00C40E88"/>
    <w:rsid w:val="00C4131D"/>
    <w:rsid w:val="00C4191E"/>
    <w:rsid w:val="00C41F62"/>
    <w:rsid w:val="00C4229B"/>
    <w:rsid w:val="00C42457"/>
    <w:rsid w:val="00C42FA3"/>
    <w:rsid w:val="00C4490A"/>
    <w:rsid w:val="00C44F62"/>
    <w:rsid w:val="00C45B29"/>
    <w:rsid w:val="00C45BB7"/>
    <w:rsid w:val="00C464FF"/>
    <w:rsid w:val="00C466A8"/>
    <w:rsid w:val="00C46EF6"/>
    <w:rsid w:val="00C47B99"/>
    <w:rsid w:val="00C5040A"/>
    <w:rsid w:val="00C506D9"/>
    <w:rsid w:val="00C506FC"/>
    <w:rsid w:val="00C508CB"/>
    <w:rsid w:val="00C51939"/>
    <w:rsid w:val="00C51B22"/>
    <w:rsid w:val="00C51BA4"/>
    <w:rsid w:val="00C520B0"/>
    <w:rsid w:val="00C52C23"/>
    <w:rsid w:val="00C52D09"/>
    <w:rsid w:val="00C52F85"/>
    <w:rsid w:val="00C534B9"/>
    <w:rsid w:val="00C541B5"/>
    <w:rsid w:val="00C544F3"/>
    <w:rsid w:val="00C545AF"/>
    <w:rsid w:val="00C549FC"/>
    <w:rsid w:val="00C5506E"/>
    <w:rsid w:val="00C5514C"/>
    <w:rsid w:val="00C5529D"/>
    <w:rsid w:val="00C55578"/>
    <w:rsid w:val="00C56118"/>
    <w:rsid w:val="00C561E4"/>
    <w:rsid w:val="00C5639D"/>
    <w:rsid w:val="00C57317"/>
    <w:rsid w:val="00C57D4D"/>
    <w:rsid w:val="00C60304"/>
    <w:rsid w:val="00C609A5"/>
    <w:rsid w:val="00C609B1"/>
    <w:rsid w:val="00C60A17"/>
    <w:rsid w:val="00C60A25"/>
    <w:rsid w:val="00C61895"/>
    <w:rsid w:val="00C61B8C"/>
    <w:rsid w:val="00C631AE"/>
    <w:rsid w:val="00C63241"/>
    <w:rsid w:val="00C64344"/>
    <w:rsid w:val="00C64852"/>
    <w:rsid w:val="00C6513F"/>
    <w:rsid w:val="00C65411"/>
    <w:rsid w:val="00C6590D"/>
    <w:rsid w:val="00C668F1"/>
    <w:rsid w:val="00C66B5E"/>
    <w:rsid w:val="00C67823"/>
    <w:rsid w:val="00C67B92"/>
    <w:rsid w:val="00C7014C"/>
    <w:rsid w:val="00C701F1"/>
    <w:rsid w:val="00C70BE5"/>
    <w:rsid w:val="00C70C16"/>
    <w:rsid w:val="00C71330"/>
    <w:rsid w:val="00C71767"/>
    <w:rsid w:val="00C7186C"/>
    <w:rsid w:val="00C71939"/>
    <w:rsid w:val="00C72ADC"/>
    <w:rsid w:val="00C7343C"/>
    <w:rsid w:val="00C73715"/>
    <w:rsid w:val="00C743CC"/>
    <w:rsid w:val="00C746DD"/>
    <w:rsid w:val="00C74854"/>
    <w:rsid w:val="00C74BB7"/>
    <w:rsid w:val="00C76052"/>
    <w:rsid w:val="00C768B6"/>
    <w:rsid w:val="00C769D1"/>
    <w:rsid w:val="00C76E59"/>
    <w:rsid w:val="00C80C3F"/>
    <w:rsid w:val="00C80F15"/>
    <w:rsid w:val="00C811B5"/>
    <w:rsid w:val="00C81F5D"/>
    <w:rsid w:val="00C824AC"/>
    <w:rsid w:val="00C85F00"/>
    <w:rsid w:val="00C85FFD"/>
    <w:rsid w:val="00C86060"/>
    <w:rsid w:val="00C870F5"/>
    <w:rsid w:val="00C8735C"/>
    <w:rsid w:val="00C8779A"/>
    <w:rsid w:val="00C87813"/>
    <w:rsid w:val="00C9133C"/>
    <w:rsid w:val="00C914EE"/>
    <w:rsid w:val="00C91F42"/>
    <w:rsid w:val="00C92B4A"/>
    <w:rsid w:val="00C93AF9"/>
    <w:rsid w:val="00C93CE2"/>
    <w:rsid w:val="00C93E13"/>
    <w:rsid w:val="00C9413C"/>
    <w:rsid w:val="00C94498"/>
    <w:rsid w:val="00C94A3C"/>
    <w:rsid w:val="00C9549E"/>
    <w:rsid w:val="00C96384"/>
    <w:rsid w:val="00C964B6"/>
    <w:rsid w:val="00C96C5C"/>
    <w:rsid w:val="00C96FD7"/>
    <w:rsid w:val="00C9734E"/>
    <w:rsid w:val="00C976CA"/>
    <w:rsid w:val="00C978B1"/>
    <w:rsid w:val="00C9792D"/>
    <w:rsid w:val="00C97A91"/>
    <w:rsid w:val="00C97B21"/>
    <w:rsid w:val="00CA1846"/>
    <w:rsid w:val="00CA22F1"/>
    <w:rsid w:val="00CA25AE"/>
    <w:rsid w:val="00CA2DA2"/>
    <w:rsid w:val="00CA2FD7"/>
    <w:rsid w:val="00CA324D"/>
    <w:rsid w:val="00CA3765"/>
    <w:rsid w:val="00CA41A2"/>
    <w:rsid w:val="00CA43B3"/>
    <w:rsid w:val="00CA500B"/>
    <w:rsid w:val="00CA5563"/>
    <w:rsid w:val="00CA5864"/>
    <w:rsid w:val="00CA592A"/>
    <w:rsid w:val="00CA6CB2"/>
    <w:rsid w:val="00CA6D8A"/>
    <w:rsid w:val="00CA7196"/>
    <w:rsid w:val="00CA7599"/>
    <w:rsid w:val="00CB123F"/>
    <w:rsid w:val="00CB2264"/>
    <w:rsid w:val="00CB2B95"/>
    <w:rsid w:val="00CB320C"/>
    <w:rsid w:val="00CB3F13"/>
    <w:rsid w:val="00CB42B5"/>
    <w:rsid w:val="00CB48C8"/>
    <w:rsid w:val="00CB66E0"/>
    <w:rsid w:val="00CB6D77"/>
    <w:rsid w:val="00CB6E30"/>
    <w:rsid w:val="00CB712E"/>
    <w:rsid w:val="00CB77F4"/>
    <w:rsid w:val="00CB780F"/>
    <w:rsid w:val="00CB7C3E"/>
    <w:rsid w:val="00CC09F3"/>
    <w:rsid w:val="00CC0C6D"/>
    <w:rsid w:val="00CC0DF4"/>
    <w:rsid w:val="00CC17DD"/>
    <w:rsid w:val="00CC19BC"/>
    <w:rsid w:val="00CC1D4A"/>
    <w:rsid w:val="00CC2089"/>
    <w:rsid w:val="00CC2206"/>
    <w:rsid w:val="00CC2C3E"/>
    <w:rsid w:val="00CC2F79"/>
    <w:rsid w:val="00CC312E"/>
    <w:rsid w:val="00CC34F9"/>
    <w:rsid w:val="00CC3697"/>
    <w:rsid w:val="00CC486F"/>
    <w:rsid w:val="00CC4D99"/>
    <w:rsid w:val="00CC6569"/>
    <w:rsid w:val="00CC6DF8"/>
    <w:rsid w:val="00CC6F71"/>
    <w:rsid w:val="00CD0B47"/>
    <w:rsid w:val="00CD1314"/>
    <w:rsid w:val="00CD2550"/>
    <w:rsid w:val="00CD3402"/>
    <w:rsid w:val="00CD3558"/>
    <w:rsid w:val="00CD3CE2"/>
    <w:rsid w:val="00CD44EE"/>
    <w:rsid w:val="00CD4D8D"/>
    <w:rsid w:val="00CD515F"/>
    <w:rsid w:val="00CD531C"/>
    <w:rsid w:val="00CD5C19"/>
    <w:rsid w:val="00CD5E49"/>
    <w:rsid w:val="00CD5E93"/>
    <w:rsid w:val="00CD5EEA"/>
    <w:rsid w:val="00CD64DA"/>
    <w:rsid w:val="00CD6B07"/>
    <w:rsid w:val="00CD6B1F"/>
    <w:rsid w:val="00CD782F"/>
    <w:rsid w:val="00CE016E"/>
    <w:rsid w:val="00CE0B23"/>
    <w:rsid w:val="00CE0C2C"/>
    <w:rsid w:val="00CE0CAF"/>
    <w:rsid w:val="00CE1899"/>
    <w:rsid w:val="00CE20E6"/>
    <w:rsid w:val="00CE2434"/>
    <w:rsid w:val="00CE32E7"/>
    <w:rsid w:val="00CE45F2"/>
    <w:rsid w:val="00CE658C"/>
    <w:rsid w:val="00CE6852"/>
    <w:rsid w:val="00CE79B0"/>
    <w:rsid w:val="00CE7DD5"/>
    <w:rsid w:val="00CF0869"/>
    <w:rsid w:val="00CF0C00"/>
    <w:rsid w:val="00CF0EC8"/>
    <w:rsid w:val="00CF1552"/>
    <w:rsid w:val="00CF2AB5"/>
    <w:rsid w:val="00CF40F3"/>
    <w:rsid w:val="00CF4536"/>
    <w:rsid w:val="00CF4A3C"/>
    <w:rsid w:val="00CF52CF"/>
    <w:rsid w:val="00CF5646"/>
    <w:rsid w:val="00CF56FD"/>
    <w:rsid w:val="00CF5717"/>
    <w:rsid w:val="00CF5B75"/>
    <w:rsid w:val="00CF5BD5"/>
    <w:rsid w:val="00CF62DE"/>
    <w:rsid w:val="00CF63F2"/>
    <w:rsid w:val="00CF65C2"/>
    <w:rsid w:val="00D0044F"/>
    <w:rsid w:val="00D007FF"/>
    <w:rsid w:val="00D00FB3"/>
    <w:rsid w:val="00D0222A"/>
    <w:rsid w:val="00D0276A"/>
    <w:rsid w:val="00D02AFB"/>
    <w:rsid w:val="00D030BA"/>
    <w:rsid w:val="00D04F8E"/>
    <w:rsid w:val="00D050F8"/>
    <w:rsid w:val="00D064EC"/>
    <w:rsid w:val="00D07287"/>
    <w:rsid w:val="00D10319"/>
    <w:rsid w:val="00D120E4"/>
    <w:rsid w:val="00D12563"/>
    <w:rsid w:val="00D12F06"/>
    <w:rsid w:val="00D13081"/>
    <w:rsid w:val="00D13612"/>
    <w:rsid w:val="00D140B5"/>
    <w:rsid w:val="00D147F8"/>
    <w:rsid w:val="00D14B25"/>
    <w:rsid w:val="00D14C09"/>
    <w:rsid w:val="00D14FE4"/>
    <w:rsid w:val="00D15AF1"/>
    <w:rsid w:val="00D16004"/>
    <w:rsid w:val="00D165D4"/>
    <w:rsid w:val="00D16E6E"/>
    <w:rsid w:val="00D20CF7"/>
    <w:rsid w:val="00D212EC"/>
    <w:rsid w:val="00D218B1"/>
    <w:rsid w:val="00D220B8"/>
    <w:rsid w:val="00D22622"/>
    <w:rsid w:val="00D22B1E"/>
    <w:rsid w:val="00D232AD"/>
    <w:rsid w:val="00D235AE"/>
    <w:rsid w:val="00D242F8"/>
    <w:rsid w:val="00D24CF8"/>
    <w:rsid w:val="00D24E39"/>
    <w:rsid w:val="00D257C6"/>
    <w:rsid w:val="00D25F09"/>
    <w:rsid w:val="00D27386"/>
    <w:rsid w:val="00D27454"/>
    <w:rsid w:val="00D27476"/>
    <w:rsid w:val="00D30003"/>
    <w:rsid w:val="00D302CC"/>
    <w:rsid w:val="00D30401"/>
    <w:rsid w:val="00D3060E"/>
    <w:rsid w:val="00D307DF"/>
    <w:rsid w:val="00D30B86"/>
    <w:rsid w:val="00D30B9F"/>
    <w:rsid w:val="00D316A9"/>
    <w:rsid w:val="00D323C0"/>
    <w:rsid w:val="00D326FA"/>
    <w:rsid w:val="00D33AF6"/>
    <w:rsid w:val="00D33E8A"/>
    <w:rsid w:val="00D344FA"/>
    <w:rsid w:val="00D34C32"/>
    <w:rsid w:val="00D34F50"/>
    <w:rsid w:val="00D350CC"/>
    <w:rsid w:val="00D35250"/>
    <w:rsid w:val="00D35942"/>
    <w:rsid w:val="00D35AD4"/>
    <w:rsid w:val="00D362F5"/>
    <w:rsid w:val="00D36842"/>
    <w:rsid w:val="00D36DCE"/>
    <w:rsid w:val="00D3713A"/>
    <w:rsid w:val="00D374D9"/>
    <w:rsid w:val="00D37A81"/>
    <w:rsid w:val="00D37F44"/>
    <w:rsid w:val="00D4034B"/>
    <w:rsid w:val="00D41154"/>
    <w:rsid w:val="00D414B6"/>
    <w:rsid w:val="00D41BD1"/>
    <w:rsid w:val="00D41DA3"/>
    <w:rsid w:val="00D42E07"/>
    <w:rsid w:val="00D42E96"/>
    <w:rsid w:val="00D42FDE"/>
    <w:rsid w:val="00D433D8"/>
    <w:rsid w:val="00D4366A"/>
    <w:rsid w:val="00D4416A"/>
    <w:rsid w:val="00D4458A"/>
    <w:rsid w:val="00D45428"/>
    <w:rsid w:val="00D45724"/>
    <w:rsid w:val="00D45C43"/>
    <w:rsid w:val="00D4618B"/>
    <w:rsid w:val="00D46664"/>
    <w:rsid w:val="00D4755C"/>
    <w:rsid w:val="00D4790E"/>
    <w:rsid w:val="00D47C59"/>
    <w:rsid w:val="00D51145"/>
    <w:rsid w:val="00D5133A"/>
    <w:rsid w:val="00D51348"/>
    <w:rsid w:val="00D5186D"/>
    <w:rsid w:val="00D51D3D"/>
    <w:rsid w:val="00D525C4"/>
    <w:rsid w:val="00D525F4"/>
    <w:rsid w:val="00D527B0"/>
    <w:rsid w:val="00D52F2B"/>
    <w:rsid w:val="00D53277"/>
    <w:rsid w:val="00D532C7"/>
    <w:rsid w:val="00D532EA"/>
    <w:rsid w:val="00D53C62"/>
    <w:rsid w:val="00D5409A"/>
    <w:rsid w:val="00D549FA"/>
    <w:rsid w:val="00D55051"/>
    <w:rsid w:val="00D55D25"/>
    <w:rsid w:val="00D55F73"/>
    <w:rsid w:val="00D561B6"/>
    <w:rsid w:val="00D57177"/>
    <w:rsid w:val="00D57BAC"/>
    <w:rsid w:val="00D57F6C"/>
    <w:rsid w:val="00D6079F"/>
    <w:rsid w:val="00D608E9"/>
    <w:rsid w:val="00D60CFD"/>
    <w:rsid w:val="00D611C9"/>
    <w:rsid w:val="00D62412"/>
    <w:rsid w:val="00D6267E"/>
    <w:rsid w:val="00D62CB0"/>
    <w:rsid w:val="00D62F99"/>
    <w:rsid w:val="00D6338E"/>
    <w:rsid w:val="00D634FA"/>
    <w:rsid w:val="00D6358C"/>
    <w:rsid w:val="00D638CC"/>
    <w:rsid w:val="00D63E30"/>
    <w:rsid w:val="00D66413"/>
    <w:rsid w:val="00D66668"/>
    <w:rsid w:val="00D66907"/>
    <w:rsid w:val="00D66B27"/>
    <w:rsid w:val="00D66DAD"/>
    <w:rsid w:val="00D67551"/>
    <w:rsid w:val="00D70A1B"/>
    <w:rsid w:val="00D715F3"/>
    <w:rsid w:val="00D71CA5"/>
    <w:rsid w:val="00D72C31"/>
    <w:rsid w:val="00D731F8"/>
    <w:rsid w:val="00D734E4"/>
    <w:rsid w:val="00D739B4"/>
    <w:rsid w:val="00D73E88"/>
    <w:rsid w:val="00D746B2"/>
    <w:rsid w:val="00D748D3"/>
    <w:rsid w:val="00D74A18"/>
    <w:rsid w:val="00D74C14"/>
    <w:rsid w:val="00D7521E"/>
    <w:rsid w:val="00D75CD1"/>
    <w:rsid w:val="00D75FD8"/>
    <w:rsid w:val="00D761C6"/>
    <w:rsid w:val="00D76F35"/>
    <w:rsid w:val="00D7713A"/>
    <w:rsid w:val="00D77250"/>
    <w:rsid w:val="00D778A6"/>
    <w:rsid w:val="00D77A8E"/>
    <w:rsid w:val="00D77D2F"/>
    <w:rsid w:val="00D77EF5"/>
    <w:rsid w:val="00D80385"/>
    <w:rsid w:val="00D80AB1"/>
    <w:rsid w:val="00D8115B"/>
    <w:rsid w:val="00D81594"/>
    <w:rsid w:val="00D81952"/>
    <w:rsid w:val="00D81D50"/>
    <w:rsid w:val="00D822EB"/>
    <w:rsid w:val="00D824C6"/>
    <w:rsid w:val="00D82C4C"/>
    <w:rsid w:val="00D82FBB"/>
    <w:rsid w:val="00D847CF"/>
    <w:rsid w:val="00D849B0"/>
    <w:rsid w:val="00D85398"/>
    <w:rsid w:val="00D8578D"/>
    <w:rsid w:val="00D85B4A"/>
    <w:rsid w:val="00D85D40"/>
    <w:rsid w:val="00D85F83"/>
    <w:rsid w:val="00D86352"/>
    <w:rsid w:val="00D8691F"/>
    <w:rsid w:val="00D871C7"/>
    <w:rsid w:val="00D87C06"/>
    <w:rsid w:val="00D87D0D"/>
    <w:rsid w:val="00D90D62"/>
    <w:rsid w:val="00D927A3"/>
    <w:rsid w:val="00D938DA"/>
    <w:rsid w:val="00D93B30"/>
    <w:rsid w:val="00D93ED6"/>
    <w:rsid w:val="00D942A7"/>
    <w:rsid w:val="00D94E15"/>
    <w:rsid w:val="00D954B7"/>
    <w:rsid w:val="00D95896"/>
    <w:rsid w:val="00D95956"/>
    <w:rsid w:val="00D95DEC"/>
    <w:rsid w:val="00D96E83"/>
    <w:rsid w:val="00D96FB5"/>
    <w:rsid w:val="00D971F2"/>
    <w:rsid w:val="00D975D5"/>
    <w:rsid w:val="00D977F4"/>
    <w:rsid w:val="00DA01AA"/>
    <w:rsid w:val="00DA0523"/>
    <w:rsid w:val="00DA0A90"/>
    <w:rsid w:val="00DA0DEB"/>
    <w:rsid w:val="00DA1E9B"/>
    <w:rsid w:val="00DA21F9"/>
    <w:rsid w:val="00DA2876"/>
    <w:rsid w:val="00DA293A"/>
    <w:rsid w:val="00DA2A3B"/>
    <w:rsid w:val="00DA2B95"/>
    <w:rsid w:val="00DA36CF"/>
    <w:rsid w:val="00DA3839"/>
    <w:rsid w:val="00DA41F0"/>
    <w:rsid w:val="00DA45C7"/>
    <w:rsid w:val="00DA592C"/>
    <w:rsid w:val="00DA5BAE"/>
    <w:rsid w:val="00DA5D09"/>
    <w:rsid w:val="00DA63AC"/>
    <w:rsid w:val="00DA6807"/>
    <w:rsid w:val="00DA738D"/>
    <w:rsid w:val="00DA7494"/>
    <w:rsid w:val="00DA7A57"/>
    <w:rsid w:val="00DA7CA6"/>
    <w:rsid w:val="00DA7CCA"/>
    <w:rsid w:val="00DA7E11"/>
    <w:rsid w:val="00DB03A7"/>
    <w:rsid w:val="00DB0427"/>
    <w:rsid w:val="00DB0C1D"/>
    <w:rsid w:val="00DB1668"/>
    <w:rsid w:val="00DB19C7"/>
    <w:rsid w:val="00DB1F7A"/>
    <w:rsid w:val="00DB20CC"/>
    <w:rsid w:val="00DB2610"/>
    <w:rsid w:val="00DB274F"/>
    <w:rsid w:val="00DB3B3B"/>
    <w:rsid w:val="00DB3E21"/>
    <w:rsid w:val="00DB5099"/>
    <w:rsid w:val="00DB5AD7"/>
    <w:rsid w:val="00DB5B05"/>
    <w:rsid w:val="00DB5F29"/>
    <w:rsid w:val="00DB6137"/>
    <w:rsid w:val="00DB64E0"/>
    <w:rsid w:val="00DB6C16"/>
    <w:rsid w:val="00DB6D74"/>
    <w:rsid w:val="00DB6D86"/>
    <w:rsid w:val="00DB74DE"/>
    <w:rsid w:val="00DB77F9"/>
    <w:rsid w:val="00DC04CD"/>
    <w:rsid w:val="00DC0D4A"/>
    <w:rsid w:val="00DC1C5F"/>
    <w:rsid w:val="00DC1D64"/>
    <w:rsid w:val="00DC2B22"/>
    <w:rsid w:val="00DC3A55"/>
    <w:rsid w:val="00DC450E"/>
    <w:rsid w:val="00DC4F70"/>
    <w:rsid w:val="00DC517D"/>
    <w:rsid w:val="00DC54A8"/>
    <w:rsid w:val="00DC5916"/>
    <w:rsid w:val="00DC5B28"/>
    <w:rsid w:val="00DC7455"/>
    <w:rsid w:val="00DC7C2D"/>
    <w:rsid w:val="00DD01CD"/>
    <w:rsid w:val="00DD043F"/>
    <w:rsid w:val="00DD0916"/>
    <w:rsid w:val="00DD0C1A"/>
    <w:rsid w:val="00DD146B"/>
    <w:rsid w:val="00DD2A58"/>
    <w:rsid w:val="00DD3411"/>
    <w:rsid w:val="00DD397E"/>
    <w:rsid w:val="00DD3BD8"/>
    <w:rsid w:val="00DD3D61"/>
    <w:rsid w:val="00DD4271"/>
    <w:rsid w:val="00DD43AB"/>
    <w:rsid w:val="00DD440E"/>
    <w:rsid w:val="00DD4465"/>
    <w:rsid w:val="00DD4733"/>
    <w:rsid w:val="00DD4B84"/>
    <w:rsid w:val="00DD4C53"/>
    <w:rsid w:val="00DD4F3A"/>
    <w:rsid w:val="00DD5B58"/>
    <w:rsid w:val="00DD7407"/>
    <w:rsid w:val="00DD7B1D"/>
    <w:rsid w:val="00DD7E36"/>
    <w:rsid w:val="00DE0090"/>
    <w:rsid w:val="00DE0355"/>
    <w:rsid w:val="00DE0582"/>
    <w:rsid w:val="00DE05D8"/>
    <w:rsid w:val="00DE0789"/>
    <w:rsid w:val="00DE083E"/>
    <w:rsid w:val="00DE195D"/>
    <w:rsid w:val="00DE1C08"/>
    <w:rsid w:val="00DE21A0"/>
    <w:rsid w:val="00DE228D"/>
    <w:rsid w:val="00DE2752"/>
    <w:rsid w:val="00DE27D2"/>
    <w:rsid w:val="00DE2B30"/>
    <w:rsid w:val="00DE2B67"/>
    <w:rsid w:val="00DE2E76"/>
    <w:rsid w:val="00DE2FF4"/>
    <w:rsid w:val="00DE393E"/>
    <w:rsid w:val="00DE3995"/>
    <w:rsid w:val="00DE3AA6"/>
    <w:rsid w:val="00DE46BF"/>
    <w:rsid w:val="00DE4FAA"/>
    <w:rsid w:val="00DE56CC"/>
    <w:rsid w:val="00DE5D0D"/>
    <w:rsid w:val="00DE5FAD"/>
    <w:rsid w:val="00DE6E0C"/>
    <w:rsid w:val="00DE73B0"/>
    <w:rsid w:val="00DE7F72"/>
    <w:rsid w:val="00DF12E8"/>
    <w:rsid w:val="00DF14CC"/>
    <w:rsid w:val="00DF1568"/>
    <w:rsid w:val="00DF15C4"/>
    <w:rsid w:val="00DF241B"/>
    <w:rsid w:val="00DF2477"/>
    <w:rsid w:val="00DF289A"/>
    <w:rsid w:val="00DF30E9"/>
    <w:rsid w:val="00DF3479"/>
    <w:rsid w:val="00DF5418"/>
    <w:rsid w:val="00DF5768"/>
    <w:rsid w:val="00DF67D4"/>
    <w:rsid w:val="00DF6991"/>
    <w:rsid w:val="00DF71C8"/>
    <w:rsid w:val="00DF761A"/>
    <w:rsid w:val="00DF77BD"/>
    <w:rsid w:val="00DF7D63"/>
    <w:rsid w:val="00DF7D6E"/>
    <w:rsid w:val="00E0028B"/>
    <w:rsid w:val="00E00668"/>
    <w:rsid w:val="00E00A7F"/>
    <w:rsid w:val="00E00AD9"/>
    <w:rsid w:val="00E01173"/>
    <w:rsid w:val="00E011EC"/>
    <w:rsid w:val="00E021FA"/>
    <w:rsid w:val="00E0271B"/>
    <w:rsid w:val="00E031CA"/>
    <w:rsid w:val="00E03D45"/>
    <w:rsid w:val="00E03FF4"/>
    <w:rsid w:val="00E040FB"/>
    <w:rsid w:val="00E04388"/>
    <w:rsid w:val="00E04478"/>
    <w:rsid w:val="00E04E53"/>
    <w:rsid w:val="00E04FFF"/>
    <w:rsid w:val="00E05F30"/>
    <w:rsid w:val="00E062A9"/>
    <w:rsid w:val="00E066F3"/>
    <w:rsid w:val="00E06EF9"/>
    <w:rsid w:val="00E06F73"/>
    <w:rsid w:val="00E07712"/>
    <w:rsid w:val="00E11468"/>
    <w:rsid w:val="00E11856"/>
    <w:rsid w:val="00E1193F"/>
    <w:rsid w:val="00E119DA"/>
    <w:rsid w:val="00E127FD"/>
    <w:rsid w:val="00E132AD"/>
    <w:rsid w:val="00E13406"/>
    <w:rsid w:val="00E1434D"/>
    <w:rsid w:val="00E14841"/>
    <w:rsid w:val="00E14A06"/>
    <w:rsid w:val="00E14DDD"/>
    <w:rsid w:val="00E15075"/>
    <w:rsid w:val="00E16911"/>
    <w:rsid w:val="00E16ABB"/>
    <w:rsid w:val="00E17018"/>
    <w:rsid w:val="00E171DC"/>
    <w:rsid w:val="00E20321"/>
    <w:rsid w:val="00E203E0"/>
    <w:rsid w:val="00E20624"/>
    <w:rsid w:val="00E206DC"/>
    <w:rsid w:val="00E20A48"/>
    <w:rsid w:val="00E20EF4"/>
    <w:rsid w:val="00E2274A"/>
    <w:rsid w:val="00E22B06"/>
    <w:rsid w:val="00E22E42"/>
    <w:rsid w:val="00E237D4"/>
    <w:rsid w:val="00E24FE0"/>
    <w:rsid w:val="00E2501B"/>
    <w:rsid w:val="00E25EEF"/>
    <w:rsid w:val="00E263A4"/>
    <w:rsid w:val="00E26427"/>
    <w:rsid w:val="00E26AE0"/>
    <w:rsid w:val="00E27A2A"/>
    <w:rsid w:val="00E27B76"/>
    <w:rsid w:val="00E27D8A"/>
    <w:rsid w:val="00E27F25"/>
    <w:rsid w:val="00E3010C"/>
    <w:rsid w:val="00E30A69"/>
    <w:rsid w:val="00E317E8"/>
    <w:rsid w:val="00E31D4F"/>
    <w:rsid w:val="00E32BED"/>
    <w:rsid w:val="00E340F4"/>
    <w:rsid w:val="00E34C10"/>
    <w:rsid w:val="00E35DFA"/>
    <w:rsid w:val="00E363A9"/>
    <w:rsid w:val="00E3668C"/>
    <w:rsid w:val="00E36BFE"/>
    <w:rsid w:val="00E37E54"/>
    <w:rsid w:val="00E4014D"/>
    <w:rsid w:val="00E40F2F"/>
    <w:rsid w:val="00E43606"/>
    <w:rsid w:val="00E43CC5"/>
    <w:rsid w:val="00E4442A"/>
    <w:rsid w:val="00E4442E"/>
    <w:rsid w:val="00E4444D"/>
    <w:rsid w:val="00E44F39"/>
    <w:rsid w:val="00E46267"/>
    <w:rsid w:val="00E47863"/>
    <w:rsid w:val="00E478B7"/>
    <w:rsid w:val="00E47B58"/>
    <w:rsid w:val="00E501B8"/>
    <w:rsid w:val="00E50819"/>
    <w:rsid w:val="00E515B5"/>
    <w:rsid w:val="00E5173C"/>
    <w:rsid w:val="00E52421"/>
    <w:rsid w:val="00E52C5F"/>
    <w:rsid w:val="00E5319E"/>
    <w:rsid w:val="00E53E33"/>
    <w:rsid w:val="00E551F1"/>
    <w:rsid w:val="00E55B91"/>
    <w:rsid w:val="00E55E1A"/>
    <w:rsid w:val="00E566F4"/>
    <w:rsid w:val="00E56EB3"/>
    <w:rsid w:val="00E5719D"/>
    <w:rsid w:val="00E57DF5"/>
    <w:rsid w:val="00E61064"/>
    <w:rsid w:val="00E61574"/>
    <w:rsid w:val="00E61776"/>
    <w:rsid w:val="00E624FE"/>
    <w:rsid w:val="00E63DEA"/>
    <w:rsid w:val="00E64519"/>
    <w:rsid w:val="00E64F8D"/>
    <w:rsid w:val="00E6517B"/>
    <w:rsid w:val="00E65B11"/>
    <w:rsid w:val="00E6625F"/>
    <w:rsid w:val="00E6663B"/>
    <w:rsid w:val="00E671B4"/>
    <w:rsid w:val="00E673C6"/>
    <w:rsid w:val="00E67612"/>
    <w:rsid w:val="00E7006F"/>
    <w:rsid w:val="00E701C1"/>
    <w:rsid w:val="00E70577"/>
    <w:rsid w:val="00E706CB"/>
    <w:rsid w:val="00E71067"/>
    <w:rsid w:val="00E711BA"/>
    <w:rsid w:val="00E724E2"/>
    <w:rsid w:val="00E73338"/>
    <w:rsid w:val="00E738C0"/>
    <w:rsid w:val="00E73AA2"/>
    <w:rsid w:val="00E73E18"/>
    <w:rsid w:val="00E74263"/>
    <w:rsid w:val="00E74367"/>
    <w:rsid w:val="00E747D2"/>
    <w:rsid w:val="00E74A2C"/>
    <w:rsid w:val="00E74AC7"/>
    <w:rsid w:val="00E75598"/>
    <w:rsid w:val="00E7671F"/>
    <w:rsid w:val="00E773D0"/>
    <w:rsid w:val="00E8126B"/>
    <w:rsid w:val="00E81471"/>
    <w:rsid w:val="00E81BB9"/>
    <w:rsid w:val="00E826EE"/>
    <w:rsid w:val="00E82CF1"/>
    <w:rsid w:val="00E83197"/>
    <w:rsid w:val="00E837B4"/>
    <w:rsid w:val="00E84015"/>
    <w:rsid w:val="00E84159"/>
    <w:rsid w:val="00E84471"/>
    <w:rsid w:val="00E8498C"/>
    <w:rsid w:val="00E8549A"/>
    <w:rsid w:val="00E860E4"/>
    <w:rsid w:val="00E86323"/>
    <w:rsid w:val="00E863ED"/>
    <w:rsid w:val="00E87C89"/>
    <w:rsid w:val="00E87FC6"/>
    <w:rsid w:val="00E87FDB"/>
    <w:rsid w:val="00E90BBE"/>
    <w:rsid w:val="00E91441"/>
    <w:rsid w:val="00E9167A"/>
    <w:rsid w:val="00E91A9F"/>
    <w:rsid w:val="00E923E0"/>
    <w:rsid w:val="00E92571"/>
    <w:rsid w:val="00E92ADE"/>
    <w:rsid w:val="00E93C74"/>
    <w:rsid w:val="00E93D43"/>
    <w:rsid w:val="00E93D5F"/>
    <w:rsid w:val="00E944EF"/>
    <w:rsid w:val="00E94516"/>
    <w:rsid w:val="00E9573B"/>
    <w:rsid w:val="00E95AEC"/>
    <w:rsid w:val="00E963F6"/>
    <w:rsid w:val="00E96800"/>
    <w:rsid w:val="00E96B47"/>
    <w:rsid w:val="00E96C4B"/>
    <w:rsid w:val="00E97063"/>
    <w:rsid w:val="00E97079"/>
    <w:rsid w:val="00E9756E"/>
    <w:rsid w:val="00E97C6E"/>
    <w:rsid w:val="00EA04CD"/>
    <w:rsid w:val="00EA04F1"/>
    <w:rsid w:val="00EA09E1"/>
    <w:rsid w:val="00EA0DBC"/>
    <w:rsid w:val="00EA20CD"/>
    <w:rsid w:val="00EA30BB"/>
    <w:rsid w:val="00EA34B0"/>
    <w:rsid w:val="00EA4250"/>
    <w:rsid w:val="00EA4C01"/>
    <w:rsid w:val="00EA530D"/>
    <w:rsid w:val="00EA5594"/>
    <w:rsid w:val="00EA56E6"/>
    <w:rsid w:val="00EA75F9"/>
    <w:rsid w:val="00EA7B0D"/>
    <w:rsid w:val="00EB00DF"/>
    <w:rsid w:val="00EB010E"/>
    <w:rsid w:val="00EB0BE5"/>
    <w:rsid w:val="00EB1045"/>
    <w:rsid w:val="00EB1291"/>
    <w:rsid w:val="00EB15BF"/>
    <w:rsid w:val="00EB1A24"/>
    <w:rsid w:val="00EB3216"/>
    <w:rsid w:val="00EB4023"/>
    <w:rsid w:val="00EB4201"/>
    <w:rsid w:val="00EB4B60"/>
    <w:rsid w:val="00EB4F57"/>
    <w:rsid w:val="00EB55C7"/>
    <w:rsid w:val="00EB5DC7"/>
    <w:rsid w:val="00EB6264"/>
    <w:rsid w:val="00EB6C06"/>
    <w:rsid w:val="00EB7A7C"/>
    <w:rsid w:val="00EB7FA3"/>
    <w:rsid w:val="00EC0528"/>
    <w:rsid w:val="00EC0912"/>
    <w:rsid w:val="00EC1213"/>
    <w:rsid w:val="00EC13B7"/>
    <w:rsid w:val="00EC144A"/>
    <w:rsid w:val="00EC1CC3"/>
    <w:rsid w:val="00EC1DC7"/>
    <w:rsid w:val="00EC2BAD"/>
    <w:rsid w:val="00EC2C72"/>
    <w:rsid w:val="00EC2FEF"/>
    <w:rsid w:val="00EC38D1"/>
    <w:rsid w:val="00EC3965"/>
    <w:rsid w:val="00EC40D4"/>
    <w:rsid w:val="00EC459C"/>
    <w:rsid w:val="00EC4ACD"/>
    <w:rsid w:val="00EC5D01"/>
    <w:rsid w:val="00EC6173"/>
    <w:rsid w:val="00EC6515"/>
    <w:rsid w:val="00EC658E"/>
    <w:rsid w:val="00EC7409"/>
    <w:rsid w:val="00EC7EB8"/>
    <w:rsid w:val="00EC7ED5"/>
    <w:rsid w:val="00ED1CCB"/>
    <w:rsid w:val="00ED2A17"/>
    <w:rsid w:val="00ED31F6"/>
    <w:rsid w:val="00ED33ED"/>
    <w:rsid w:val="00ED33F8"/>
    <w:rsid w:val="00ED37BD"/>
    <w:rsid w:val="00ED399A"/>
    <w:rsid w:val="00ED3BCD"/>
    <w:rsid w:val="00ED49E5"/>
    <w:rsid w:val="00ED4F34"/>
    <w:rsid w:val="00ED5852"/>
    <w:rsid w:val="00ED5D97"/>
    <w:rsid w:val="00ED6528"/>
    <w:rsid w:val="00ED6567"/>
    <w:rsid w:val="00ED68F8"/>
    <w:rsid w:val="00EE0BA8"/>
    <w:rsid w:val="00EE0D51"/>
    <w:rsid w:val="00EE12DF"/>
    <w:rsid w:val="00EE1DBA"/>
    <w:rsid w:val="00EE25C4"/>
    <w:rsid w:val="00EE319C"/>
    <w:rsid w:val="00EE3D9D"/>
    <w:rsid w:val="00EE400A"/>
    <w:rsid w:val="00EE6607"/>
    <w:rsid w:val="00EE66E0"/>
    <w:rsid w:val="00EE6A47"/>
    <w:rsid w:val="00EE760C"/>
    <w:rsid w:val="00EE78F2"/>
    <w:rsid w:val="00EE795F"/>
    <w:rsid w:val="00EE798C"/>
    <w:rsid w:val="00EF0B10"/>
    <w:rsid w:val="00EF1073"/>
    <w:rsid w:val="00EF199E"/>
    <w:rsid w:val="00EF2AF6"/>
    <w:rsid w:val="00EF3048"/>
    <w:rsid w:val="00EF3C1A"/>
    <w:rsid w:val="00EF3CB5"/>
    <w:rsid w:val="00EF413D"/>
    <w:rsid w:val="00EF41A2"/>
    <w:rsid w:val="00EF5416"/>
    <w:rsid w:val="00EF5451"/>
    <w:rsid w:val="00EF5A28"/>
    <w:rsid w:val="00EF5CC1"/>
    <w:rsid w:val="00EF5D91"/>
    <w:rsid w:val="00EF5FF0"/>
    <w:rsid w:val="00EF6AD9"/>
    <w:rsid w:val="00EF6C4A"/>
    <w:rsid w:val="00EF6C77"/>
    <w:rsid w:val="00EF7065"/>
    <w:rsid w:val="00EF709C"/>
    <w:rsid w:val="00F00165"/>
    <w:rsid w:val="00F001B6"/>
    <w:rsid w:val="00F00274"/>
    <w:rsid w:val="00F00441"/>
    <w:rsid w:val="00F009A3"/>
    <w:rsid w:val="00F00B6D"/>
    <w:rsid w:val="00F01A3B"/>
    <w:rsid w:val="00F01D00"/>
    <w:rsid w:val="00F0253B"/>
    <w:rsid w:val="00F0385E"/>
    <w:rsid w:val="00F039B5"/>
    <w:rsid w:val="00F03ADB"/>
    <w:rsid w:val="00F04072"/>
    <w:rsid w:val="00F04951"/>
    <w:rsid w:val="00F053CC"/>
    <w:rsid w:val="00F056A2"/>
    <w:rsid w:val="00F059B8"/>
    <w:rsid w:val="00F066A1"/>
    <w:rsid w:val="00F0670B"/>
    <w:rsid w:val="00F06EB6"/>
    <w:rsid w:val="00F07411"/>
    <w:rsid w:val="00F075E2"/>
    <w:rsid w:val="00F0774C"/>
    <w:rsid w:val="00F07FCA"/>
    <w:rsid w:val="00F10E02"/>
    <w:rsid w:val="00F11BE8"/>
    <w:rsid w:val="00F11BFC"/>
    <w:rsid w:val="00F12007"/>
    <w:rsid w:val="00F121CD"/>
    <w:rsid w:val="00F1293A"/>
    <w:rsid w:val="00F12975"/>
    <w:rsid w:val="00F130F6"/>
    <w:rsid w:val="00F1351C"/>
    <w:rsid w:val="00F14089"/>
    <w:rsid w:val="00F145FD"/>
    <w:rsid w:val="00F148CA"/>
    <w:rsid w:val="00F14DFF"/>
    <w:rsid w:val="00F154DD"/>
    <w:rsid w:val="00F154F1"/>
    <w:rsid w:val="00F15740"/>
    <w:rsid w:val="00F1579C"/>
    <w:rsid w:val="00F163FA"/>
    <w:rsid w:val="00F16E57"/>
    <w:rsid w:val="00F16F6C"/>
    <w:rsid w:val="00F172E3"/>
    <w:rsid w:val="00F200E9"/>
    <w:rsid w:val="00F20830"/>
    <w:rsid w:val="00F20834"/>
    <w:rsid w:val="00F20B1C"/>
    <w:rsid w:val="00F21E6D"/>
    <w:rsid w:val="00F23261"/>
    <w:rsid w:val="00F23618"/>
    <w:rsid w:val="00F2368A"/>
    <w:rsid w:val="00F2372E"/>
    <w:rsid w:val="00F24676"/>
    <w:rsid w:val="00F2489C"/>
    <w:rsid w:val="00F24A20"/>
    <w:rsid w:val="00F25038"/>
    <w:rsid w:val="00F251F0"/>
    <w:rsid w:val="00F25222"/>
    <w:rsid w:val="00F2620F"/>
    <w:rsid w:val="00F26458"/>
    <w:rsid w:val="00F26508"/>
    <w:rsid w:val="00F265AB"/>
    <w:rsid w:val="00F26923"/>
    <w:rsid w:val="00F26E3C"/>
    <w:rsid w:val="00F275DC"/>
    <w:rsid w:val="00F27952"/>
    <w:rsid w:val="00F27CFB"/>
    <w:rsid w:val="00F27ED2"/>
    <w:rsid w:val="00F305E5"/>
    <w:rsid w:val="00F31F3C"/>
    <w:rsid w:val="00F3363B"/>
    <w:rsid w:val="00F33664"/>
    <w:rsid w:val="00F35B8A"/>
    <w:rsid w:val="00F36F5B"/>
    <w:rsid w:val="00F37906"/>
    <w:rsid w:val="00F37A6E"/>
    <w:rsid w:val="00F41150"/>
    <w:rsid w:val="00F41153"/>
    <w:rsid w:val="00F415B6"/>
    <w:rsid w:val="00F415C8"/>
    <w:rsid w:val="00F41E6C"/>
    <w:rsid w:val="00F43A5D"/>
    <w:rsid w:val="00F44F3A"/>
    <w:rsid w:val="00F44F5C"/>
    <w:rsid w:val="00F45880"/>
    <w:rsid w:val="00F46060"/>
    <w:rsid w:val="00F462A6"/>
    <w:rsid w:val="00F46F68"/>
    <w:rsid w:val="00F47112"/>
    <w:rsid w:val="00F473F5"/>
    <w:rsid w:val="00F508D9"/>
    <w:rsid w:val="00F51268"/>
    <w:rsid w:val="00F5148E"/>
    <w:rsid w:val="00F515D7"/>
    <w:rsid w:val="00F5196A"/>
    <w:rsid w:val="00F5208B"/>
    <w:rsid w:val="00F523B5"/>
    <w:rsid w:val="00F52C10"/>
    <w:rsid w:val="00F53000"/>
    <w:rsid w:val="00F5322B"/>
    <w:rsid w:val="00F535FA"/>
    <w:rsid w:val="00F537C1"/>
    <w:rsid w:val="00F539BD"/>
    <w:rsid w:val="00F53CAD"/>
    <w:rsid w:val="00F53D36"/>
    <w:rsid w:val="00F53F18"/>
    <w:rsid w:val="00F54A31"/>
    <w:rsid w:val="00F54DDD"/>
    <w:rsid w:val="00F54F3E"/>
    <w:rsid w:val="00F55B57"/>
    <w:rsid w:val="00F55E1C"/>
    <w:rsid w:val="00F55F62"/>
    <w:rsid w:val="00F56362"/>
    <w:rsid w:val="00F56AF5"/>
    <w:rsid w:val="00F56C35"/>
    <w:rsid w:val="00F57342"/>
    <w:rsid w:val="00F57596"/>
    <w:rsid w:val="00F600D0"/>
    <w:rsid w:val="00F6082B"/>
    <w:rsid w:val="00F60E55"/>
    <w:rsid w:val="00F61AFC"/>
    <w:rsid w:val="00F62A04"/>
    <w:rsid w:val="00F630F8"/>
    <w:rsid w:val="00F63412"/>
    <w:rsid w:val="00F635A0"/>
    <w:rsid w:val="00F63D93"/>
    <w:rsid w:val="00F63ED4"/>
    <w:rsid w:val="00F647AD"/>
    <w:rsid w:val="00F6518E"/>
    <w:rsid w:val="00F65D3A"/>
    <w:rsid w:val="00F6605B"/>
    <w:rsid w:val="00F661C2"/>
    <w:rsid w:val="00F66566"/>
    <w:rsid w:val="00F6673F"/>
    <w:rsid w:val="00F66CE7"/>
    <w:rsid w:val="00F66E06"/>
    <w:rsid w:val="00F70078"/>
    <w:rsid w:val="00F7023F"/>
    <w:rsid w:val="00F70874"/>
    <w:rsid w:val="00F7137A"/>
    <w:rsid w:val="00F71664"/>
    <w:rsid w:val="00F71852"/>
    <w:rsid w:val="00F71B08"/>
    <w:rsid w:val="00F71C85"/>
    <w:rsid w:val="00F72E26"/>
    <w:rsid w:val="00F731BB"/>
    <w:rsid w:val="00F733A7"/>
    <w:rsid w:val="00F73662"/>
    <w:rsid w:val="00F74104"/>
    <w:rsid w:val="00F74373"/>
    <w:rsid w:val="00F74EC5"/>
    <w:rsid w:val="00F74EFF"/>
    <w:rsid w:val="00F751AC"/>
    <w:rsid w:val="00F752BF"/>
    <w:rsid w:val="00F77B70"/>
    <w:rsid w:val="00F80E4A"/>
    <w:rsid w:val="00F80EF3"/>
    <w:rsid w:val="00F810A2"/>
    <w:rsid w:val="00F8125A"/>
    <w:rsid w:val="00F8156C"/>
    <w:rsid w:val="00F81DDC"/>
    <w:rsid w:val="00F826F0"/>
    <w:rsid w:val="00F82D23"/>
    <w:rsid w:val="00F83304"/>
    <w:rsid w:val="00F836FF"/>
    <w:rsid w:val="00F83E27"/>
    <w:rsid w:val="00F848DE"/>
    <w:rsid w:val="00F8490B"/>
    <w:rsid w:val="00F850BD"/>
    <w:rsid w:val="00F855B8"/>
    <w:rsid w:val="00F85CF7"/>
    <w:rsid w:val="00F87593"/>
    <w:rsid w:val="00F87A24"/>
    <w:rsid w:val="00F87BE1"/>
    <w:rsid w:val="00F87E2C"/>
    <w:rsid w:val="00F87F60"/>
    <w:rsid w:val="00F9006C"/>
    <w:rsid w:val="00F90C10"/>
    <w:rsid w:val="00F90DFD"/>
    <w:rsid w:val="00F91002"/>
    <w:rsid w:val="00F9113A"/>
    <w:rsid w:val="00F912BC"/>
    <w:rsid w:val="00F91408"/>
    <w:rsid w:val="00F91D0B"/>
    <w:rsid w:val="00F91F13"/>
    <w:rsid w:val="00F92275"/>
    <w:rsid w:val="00F92AF7"/>
    <w:rsid w:val="00F92F23"/>
    <w:rsid w:val="00F93232"/>
    <w:rsid w:val="00F937FB"/>
    <w:rsid w:val="00F93B72"/>
    <w:rsid w:val="00F94265"/>
    <w:rsid w:val="00F94345"/>
    <w:rsid w:val="00F94807"/>
    <w:rsid w:val="00F94873"/>
    <w:rsid w:val="00F94AB1"/>
    <w:rsid w:val="00F94F8B"/>
    <w:rsid w:val="00F9576A"/>
    <w:rsid w:val="00F9691B"/>
    <w:rsid w:val="00F96AF4"/>
    <w:rsid w:val="00F970F2"/>
    <w:rsid w:val="00F972A8"/>
    <w:rsid w:val="00F97648"/>
    <w:rsid w:val="00F97ADE"/>
    <w:rsid w:val="00F97DD6"/>
    <w:rsid w:val="00FA0600"/>
    <w:rsid w:val="00FA0D4E"/>
    <w:rsid w:val="00FA11FB"/>
    <w:rsid w:val="00FA13A1"/>
    <w:rsid w:val="00FA1798"/>
    <w:rsid w:val="00FA1D28"/>
    <w:rsid w:val="00FA228B"/>
    <w:rsid w:val="00FA2911"/>
    <w:rsid w:val="00FA2E49"/>
    <w:rsid w:val="00FA3ABA"/>
    <w:rsid w:val="00FA4B72"/>
    <w:rsid w:val="00FA51AC"/>
    <w:rsid w:val="00FA5260"/>
    <w:rsid w:val="00FA55DE"/>
    <w:rsid w:val="00FA5655"/>
    <w:rsid w:val="00FA60BE"/>
    <w:rsid w:val="00FA645C"/>
    <w:rsid w:val="00FA6659"/>
    <w:rsid w:val="00FA6D0D"/>
    <w:rsid w:val="00FA6E57"/>
    <w:rsid w:val="00FB1117"/>
    <w:rsid w:val="00FB1285"/>
    <w:rsid w:val="00FB13AE"/>
    <w:rsid w:val="00FB2234"/>
    <w:rsid w:val="00FB2985"/>
    <w:rsid w:val="00FB3A18"/>
    <w:rsid w:val="00FB3ADD"/>
    <w:rsid w:val="00FB40A3"/>
    <w:rsid w:val="00FB40D9"/>
    <w:rsid w:val="00FB49E7"/>
    <w:rsid w:val="00FB59FB"/>
    <w:rsid w:val="00FB6D06"/>
    <w:rsid w:val="00FB6D32"/>
    <w:rsid w:val="00FB749D"/>
    <w:rsid w:val="00FC0050"/>
    <w:rsid w:val="00FC006D"/>
    <w:rsid w:val="00FC00D0"/>
    <w:rsid w:val="00FC1044"/>
    <w:rsid w:val="00FC10E6"/>
    <w:rsid w:val="00FC115D"/>
    <w:rsid w:val="00FC1330"/>
    <w:rsid w:val="00FC1462"/>
    <w:rsid w:val="00FC1E24"/>
    <w:rsid w:val="00FC20E4"/>
    <w:rsid w:val="00FC219F"/>
    <w:rsid w:val="00FC2678"/>
    <w:rsid w:val="00FC393B"/>
    <w:rsid w:val="00FC3B9D"/>
    <w:rsid w:val="00FC4640"/>
    <w:rsid w:val="00FC47AD"/>
    <w:rsid w:val="00FC5898"/>
    <w:rsid w:val="00FC5B87"/>
    <w:rsid w:val="00FC619B"/>
    <w:rsid w:val="00FC61D1"/>
    <w:rsid w:val="00FC6518"/>
    <w:rsid w:val="00FC65D4"/>
    <w:rsid w:val="00FC6CA1"/>
    <w:rsid w:val="00FC7634"/>
    <w:rsid w:val="00FC7966"/>
    <w:rsid w:val="00FD0595"/>
    <w:rsid w:val="00FD05CF"/>
    <w:rsid w:val="00FD0664"/>
    <w:rsid w:val="00FD0BF6"/>
    <w:rsid w:val="00FD14DC"/>
    <w:rsid w:val="00FD1C29"/>
    <w:rsid w:val="00FD2604"/>
    <w:rsid w:val="00FD26EA"/>
    <w:rsid w:val="00FD27C8"/>
    <w:rsid w:val="00FD438C"/>
    <w:rsid w:val="00FD4819"/>
    <w:rsid w:val="00FD4AAC"/>
    <w:rsid w:val="00FD514B"/>
    <w:rsid w:val="00FD5240"/>
    <w:rsid w:val="00FD5C8A"/>
    <w:rsid w:val="00FD5E85"/>
    <w:rsid w:val="00FD7B6F"/>
    <w:rsid w:val="00FE043C"/>
    <w:rsid w:val="00FE0540"/>
    <w:rsid w:val="00FE1053"/>
    <w:rsid w:val="00FE1385"/>
    <w:rsid w:val="00FE3D1A"/>
    <w:rsid w:val="00FE3F0F"/>
    <w:rsid w:val="00FE477C"/>
    <w:rsid w:val="00FE4C52"/>
    <w:rsid w:val="00FE626A"/>
    <w:rsid w:val="00FE6EFE"/>
    <w:rsid w:val="00FE77FF"/>
    <w:rsid w:val="00FF0D57"/>
    <w:rsid w:val="00FF1C9C"/>
    <w:rsid w:val="00FF1FBA"/>
    <w:rsid w:val="00FF2575"/>
    <w:rsid w:val="00FF3976"/>
    <w:rsid w:val="00FF3A5A"/>
    <w:rsid w:val="00FF40D8"/>
    <w:rsid w:val="00FF446B"/>
    <w:rsid w:val="00FF4AF8"/>
    <w:rsid w:val="00FF4C72"/>
    <w:rsid w:val="00FF5165"/>
    <w:rsid w:val="00FF56CC"/>
    <w:rsid w:val="00FF5BDB"/>
    <w:rsid w:val="00FF5CAE"/>
    <w:rsid w:val="00FF6527"/>
    <w:rsid w:val="00FF70EB"/>
    <w:rsid w:val="00FF7CC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67"/>
        <o:r id="V:Rule2" type="connector" idref="#AutoShape 95"/>
        <o:r id="V:Rule3" type="connector" idref="#AutoShape 118"/>
        <o:r id="V:Rule4" type="connector" idref="#AutoShape 76"/>
        <o:r id="V:Rule5" type="connector" idref="#AutoShape 54"/>
        <o:r id="V:Rule6" type="connector" idref="#AutoShape 117"/>
        <o:r id="V:Rule7" type="connector" idref="#AutoShape 57"/>
        <o:r id="V:Rule8" type="connector" idref="#AutoShape 14"/>
        <o:r id="V:Rule9" type="connector" idref="#AutoShape 77"/>
        <o:r id="V:Rule10" type="connector" idref="#AutoShape 82"/>
        <o:r id="V:Rule11" type="connector" idref="#AutoShape 81"/>
        <o:r id="V:Rule12" type="connector" idref="#AutoShape 94"/>
        <o:r id="V:Rule13" type="connector" idref="#AutoShape 13"/>
        <o:r id="V:Rule14" type="connector" idref="#AutoShape 56"/>
        <o:r id="V:Rule15" type="connector" idref="#AutoShape 51"/>
        <o:r id="V:Rule16" type="connector" idref="#AutoShape 53"/>
        <o:r id="V:Rule17" type="connector" idref="#AutoShape 50"/>
        <o:r id="V:Rule18" type="connector" idref="#AutoShape 66"/>
      </o:rules>
    </o:shapelayout>
  </w:shapeDefaults>
  <w:decimalSymbol w:val=","/>
  <w:listSeparator w:val=";"/>
  <w15:docId w15:val="{E157A4F3-DADC-49B8-ACB6-A4FE1894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E76"/>
    <w:pPr>
      <w:spacing w:line="360" w:lineRule="auto"/>
      <w:jc w:val="both"/>
    </w:pPr>
    <w:rPr>
      <w:rFonts w:ascii="Calibri" w:eastAsia="Calibri" w:hAnsi="Calibri"/>
      <w:sz w:val="22"/>
      <w:szCs w:val="22"/>
      <w:lang w:eastAsia="en-US"/>
    </w:rPr>
  </w:style>
  <w:style w:type="paragraph" w:styleId="Titre1">
    <w:name w:val="heading 1"/>
    <w:basedOn w:val="Normal"/>
    <w:next w:val="Normal"/>
    <w:link w:val="Titre1Car"/>
    <w:qFormat/>
    <w:rsid w:val="007C1BD3"/>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7C1BD3"/>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974B80"/>
    <w:pPr>
      <w:keepNext/>
      <w:keepLines/>
      <w:spacing w:before="200" w:line="276" w:lineRule="auto"/>
      <w:jc w:val="left"/>
      <w:outlineLvl w:val="2"/>
    </w:pPr>
    <w:rPr>
      <w:rFonts w:ascii="Cambria" w:eastAsia="Times New Roman" w:hAnsi="Cambria"/>
      <w:b/>
      <w:bCs/>
      <w:color w:val="4F81BD"/>
    </w:rPr>
  </w:style>
  <w:style w:type="paragraph" w:styleId="Titre5">
    <w:name w:val="heading 5"/>
    <w:basedOn w:val="Normal"/>
    <w:next w:val="Normal"/>
    <w:link w:val="Titre5Car"/>
    <w:unhideWhenUsed/>
    <w:qFormat/>
    <w:rsid w:val="00720790"/>
    <w:pPr>
      <w:keepNext/>
      <w:keepLines/>
      <w:spacing w:before="200"/>
      <w:outlineLvl w:val="4"/>
    </w:pPr>
    <w:rPr>
      <w:rFonts w:ascii="Cambria" w:eastAsia="Times New Roman" w:hAnsi="Cambria"/>
      <w:color w:val="243F60"/>
    </w:rPr>
  </w:style>
  <w:style w:type="paragraph" w:styleId="Titre7">
    <w:name w:val="heading 7"/>
    <w:basedOn w:val="Normal"/>
    <w:next w:val="Normal"/>
    <w:link w:val="Titre7Car"/>
    <w:uiPriority w:val="99"/>
    <w:qFormat/>
    <w:rsid w:val="003740B0"/>
    <w:pPr>
      <w:keepNext/>
      <w:spacing w:line="240" w:lineRule="auto"/>
      <w:jc w:val="center"/>
      <w:outlineLvl w:val="6"/>
    </w:pPr>
    <w:rPr>
      <w:rFonts w:ascii="Times New Roman" w:eastAsia="Times New Roman" w:hAnsi="Times New Roman"/>
      <w:sz w:val="4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C1BD3"/>
    <w:rPr>
      <w:rFonts w:ascii="Arial" w:hAnsi="Arial" w:cs="Arial"/>
      <w:b/>
      <w:bCs/>
      <w:kern w:val="32"/>
      <w:sz w:val="32"/>
      <w:szCs w:val="32"/>
    </w:rPr>
  </w:style>
  <w:style w:type="character" w:customStyle="1" w:styleId="Titre2Car">
    <w:name w:val="Titre 2 Car"/>
    <w:basedOn w:val="Policepardfaut"/>
    <w:link w:val="Titre2"/>
    <w:rsid w:val="007C1BD3"/>
    <w:rPr>
      <w:rFonts w:ascii="Arial" w:hAnsi="Arial" w:cs="Arial"/>
      <w:b/>
      <w:bCs/>
      <w:i/>
      <w:iCs/>
      <w:sz w:val="28"/>
      <w:szCs w:val="28"/>
    </w:rPr>
  </w:style>
  <w:style w:type="character" w:customStyle="1" w:styleId="Titre7Car">
    <w:name w:val="Titre 7 Car"/>
    <w:basedOn w:val="Policepardfaut"/>
    <w:link w:val="Titre7"/>
    <w:uiPriority w:val="99"/>
    <w:rsid w:val="003740B0"/>
    <w:rPr>
      <w:sz w:val="40"/>
      <w:szCs w:val="24"/>
    </w:rPr>
  </w:style>
  <w:style w:type="paragraph" w:styleId="Paragraphedeliste">
    <w:name w:val="List Paragraph"/>
    <w:aliases w:val="Bullets"/>
    <w:basedOn w:val="Normal"/>
    <w:link w:val="ParagraphedelisteCar"/>
    <w:uiPriority w:val="99"/>
    <w:qFormat/>
    <w:rsid w:val="005A2E76"/>
    <w:pPr>
      <w:ind w:left="720"/>
      <w:contextualSpacing/>
    </w:p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fn,footnote text,ALTS FOOTNOTE"/>
    <w:basedOn w:val="Normal"/>
    <w:link w:val="NotedebasdepageCar"/>
    <w:uiPriority w:val="99"/>
    <w:unhideWhenUsed/>
    <w:rsid w:val="0077169B"/>
    <w:pPr>
      <w:spacing w:line="240" w:lineRule="auto"/>
      <w:jc w:val="left"/>
    </w:pPr>
    <w:rPr>
      <w:rFonts w:eastAsia="Times New Roman"/>
      <w:sz w:val="20"/>
      <w:szCs w:val="20"/>
      <w:lang w:eastAsia="fr-FR"/>
    </w:rPr>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fn Car"/>
    <w:basedOn w:val="Policepardfaut"/>
    <w:link w:val="Notedebasdepage"/>
    <w:uiPriority w:val="99"/>
    <w:rsid w:val="0077169B"/>
    <w:rPr>
      <w:rFonts w:ascii="Calibri" w:eastAsia="Times New Roman" w:hAnsi="Calibri" w:cs="Times New Roman"/>
    </w:rPr>
  </w:style>
  <w:style w:type="character" w:styleId="Appelnotedebasdep">
    <w:name w:val="footnote reference"/>
    <w:aliases w:val="ftref,note bp,Footnotes refss,Footnote Reference1,16 Point,Superscript 6 Point,List Bullet Char1,Footnote Reference Char,List Bullet Char...,List Bullet Char Char,Car Car Char Car Char Car Car Char Char,BVI fnr, BVI fnr"/>
    <w:basedOn w:val="Policepardfaut"/>
    <w:unhideWhenUsed/>
    <w:rsid w:val="0077169B"/>
    <w:rPr>
      <w:vertAlign w:val="superscript"/>
    </w:rPr>
  </w:style>
  <w:style w:type="table" w:styleId="Grilledutableau">
    <w:name w:val="Table Grid"/>
    <w:basedOn w:val="TableauNormal"/>
    <w:uiPriority w:val="59"/>
    <w:rsid w:val="003740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3740B0"/>
    <w:pPr>
      <w:tabs>
        <w:tab w:val="center" w:pos="4536"/>
        <w:tab w:val="right" w:pos="9072"/>
      </w:tabs>
      <w:spacing w:line="240" w:lineRule="auto"/>
    </w:pPr>
  </w:style>
  <w:style w:type="character" w:customStyle="1" w:styleId="En-tteCar">
    <w:name w:val="En-tête Car"/>
    <w:basedOn w:val="Policepardfaut"/>
    <w:link w:val="En-tte"/>
    <w:uiPriority w:val="99"/>
    <w:rsid w:val="003740B0"/>
    <w:rPr>
      <w:rFonts w:ascii="Calibri" w:eastAsia="Calibri" w:hAnsi="Calibri"/>
      <w:sz w:val="22"/>
      <w:szCs w:val="22"/>
      <w:lang w:eastAsia="en-US"/>
    </w:rPr>
  </w:style>
  <w:style w:type="paragraph" w:styleId="Pieddepage">
    <w:name w:val="footer"/>
    <w:basedOn w:val="Normal"/>
    <w:link w:val="PieddepageCar"/>
    <w:uiPriority w:val="99"/>
    <w:unhideWhenUsed/>
    <w:rsid w:val="003740B0"/>
    <w:pPr>
      <w:tabs>
        <w:tab w:val="center" w:pos="4536"/>
        <w:tab w:val="right" w:pos="9072"/>
      </w:tabs>
      <w:spacing w:line="240" w:lineRule="auto"/>
    </w:pPr>
  </w:style>
  <w:style w:type="character" w:customStyle="1" w:styleId="PieddepageCar">
    <w:name w:val="Pied de page Car"/>
    <w:basedOn w:val="Policepardfaut"/>
    <w:link w:val="Pieddepage"/>
    <w:uiPriority w:val="99"/>
    <w:rsid w:val="003740B0"/>
    <w:rPr>
      <w:rFonts w:ascii="Calibri" w:eastAsia="Calibri" w:hAnsi="Calibri"/>
      <w:sz w:val="22"/>
      <w:szCs w:val="22"/>
      <w:lang w:eastAsia="en-US"/>
    </w:rPr>
  </w:style>
  <w:style w:type="paragraph" w:styleId="Commentaire">
    <w:name w:val="annotation text"/>
    <w:basedOn w:val="Normal"/>
    <w:link w:val="CommentaireCar"/>
    <w:uiPriority w:val="99"/>
    <w:semiHidden/>
    <w:unhideWhenUsed/>
    <w:rsid w:val="003740B0"/>
    <w:pPr>
      <w:spacing w:line="240" w:lineRule="auto"/>
    </w:pPr>
    <w:rPr>
      <w:sz w:val="20"/>
      <w:szCs w:val="20"/>
    </w:rPr>
  </w:style>
  <w:style w:type="character" w:customStyle="1" w:styleId="CommentaireCar">
    <w:name w:val="Commentaire Car"/>
    <w:basedOn w:val="Policepardfaut"/>
    <w:link w:val="Commentaire"/>
    <w:uiPriority w:val="99"/>
    <w:semiHidden/>
    <w:rsid w:val="003740B0"/>
    <w:rPr>
      <w:rFonts w:ascii="Calibri" w:eastAsia="Calibri" w:hAnsi="Calibri"/>
      <w:lang w:eastAsia="en-US"/>
    </w:rPr>
  </w:style>
  <w:style w:type="paragraph" w:styleId="Objetducommentaire">
    <w:name w:val="annotation subject"/>
    <w:basedOn w:val="Commentaire"/>
    <w:next w:val="Commentaire"/>
    <w:link w:val="ObjetducommentaireCar"/>
    <w:uiPriority w:val="99"/>
    <w:unhideWhenUsed/>
    <w:rsid w:val="003740B0"/>
    <w:pPr>
      <w:spacing w:after="200"/>
      <w:jc w:val="left"/>
    </w:pPr>
    <w:rPr>
      <w:b/>
      <w:bCs/>
    </w:rPr>
  </w:style>
  <w:style w:type="character" w:customStyle="1" w:styleId="ObjetducommentaireCar">
    <w:name w:val="Objet du commentaire Car"/>
    <w:basedOn w:val="CommentaireCar"/>
    <w:link w:val="Objetducommentaire"/>
    <w:uiPriority w:val="99"/>
    <w:rsid w:val="003740B0"/>
    <w:rPr>
      <w:rFonts w:ascii="Calibri" w:eastAsia="Calibri" w:hAnsi="Calibri"/>
      <w:b/>
      <w:bCs/>
      <w:lang w:eastAsia="en-US"/>
    </w:rPr>
  </w:style>
  <w:style w:type="character" w:styleId="Lienhypertexte">
    <w:name w:val="Hyperlink"/>
    <w:basedOn w:val="Policepardfaut"/>
    <w:uiPriority w:val="99"/>
    <w:rsid w:val="003740B0"/>
    <w:rPr>
      <w:color w:val="0000FF"/>
      <w:u w:val="single"/>
    </w:rPr>
  </w:style>
  <w:style w:type="paragraph" w:styleId="Textedebulles">
    <w:name w:val="Balloon Text"/>
    <w:basedOn w:val="Normal"/>
    <w:link w:val="TextedebullesCar"/>
    <w:uiPriority w:val="99"/>
    <w:semiHidden/>
    <w:unhideWhenUsed/>
    <w:rsid w:val="003740B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40B0"/>
    <w:rPr>
      <w:rFonts w:ascii="Tahoma" w:eastAsia="Calibri" w:hAnsi="Tahoma" w:cs="Tahoma"/>
      <w:sz w:val="16"/>
      <w:szCs w:val="16"/>
      <w:lang w:eastAsia="en-US"/>
    </w:rPr>
  </w:style>
  <w:style w:type="character" w:customStyle="1" w:styleId="Titre3Car">
    <w:name w:val="Titre 3 Car"/>
    <w:basedOn w:val="Policepardfaut"/>
    <w:link w:val="Titre3"/>
    <w:uiPriority w:val="9"/>
    <w:rsid w:val="00974B80"/>
    <w:rPr>
      <w:rFonts w:ascii="Cambria" w:hAnsi="Cambria"/>
      <w:b/>
      <w:bCs/>
      <w:color w:val="4F81BD"/>
      <w:sz w:val="22"/>
      <w:szCs w:val="22"/>
      <w:lang w:eastAsia="en-US"/>
    </w:rPr>
  </w:style>
  <w:style w:type="paragraph" w:customStyle="1" w:styleId="Sub-Para2underXY">
    <w:name w:val="Sub-Para 2 under X.Y"/>
    <w:basedOn w:val="Normal"/>
    <w:uiPriority w:val="99"/>
    <w:rsid w:val="00974B80"/>
    <w:pPr>
      <w:spacing w:after="240" w:line="240" w:lineRule="auto"/>
      <w:jc w:val="left"/>
      <w:outlineLvl w:val="3"/>
    </w:pPr>
    <w:rPr>
      <w:rFonts w:ascii="Times New Roman" w:eastAsia="Times New Roman" w:hAnsi="Times New Roman"/>
      <w:sz w:val="24"/>
      <w:szCs w:val="24"/>
      <w:lang w:val="en-US"/>
    </w:rPr>
  </w:style>
  <w:style w:type="paragraph" w:styleId="Lgende">
    <w:name w:val="caption"/>
    <w:aliases w:val="LVT Table Heading,Légende1,Légende21,Légende111,Car111,Car Car Car Car Car Car Car Car Car111,Car Car Car Car Car111,Car Car Car Car111,Car Car Car Car Car Car Car Car211,Car Car Car Car Car Car Car Car Car Car Car Car Car Car Car11,Table"/>
    <w:basedOn w:val="Normal"/>
    <w:next w:val="Normal"/>
    <w:link w:val="LgendeCar"/>
    <w:autoRedefine/>
    <w:uiPriority w:val="35"/>
    <w:qFormat/>
    <w:rsid w:val="00D60CFD"/>
    <w:pPr>
      <w:keepNext/>
      <w:framePr w:hSpace="141" w:wrap="around" w:vAnchor="text" w:hAnchor="margin" w:xAlign="center" w:y="228"/>
      <w:spacing w:line="240" w:lineRule="auto"/>
      <w:jc w:val="left"/>
    </w:pPr>
    <w:rPr>
      <w:rFonts w:ascii="Times New Roman" w:eastAsia="Times New Roman" w:hAnsi="Times New Roman"/>
      <w:bCs/>
      <w:sz w:val="24"/>
      <w:szCs w:val="24"/>
    </w:rPr>
  </w:style>
  <w:style w:type="character" w:customStyle="1" w:styleId="LgendeCar">
    <w:name w:val="Légende Car"/>
    <w:aliases w:val="LVT Table Heading Car,Légende1 Car,Légende21 Car,Légende111 Car,Car111 Car,Car Car Car Car Car Car Car Car Car111 Car,Car Car Car Car Car111 Car,Car Car Car Car111 Car,Car Car Car Car Car Car Car Car211 Car,Table Car"/>
    <w:basedOn w:val="Policepardfaut"/>
    <w:link w:val="Lgende"/>
    <w:uiPriority w:val="35"/>
    <w:rsid w:val="00D60CFD"/>
    <w:rPr>
      <w:bCs/>
      <w:sz w:val="24"/>
      <w:szCs w:val="24"/>
      <w:lang w:eastAsia="en-US"/>
    </w:rPr>
  </w:style>
  <w:style w:type="paragraph" w:customStyle="1" w:styleId="T">
    <w:name w:val="T"/>
    <w:basedOn w:val="Normal"/>
    <w:link w:val="TCar"/>
    <w:rsid w:val="00974B80"/>
    <w:pPr>
      <w:tabs>
        <w:tab w:val="left" w:pos="1800"/>
      </w:tabs>
      <w:spacing w:line="300" w:lineRule="auto"/>
      <w:jc w:val="left"/>
    </w:pPr>
    <w:rPr>
      <w:rFonts w:ascii="Trebuchet MS" w:eastAsia="Times New Roman" w:hAnsi="Trebuchet MS" w:cs="Trebuchet MS"/>
      <w:b/>
      <w:bCs/>
      <w:color w:val="000000"/>
      <w:sz w:val="24"/>
      <w:szCs w:val="24"/>
      <w:lang w:eastAsia="fr-FR"/>
    </w:rPr>
  </w:style>
  <w:style w:type="character" w:customStyle="1" w:styleId="TCar">
    <w:name w:val="T Car"/>
    <w:basedOn w:val="Policepardfaut"/>
    <w:link w:val="T"/>
    <w:locked/>
    <w:rsid w:val="00974B80"/>
    <w:rPr>
      <w:rFonts w:ascii="Trebuchet MS" w:hAnsi="Trebuchet MS" w:cs="Trebuchet MS"/>
      <w:b/>
      <w:bCs/>
      <w:color w:val="000000"/>
      <w:sz w:val="24"/>
      <w:szCs w:val="24"/>
    </w:rPr>
  </w:style>
  <w:style w:type="table" w:customStyle="1" w:styleId="Trameclaire-Accent11">
    <w:name w:val="Trame claire - Accent 11"/>
    <w:basedOn w:val="TableauNormal"/>
    <w:uiPriority w:val="60"/>
    <w:rsid w:val="00974B80"/>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ainParawithChapter">
    <w:name w:val="Main Para with Chapter#"/>
    <w:basedOn w:val="Normal"/>
    <w:link w:val="MainParawithChapterCharChar"/>
    <w:rsid w:val="00974B80"/>
    <w:pPr>
      <w:spacing w:before="240" w:after="240" w:line="240" w:lineRule="auto"/>
      <w:outlineLvl w:val="1"/>
    </w:pPr>
    <w:rPr>
      <w:rFonts w:ascii="Times New Roman" w:eastAsia="Times New Roman" w:hAnsi="Times New Roman"/>
      <w:szCs w:val="24"/>
      <w:lang w:val="en-US"/>
    </w:rPr>
  </w:style>
  <w:style w:type="character" w:customStyle="1" w:styleId="MainParawithChapterCharChar">
    <w:name w:val="Main Para with Chapter# Char Char"/>
    <w:basedOn w:val="Policepardfaut"/>
    <w:link w:val="MainParawithChapter"/>
    <w:rsid w:val="00974B80"/>
    <w:rPr>
      <w:sz w:val="22"/>
      <w:szCs w:val="24"/>
      <w:lang w:val="en-US" w:eastAsia="en-US"/>
    </w:rPr>
  </w:style>
  <w:style w:type="table" w:styleId="Trameclaire-Accent4">
    <w:name w:val="Light Shading Accent 4"/>
    <w:basedOn w:val="TableauNormal"/>
    <w:uiPriority w:val="60"/>
    <w:rsid w:val="00974B8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TM2">
    <w:name w:val="toc 2"/>
    <w:basedOn w:val="Normal"/>
    <w:next w:val="Normal"/>
    <w:autoRedefine/>
    <w:uiPriority w:val="39"/>
    <w:unhideWhenUsed/>
    <w:qFormat/>
    <w:rsid w:val="00974B80"/>
    <w:pPr>
      <w:spacing w:before="120"/>
      <w:ind w:left="220"/>
      <w:jc w:val="left"/>
    </w:pPr>
    <w:rPr>
      <w:rFonts w:cs="Calibri"/>
      <w:b/>
      <w:bCs/>
    </w:rPr>
  </w:style>
  <w:style w:type="character" w:styleId="Rfrenceintense">
    <w:name w:val="Intense Reference"/>
    <w:basedOn w:val="Policepardfaut"/>
    <w:uiPriority w:val="32"/>
    <w:qFormat/>
    <w:rsid w:val="00974B80"/>
    <w:rPr>
      <w:b/>
      <w:bCs/>
      <w:smallCaps/>
      <w:color w:val="C0504D"/>
      <w:spacing w:val="5"/>
      <w:u w:val="single"/>
    </w:rPr>
  </w:style>
  <w:style w:type="paragraph" w:styleId="TM1">
    <w:name w:val="toc 1"/>
    <w:basedOn w:val="Normal"/>
    <w:next w:val="Normal"/>
    <w:autoRedefine/>
    <w:uiPriority w:val="39"/>
    <w:unhideWhenUsed/>
    <w:qFormat/>
    <w:rsid w:val="0066267D"/>
    <w:pPr>
      <w:tabs>
        <w:tab w:val="right" w:leader="dot" w:pos="9062"/>
      </w:tabs>
      <w:spacing w:line="240" w:lineRule="auto"/>
      <w:jc w:val="left"/>
    </w:pPr>
    <w:rPr>
      <w:rFonts w:cs="Calibri"/>
      <w:b/>
      <w:bCs/>
      <w:i/>
      <w:iCs/>
      <w:sz w:val="24"/>
      <w:szCs w:val="24"/>
    </w:rPr>
  </w:style>
  <w:style w:type="table" w:styleId="Listeclaire-Accent3">
    <w:name w:val="Light List Accent 3"/>
    <w:basedOn w:val="TableauNormal"/>
    <w:uiPriority w:val="61"/>
    <w:rsid w:val="00974B80"/>
    <w:rPr>
      <w:rFonts w:ascii="Calibri" w:eastAsia="Calibri" w:hAnsi="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ttedetabledesmatires">
    <w:name w:val="TOC Heading"/>
    <w:basedOn w:val="Titre1"/>
    <w:next w:val="Normal"/>
    <w:uiPriority w:val="39"/>
    <w:semiHidden/>
    <w:unhideWhenUsed/>
    <w:qFormat/>
    <w:rsid w:val="00974B80"/>
    <w:pPr>
      <w:keepLines/>
      <w:spacing w:before="480" w:after="0" w:line="276" w:lineRule="auto"/>
      <w:jc w:val="left"/>
      <w:outlineLvl w:val="9"/>
    </w:pPr>
    <w:rPr>
      <w:rFonts w:ascii="Cambria" w:eastAsia="Times New Roman" w:hAnsi="Cambria" w:cs="Times New Roman"/>
      <w:color w:val="365F91"/>
      <w:kern w:val="0"/>
      <w:sz w:val="28"/>
      <w:szCs w:val="28"/>
    </w:rPr>
  </w:style>
  <w:style w:type="paragraph" w:styleId="TM3">
    <w:name w:val="toc 3"/>
    <w:basedOn w:val="Normal"/>
    <w:next w:val="Normal"/>
    <w:autoRedefine/>
    <w:uiPriority w:val="39"/>
    <w:unhideWhenUsed/>
    <w:qFormat/>
    <w:rsid w:val="00974B80"/>
    <w:pPr>
      <w:ind w:left="440"/>
      <w:jc w:val="left"/>
    </w:pPr>
    <w:rPr>
      <w:rFonts w:cs="Calibri"/>
      <w:sz w:val="20"/>
      <w:szCs w:val="20"/>
    </w:rPr>
  </w:style>
  <w:style w:type="paragraph" w:styleId="Titre">
    <w:name w:val="Title"/>
    <w:basedOn w:val="Normal"/>
    <w:next w:val="Normal"/>
    <w:link w:val="TitreCar"/>
    <w:uiPriority w:val="10"/>
    <w:qFormat/>
    <w:rsid w:val="00974B80"/>
    <w:pPr>
      <w:pBdr>
        <w:bottom w:val="single" w:sz="8" w:space="4" w:color="4F81BD"/>
      </w:pBdr>
      <w:spacing w:after="300" w:line="240" w:lineRule="auto"/>
      <w:contextualSpacing/>
      <w:jc w:val="left"/>
    </w:pPr>
    <w:rPr>
      <w:rFonts w:ascii="Cambria" w:eastAsia="Times New Roman" w:hAnsi="Cambria"/>
      <w:color w:val="17365D"/>
      <w:spacing w:val="5"/>
      <w:kern w:val="28"/>
      <w:sz w:val="52"/>
      <w:szCs w:val="52"/>
    </w:rPr>
  </w:style>
  <w:style w:type="character" w:customStyle="1" w:styleId="TitreCar">
    <w:name w:val="Titre Car"/>
    <w:basedOn w:val="Policepardfaut"/>
    <w:link w:val="Titre"/>
    <w:uiPriority w:val="10"/>
    <w:rsid w:val="00974B80"/>
    <w:rPr>
      <w:rFonts w:ascii="Cambria" w:hAnsi="Cambria"/>
      <w:color w:val="17365D"/>
      <w:spacing w:val="5"/>
      <w:kern w:val="28"/>
      <w:sz w:val="52"/>
      <w:szCs w:val="52"/>
      <w:lang w:eastAsia="en-US"/>
    </w:rPr>
  </w:style>
  <w:style w:type="paragraph" w:styleId="Citationintense">
    <w:name w:val="Intense Quote"/>
    <w:basedOn w:val="Normal"/>
    <w:next w:val="Normal"/>
    <w:link w:val="CitationintenseCar"/>
    <w:uiPriority w:val="30"/>
    <w:qFormat/>
    <w:rsid w:val="00974B80"/>
    <w:pPr>
      <w:pBdr>
        <w:bottom w:val="single" w:sz="4" w:space="4" w:color="4F81BD"/>
      </w:pBdr>
      <w:spacing w:before="200" w:after="280" w:line="276" w:lineRule="auto"/>
      <w:ind w:left="936" w:right="936"/>
      <w:jc w:val="left"/>
    </w:pPr>
    <w:rPr>
      <w:b/>
      <w:bCs/>
      <w:i/>
      <w:iCs/>
      <w:color w:val="4F81BD"/>
    </w:rPr>
  </w:style>
  <w:style w:type="character" w:customStyle="1" w:styleId="CitationintenseCar">
    <w:name w:val="Citation intense Car"/>
    <w:basedOn w:val="Policepardfaut"/>
    <w:link w:val="Citationintense"/>
    <w:uiPriority w:val="30"/>
    <w:rsid w:val="00974B80"/>
    <w:rPr>
      <w:rFonts w:ascii="Calibri" w:eastAsia="Calibri" w:hAnsi="Calibri"/>
      <w:b/>
      <w:bCs/>
      <w:i/>
      <w:iCs/>
      <w:color w:val="4F81BD"/>
      <w:sz w:val="22"/>
      <w:szCs w:val="22"/>
      <w:lang w:eastAsia="en-US"/>
    </w:rPr>
  </w:style>
  <w:style w:type="numbering" w:customStyle="1" w:styleId="Style1">
    <w:name w:val="Style1"/>
    <w:uiPriority w:val="99"/>
    <w:rsid w:val="00974B80"/>
    <w:pPr>
      <w:numPr>
        <w:numId w:val="1"/>
      </w:numPr>
    </w:pPr>
  </w:style>
  <w:style w:type="paragraph" w:customStyle="1" w:styleId="T51">
    <w:name w:val="T51"/>
    <w:basedOn w:val="Normal"/>
    <w:link w:val="T51Car"/>
    <w:qFormat/>
    <w:rsid w:val="00974B80"/>
    <w:pPr>
      <w:numPr>
        <w:ilvl w:val="1"/>
        <w:numId w:val="1"/>
      </w:numPr>
      <w:tabs>
        <w:tab w:val="left" w:pos="993"/>
      </w:tabs>
      <w:spacing w:after="200" w:line="276" w:lineRule="auto"/>
      <w:jc w:val="center"/>
    </w:pPr>
    <w:rPr>
      <w:rFonts w:ascii="Times New Roman" w:hAnsi="Times New Roman"/>
      <w:b/>
      <w:sz w:val="26"/>
      <w:szCs w:val="26"/>
    </w:rPr>
  </w:style>
  <w:style w:type="paragraph" w:customStyle="1" w:styleId="T511">
    <w:name w:val="T511"/>
    <w:basedOn w:val="T51"/>
    <w:uiPriority w:val="99"/>
    <w:qFormat/>
    <w:rsid w:val="00974B80"/>
    <w:pPr>
      <w:numPr>
        <w:ilvl w:val="2"/>
      </w:numPr>
      <w:tabs>
        <w:tab w:val="clear" w:pos="993"/>
        <w:tab w:val="num" w:pos="360"/>
        <w:tab w:val="left" w:pos="1418"/>
      </w:tabs>
      <w:ind w:left="1500" w:hanging="432"/>
      <w:jc w:val="both"/>
    </w:pPr>
    <w:rPr>
      <w:sz w:val="24"/>
    </w:rPr>
  </w:style>
  <w:style w:type="character" w:customStyle="1" w:styleId="T51Car">
    <w:name w:val="T51 Car"/>
    <w:basedOn w:val="Policepardfaut"/>
    <w:link w:val="T51"/>
    <w:rsid w:val="00974B80"/>
    <w:rPr>
      <w:rFonts w:eastAsia="Calibri"/>
      <w:b/>
      <w:sz w:val="26"/>
      <w:szCs w:val="26"/>
      <w:lang w:eastAsia="en-US"/>
    </w:rPr>
  </w:style>
  <w:style w:type="table" w:styleId="Listeclaire-Accent5">
    <w:name w:val="Light List Accent 5"/>
    <w:basedOn w:val="TableauNormal"/>
    <w:uiPriority w:val="61"/>
    <w:rsid w:val="00974B80"/>
    <w:rPr>
      <w:rFonts w:ascii="Calibri" w:eastAsia="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Grilleclaire-Accent6">
    <w:name w:val="Light Grid Accent 6"/>
    <w:basedOn w:val="TableauNormal"/>
    <w:uiPriority w:val="62"/>
    <w:rsid w:val="00974B80"/>
    <w:rPr>
      <w:rFonts w:ascii="Calibri" w:eastAsia="Calibri" w:hAnsi="Calibri"/>
      <w:sz w:val="22"/>
      <w:szCs w:val="22"/>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ookmanOldStyle-Bold" w:eastAsia="Times New Roman" w:hAnsi="BookmanOldStyle-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ookmanOldStyle-Bold" w:eastAsia="Times New Roman" w:hAnsi="BookmanOldStyle-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ookmanOldStyle-Bold" w:eastAsia="Times New Roman" w:hAnsi="BookmanOldStyle-Bold" w:cs="Times New Roman"/>
        <w:b/>
        <w:bCs/>
      </w:rPr>
    </w:tblStylePr>
    <w:tblStylePr w:type="lastCol">
      <w:rPr>
        <w:rFonts w:ascii="BookmanOldStyle-Bold" w:eastAsia="Times New Roman" w:hAnsi="BookmanOldStyle-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std">
    <w:name w:val="std"/>
    <w:basedOn w:val="Normal"/>
    <w:uiPriority w:val="99"/>
    <w:rsid w:val="007B43D0"/>
    <w:pPr>
      <w:spacing w:line="240" w:lineRule="auto"/>
      <w:jc w:val="left"/>
    </w:pPr>
    <w:rPr>
      <w:rFonts w:ascii="Times New Roman" w:hAnsi="Times New Roman"/>
      <w:sz w:val="24"/>
      <w:szCs w:val="24"/>
      <w:lang w:eastAsia="fr-FR"/>
    </w:rPr>
  </w:style>
  <w:style w:type="paragraph" w:styleId="NormalWeb">
    <w:name w:val="Normal (Web)"/>
    <w:basedOn w:val="Normal"/>
    <w:unhideWhenUsed/>
    <w:rsid w:val="007B43D0"/>
    <w:pPr>
      <w:spacing w:before="100" w:beforeAutospacing="1" w:after="100" w:afterAutospacing="1" w:line="240" w:lineRule="auto"/>
      <w:jc w:val="left"/>
    </w:pPr>
    <w:rPr>
      <w:rFonts w:ascii="Times New Roman" w:eastAsia="Times New Roman" w:hAnsi="Times New Roman"/>
      <w:sz w:val="24"/>
      <w:szCs w:val="24"/>
      <w:lang w:eastAsia="fr-FR"/>
    </w:rPr>
  </w:style>
  <w:style w:type="character" w:styleId="Marquedecommentaire">
    <w:name w:val="annotation reference"/>
    <w:basedOn w:val="Policepardfaut"/>
    <w:uiPriority w:val="99"/>
    <w:semiHidden/>
    <w:unhideWhenUsed/>
    <w:rsid w:val="00BA4F19"/>
    <w:rPr>
      <w:sz w:val="16"/>
      <w:szCs w:val="16"/>
    </w:rPr>
  </w:style>
  <w:style w:type="paragraph" w:styleId="Rvision">
    <w:name w:val="Revision"/>
    <w:hidden/>
    <w:uiPriority w:val="99"/>
    <w:semiHidden/>
    <w:rsid w:val="00BA4F19"/>
    <w:rPr>
      <w:rFonts w:ascii="Calibri" w:eastAsia="Calibri" w:hAnsi="Calibri"/>
      <w:sz w:val="22"/>
      <w:szCs w:val="22"/>
      <w:lang w:eastAsia="en-US"/>
    </w:rPr>
  </w:style>
  <w:style w:type="paragraph" w:styleId="Corpsdetexte2">
    <w:name w:val="Body Text 2"/>
    <w:basedOn w:val="Normal"/>
    <w:link w:val="Corpsdetexte2Car"/>
    <w:uiPriority w:val="99"/>
    <w:rsid w:val="00713AAF"/>
    <w:pPr>
      <w:spacing w:after="120" w:line="480" w:lineRule="auto"/>
      <w:jc w:val="left"/>
    </w:pPr>
    <w:rPr>
      <w:rFonts w:ascii="Times New Roman" w:eastAsia="Times New Roman" w:hAnsi="Times New Roman"/>
      <w:sz w:val="24"/>
      <w:szCs w:val="24"/>
      <w:lang w:eastAsia="fr-FR"/>
    </w:rPr>
  </w:style>
  <w:style w:type="character" w:customStyle="1" w:styleId="Corpsdetexte2Car">
    <w:name w:val="Corps de texte 2 Car"/>
    <w:basedOn w:val="Policepardfaut"/>
    <w:link w:val="Corpsdetexte2"/>
    <w:uiPriority w:val="99"/>
    <w:rsid w:val="00713AAF"/>
    <w:rPr>
      <w:sz w:val="24"/>
      <w:szCs w:val="24"/>
    </w:rPr>
  </w:style>
  <w:style w:type="paragraph" w:customStyle="1" w:styleId="Default">
    <w:name w:val="Default"/>
    <w:rsid w:val="005028EF"/>
    <w:pPr>
      <w:autoSpaceDE w:val="0"/>
      <w:autoSpaceDN w:val="0"/>
      <w:adjustRightInd w:val="0"/>
    </w:pPr>
    <w:rPr>
      <w:color w:val="000000"/>
      <w:sz w:val="24"/>
      <w:szCs w:val="24"/>
      <w:lang w:val="fr-CA" w:eastAsia="fr-CA"/>
    </w:rPr>
  </w:style>
  <w:style w:type="character" w:customStyle="1" w:styleId="ParagraphedelisteCar">
    <w:name w:val="Paragraphe de liste Car"/>
    <w:aliases w:val="Bullets Car"/>
    <w:link w:val="Paragraphedeliste"/>
    <w:uiPriority w:val="34"/>
    <w:rsid w:val="00CA500B"/>
    <w:rPr>
      <w:rFonts w:ascii="Calibri" w:eastAsia="Calibri" w:hAnsi="Calibri"/>
      <w:sz w:val="22"/>
      <w:szCs w:val="22"/>
      <w:lang w:eastAsia="en-US"/>
    </w:rPr>
  </w:style>
  <w:style w:type="paragraph" w:customStyle="1" w:styleId="ColorfulList-Accent11">
    <w:name w:val="Colorful List - Accent 11"/>
    <w:basedOn w:val="Normal"/>
    <w:uiPriority w:val="99"/>
    <w:qFormat/>
    <w:rsid w:val="00FC20E4"/>
    <w:pPr>
      <w:spacing w:line="240" w:lineRule="auto"/>
      <w:ind w:left="720"/>
      <w:contextualSpacing/>
      <w:jc w:val="left"/>
    </w:pPr>
    <w:rPr>
      <w:rFonts w:ascii="Times New Roman" w:eastAsia="Times New Roman" w:hAnsi="Times New Roman"/>
      <w:sz w:val="24"/>
      <w:szCs w:val="24"/>
      <w:lang w:val="en-US"/>
    </w:rPr>
  </w:style>
  <w:style w:type="paragraph" w:customStyle="1" w:styleId="BodyText1">
    <w:name w:val="Body Text1"/>
    <w:aliases w:val="OPM,OPM Char1 Char Char,Body text Char Char,Body text"/>
    <w:basedOn w:val="Normal"/>
    <w:link w:val="BodytextChar"/>
    <w:qFormat/>
    <w:rsid w:val="00571E61"/>
    <w:pPr>
      <w:spacing w:after="240" w:line="240" w:lineRule="auto"/>
    </w:pPr>
    <w:rPr>
      <w:rFonts w:ascii="Arial" w:eastAsia="Times New Roman" w:hAnsi="Arial"/>
      <w:szCs w:val="20"/>
      <w:lang w:val="en-GB"/>
    </w:rPr>
  </w:style>
  <w:style w:type="character" w:customStyle="1" w:styleId="BodytextChar">
    <w:name w:val="Body text Char"/>
    <w:aliases w:val="OPM Char,OPM Char Char,OPM Char1,Body Text Char,Body text Char Char Char"/>
    <w:basedOn w:val="Policepardfaut"/>
    <w:link w:val="BodyText1"/>
    <w:locked/>
    <w:rsid w:val="00571E61"/>
    <w:rPr>
      <w:rFonts w:ascii="Arial" w:hAnsi="Arial"/>
      <w:sz w:val="22"/>
      <w:lang w:val="en-GB" w:eastAsia="en-US"/>
    </w:rPr>
  </w:style>
  <w:style w:type="paragraph" w:customStyle="1" w:styleId="Standard">
    <w:name w:val="Standard"/>
    <w:link w:val="StandardCar"/>
    <w:rsid w:val="00F23261"/>
    <w:pPr>
      <w:widowControl w:val="0"/>
      <w:suppressAutoHyphens/>
      <w:autoSpaceDN w:val="0"/>
      <w:textAlignment w:val="baseline"/>
    </w:pPr>
    <w:rPr>
      <w:rFonts w:eastAsia="SimSun" w:cs="Mangal"/>
      <w:kern w:val="3"/>
      <w:sz w:val="24"/>
      <w:szCs w:val="24"/>
      <w:lang w:eastAsia="zh-CN" w:bidi="hi-IN"/>
    </w:rPr>
  </w:style>
  <w:style w:type="character" w:customStyle="1" w:styleId="StandardCar">
    <w:name w:val="Standard Car"/>
    <w:basedOn w:val="Policepardfaut"/>
    <w:link w:val="Standard"/>
    <w:rsid w:val="00F23261"/>
    <w:rPr>
      <w:rFonts w:eastAsia="SimSun" w:cs="Mangal"/>
      <w:kern w:val="3"/>
      <w:sz w:val="24"/>
      <w:szCs w:val="24"/>
      <w:lang w:val="fr-FR" w:eastAsia="zh-CN" w:bidi="hi-IN"/>
    </w:rPr>
  </w:style>
  <w:style w:type="paragraph" w:styleId="TM4">
    <w:name w:val="toc 4"/>
    <w:basedOn w:val="Normal"/>
    <w:next w:val="Normal"/>
    <w:autoRedefine/>
    <w:uiPriority w:val="39"/>
    <w:unhideWhenUsed/>
    <w:rsid w:val="00206595"/>
    <w:pPr>
      <w:ind w:left="660"/>
      <w:jc w:val="left"/>
    </w:pPr>
    <w:rPr>
      <w:rFonts w:cs="Calibri"/>
      <w:sz w:val="20"/>
      <w:szCs w:val="20"/>
    </w:rPr>
  </w:style>
  <w:style w:type="paragraph" w:styleId="TM5">
    <w:name w:val="toc 5"/>
    <w:basedOn w:val="Normal"/>
    <w:next w:val="Normal"/>
    <w:autoRedefine/>
    <w:uiPriority w:val="39"/>
    <w:unhideWhenUsed/>
    <w:rsid w:val="00206595"/>
    <w:pPr>
      <w:ind w:left="880"/>
      <w:jc w:val="left"/>
    </w:pPr>
    <w:rPr>
      <w:rFonts w:cs="Calibri"/>
      <w:sz w:val="20"/>
      <w:szCs w:val="20"/>
    </w:rPr>
  </w:style>
  <w:style w:type="paragraph" w:styleId="TM6">
    <w:name w:val="toc 6"/>
    <w:basedOn w:val="Normal"/>
    <w:next w:val="Normal"/>
    <w:autoRedefine/>
    <w:uiPriority w:val="39"/>
    <w:unhideWhenUsed/>
    <w:rsid w:val="00206595"/>
    <w:pPr>
      <w:ind w:left="1100"/>
      <w:jc w:val="left"/>
    </w:pPr>
    <w:rPr>
      <w:rFonts w:cs="Calibri"/>
      <w:sz w:val="20"/>
      <w:szCs w:val="20"/>
    </w:rPr>
  </w:style>
  <w:style w:type="paragraph" w:styleId="TM7">
    <w:name w:val="toc 7"/>
    <w:basedOn w:val="Normal"/>
    <w:next w:val="Normal"/>
    <w:autoRedefine/>
    <w:uiPriority w:val="39"/>
    <w:unhideWhenUsed/>
    <w:rsid w:val="00206595"/>
    <w:pPr>
      <w:ind w:left="1320"/>
      <w:jc w:val="left"/>
    </w:pPr>
    <w:rPr>
      <w:rFonts w:cs="Calibri"/>
      <w:sz w:val="20"/>
      <w:szCs w:val="20"/>
    </w:rPr>
  </w:style>
  <w:style w:type="paragraph" w:styleId="TM8">
    <w:name w:val="toc 8"/>
    <w:basedOn w:val="Normal"/>
    <w:next w:val="Normal"/>
    <w:autoRedefine/>
    <w:uiPriority w:val="39"/>
    <w:unhideWhenUsed/>
    <w:rsid w:val="00206595"/>
    <w:pPr>
      <w:ind w:left="1540"/>
      <w:jc w:val="left"/>
    </w:pPr>
    <w:rPr>
      <w:rFonts w:cs="Calibri"/>
      <w:sz w:val="20"/>
      <w:szCs w:val="20"/>
    </w:rPr>
  </w:style>
  <w:style w:type="paragraph" w:styleId="TM9">
    <w:name w:val="toc 9"/>
    <w:basedOn w:val="Normal"/>
    <w:next w:val="Normal"/>
    <w:autoRedefine/>
    <w:uiPriority w:val="39"/>
    <w:unhideWhenUsed/>
    <w:rsid w:val="00206595"/>
    <w:pPr>
      <w:ind w:left="1760"/>
      <w:jc w:val="left"/>
    </w:pPr>
    <w:rPr>
      <w:rFonts w:cs="Calibri"/>
      <w:sz w:val="20"/>
      <w:szCs w:val="20"/>
    </w:rPr>
  </w:style>
  <w:style w:type="paragraph" w:customStyle="1" w:styleId="HERO2">
    <w:name w:val="HERO2"/>
    <w:basedOn w:val="Normal"/>
    <w:link w:val="HERO2Car"/>
    <w:qFormat/>
    <w:rsid w:val="00873C70"/>
    <w:pPr>
      <w:keepNext/>
      <w:keepLines/>
      <w:spacing w:before="360"/>
    </w:pPr>
    <w:rPr>
      <w:rFonts w:ascii="Arial" w:eastAsia="Times New Roman" w:hAnsi="Arial"/>
      <w:b/>
      <w:sz w:val="24"/>
      <w:szCs w:val="24"/>
      <w:lang w:eastAsia="fr-FR"/>
    </w:rPr>
  </w:style>
  <w:style w:type="character" w:customStyle="1" w:styleId="HERO2Car">
    <w:name w:val="HERO2 Car"/>
    <w:basedOn w:val="Policepardfaut"/>
    <w:link w:val="HERO2"/>
    <w:rsid w:val="00873C70"/>
    <w:rPr>
      <w:rFonts w:ascii="Arial" w:hAnsi="Arial"/>
      <w:b/>
      <w:sz w:val="24"/>
      <w:szCs w:val="24"/>
    </w:rPr>
  </w:style>
  <w:style w:type="paragraph" w:styleId="Tabledesillustrations">
    <w:name w:val="table of figures"/>
    <w:basedOn w:val="Normal"/>
    <w:next w:val="Normal"/>
    <w:uiPriority w:val="99"/>
    <w:unhideWhenUsed/>
    <w:rsid w:val="003D251C"/>
    <w:pPr>
      <w:jc w:val="left"/>
    </w:pPr>
    <w:rPr>
      <w:rFonts w:asciiTheme="minorHAnsi" w:hAnsiTheme="minorHAnsi" w:cstheme="minorHAnsi"/>
      <w:i/>
      <w:iCs/>
      <w:sz w:val="20"/>
      <w:szCs w:val="20"/>
    </w:rPr>
  </w:style>
  <w:style w:type="character" w:customStyle="1" w:styleId="Titre5Car">
    <w:name w:val="Titre 5 Car"/>
    <w:basedOn w:val="Policepardfaut"/>
    <w:link w:val="Titre5"/>
    <w:rsid w:val="00720790"/>
    <w:rPr>
      <w:rFonts w:ascii="Cambria" w:eastAsia="Times New Roman" w:hAnsi="Cambria" w:cs="Times New Roman"/>
      <w:color w:val="243F60"/>
      <w:sz w:val="22"/>
      <w:szCs w:val="22"/>
      <w:lang w:eastAsia="en-US"/>
    </w:rPr>
  </w:style>
  <w:style w:type="paragraph" w:customStyle="1" w:styleId="TAB">
    <w:name w:val="TAB"/>
    <w:basedOn w:val="Normal"/>
    <w:uiPriority w:val="99"/>
    <w:qFormat/>
    <w:rsid w:val="00DE21A0"/>
    <w:pPr>
      <w:spacing w:line="276" w:lineRule="auto"/>
    </w:pPr>
    <w:rPr>
      <w:rFonts w:ascii="Times New Roman" w:hAnsi="Times New Roman"/>
      <w:b/>
      <w:sz w:val="24"/>
      <w:szCs w:val="24"/>
    </w:rPr>
  </w:style>
  <w:style w:type="character" w:styleId="Lienhypertextesuivivisit">
    <w:name w:val="FollowedHyperlink"/>
    <w:basedOn w:val="Policepardfaut"/>
    <w:uiPriority w:val="99"/>
    <w:semiHidden/>
    <w:unhideWhenUsed/>
    <w:rsid w:val="00F0774C"/>
    <w:rPr>
      <w:color w:val="800080"/>
      <w:u w:val="single"/>
    </w:rPr>
  </w:style>
  <w:style w:type="paragraph" w:customStyle="1" w:styleId="xl65">
    <w:name w:val="xl65"/>
    <w:basedOn w:val="Normal"/>
    <w:uiPriority w:val="99"/>
    <w:rsid w:val="00F0774C"/>
    <w:pPr>
      <w:spacing w:before="100" w:beforeAutospacing="1" w:after="100" w:afterAutospacing="1" w:line="240" w:lineRule="auto"/>
      <w:ind w:firstLineChars="300" w:firstLine="300"/>
      <w:jc w:val="left"/>
    </w:pPr>
    <w:rPr>
      <w:rFonts w:ascii="Times New Roman" w:eastAsia="Times New Roman" w:hAnsi="Times New Roman"/>
      <w:color w:val="000000"/>
      <w:sz w:val="21"/>
      <w:szCs w:val="21"/>
      <w:lang w:eastAsia="fr-FR"/>
    </w:rPr>
  </w:style>
  <w:style w:type="paragraph" w:customStyle="1" w:styleId="xl66">
    <w:name w:val="xl66"/>
    <w:basedOn w:val="Normal"/>
    <w:uiPriority w:val="99"/>
    <w:rsid w:val="00F0774C"/>
    <w:pPr>
      <w:pBdr>
        <w:top w:val="double" w:sz="6" w:space="0" w:color="auto"/>
      </w:pBdr>
      <w:spacing w:before="100" w:beforeAutospacing="1" w:after="100" w:afterAutospacing="1" w:line="240" w:lineRule="auto"/>
      <w:jc w:val="left"/>
    </w:pPr>
    <w:rPr>
      <w:rFonts w:ascii="Times New Roman" w:eastAsia="Times New Roman" w:hAnsi="Times New Roman"/>
      <w:sz w:val="20"/>
      <w:szCs w:val="20"/>
      <w:lang w:eastAsia="fr-FR"/>
    </w:rPr>
  </w:style>
  <w:style w:type="paragraph" w:customStyle="1" w:styleId="xl67">
    <w:name w:val="xl67"/>
    <w:basedOn w:val="Normal"/>
    <w:uiPriority w:val="99"/>
    <w:rsid w:val="00F0774C"/>
    <w:pPr>
      <w:pBdr>
        <w:bottom w:val="single" w:sz="8" w:space="0" w:color="auto"/>
      </w:pBdr>
      <w:spacing w:before="100" w:beforeAutospacing="1" w:after="100" w:afterAutospacing="1" w:line="240" w:lineRule="auto"/>
      <w:jc w:val="left"/>
    </w:pPr>
    <w:rPr>
      <w:rFonts w:ascii="Times New Roman" w:eastAsia="Times New Roman" w:hAnsi="Times New Roman"/>
      <w:sz w:val="20"/>
      <w:szCs w:val="20"/>
      <w:lang w:eastAsia="fr-FR"/>
    </w:rPr>
  </w:style>
  <w:style w:type="paragraph" w:customStyle="1" w:styleId="xl68">
    <w:name w:val="xl68"/>
    <w:basedOn w:val="Normal"/>
    <w:uiPriority w:val="99"/>
    <w:rsid w:val="00F0774C"/>
    <w:pPr>
      <w:spacing w:before="100" w:beforeAutospacing="1" w:after="100" w:afterAutospacing="1" w:line="240" w:lineRule="auto"/>
      <w:jc w:val="left"/>
    </w:pPr>
    <w:rPr>
      <w:rFonts w:ascii="Times New Roman" w:eastAsia="Times New Roman" w:hAnsi="Times New Roman"/>
      <w:color w:val="000000"/>
      <w:sz w:val="21"/>
      <w:szCs w:val="21"/>
      <w:lang w:eastAsia="fr-FR"/>
    </w:rPr>
  </w:style>
  <w:style w:type="paragraph" w:customStyle="1" w:styleId="xl70">
    <w:name w:val="xl70"/>
    <w:basedOn w:val="Normal"/>
    <w:uiPriority w:val="99"/>
    <w:rsid w:val="00F0774C"/>
    <w:pPr>
      <w:spacing w:before="100" w:beforeAutospacing="1" w:after="100" w:afterAutospacing="1" w:line="240" w:lineRule="auto"/>
      <w:jc w:val="center"/>
    </w:pPr>
    <w:rPr>
      <w:rFonts w:ascii="Times New Roman" w:eastAsia="Times New Roman" w:hAnsi="Times New Roman"/>
      <w:sz w:val="24"/>
      <w:szCs w:val="24"/>
      <w:lang w:eastAsia="fr-FR"/>
    </w:rPr>
  </w:style>
  <w:style w:type="paragraph" w:customStyle="1" w:styleId="xl71">
    <w:name w:val="xl71"/>
    <w:basedOn w:val="Normal"/>
    <w:uiPriority w:val="99"/>
    <w:rsid w:val="00F0774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rPr>
  </w:style>
  <w:style w:type="paragraph" w:customStyle="1" w:styleId="xl72">
    <w:name w:val="xl72"/>
    <w:basedOn w:val="Normal"/>
    <w:uiPriority w:val="99"/>
    <w:rsid w:val="00F0774C"/>
    <w:pPr>
      <w:pBdr>
        <w:bottom w:val="single" w:sz="4" w:space="0" w:color="auto"/>
      </w:pBdr>
      <w:spacing w:before="100" w:beforeAutospacing="1" w:after="100" w:afterAutospacing="1" w:line="240" w:lineRule="auto"/>
      <w:jc w:val="left"/>
    </w:pPr>
    <w:rPr>
      <w:rFonts w:ascii="Times New Roman" w:eastAsia="Times New Roman" w:hAnsi="Times New Roman"/>
      <w:sz w:val="24"/>
      <w:szCs w:val="24"/>
      <w:lang w:eastAsia="fr-FR"/>
    </w:rPr>
  </w:style>
  <w:style w:type="paragraph" w:customStyle="1" w:styleId="xl73">
    <w:name w:val="xl73"/>
    <w:basedOn w:val="Normal"/>
    <w:uiPriority w:val="99"/>
    <w:rsid w:val="00F0774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fr-FR"/>
    </w:rPr>
  </w:style>
  <w:style w:type="paragraph" w:customStyle="1" w:styleId="xl74">
    <w:name w:val="xl74"/>
    <w:basedOn w:val="Normal"/>
    <w:uiPriority w:val="99"/>
    <w:rsid w:val="00F0774C"/>
    <w:pPr>
      <w:spacing w:before="100" w:beforeAutospacing="1" w:after="100" w:afterAutospacing="1" w:line="240" w:lineRule="auto"/>
      <w:jc w:val="left"/>
    </w:pPr>
    <w:rPr>
      <w:rFonts w:ascii="Times New Roman" w:eastAsia="Times New Roman" w:hAnsi="Times New Roman"/>
      <w:color w:val="000000"/>
      <w:sz w:val="24"/>
      <w:szCs w:val="24"/>
      <w:lang w:eastAsia="fr-FR"/>
    </w:rPr>
  </w:style>
  <w:style w:type="paragraph" w:customStyle="1" w:styleId="xl75">
    <w:name w:val="xl75"/>
    <w:basedOn w:val="Normal"/>
    <w:uiPriority w:val="99"/>
    <w:rsid w:val="00F0774C"/>
    <w:pPr>
      <w:spacing w:before="100" w:beforeAutospacing="1" w:after="100" w:afterAutospacing="1" w:line="240" w:lineRule="auto"/>
      <w:jc w:val="left"/>
    </w:pPr>
    <w:rPr>
      <w:rFonts w:ascii="Times New Roman" w:eastAsia="Times New Roman" w:hAnsi="Times New Roman"/>
      <w:color w:val="000000"/>
      <w:sz w:val="24"/>
      <w:szCs w:val="24"/>
      <w:lang w:eastAsia="fr-FR"/>
    </w:rPr>
  </w:style>
  <w:style w:type="paragraph" w:customStyle="1" w:styleId="xl76">
    <w:name w:val="xl76"/>
    <w:basedOn w:val="Normal"/>
    <w:uiPriority w:val="99"/>
    <w:rsid w:val="00F0774C"/>
    <w:pPr>
      <w:spacing w:before="100" w:beforeAutospacing="1" w:after="100" w:afterAutospacing="1" w:line="240" w:lineRule="auto"/>
      <w:ind w:firstLineChars="500" w:firstLine="500"/>
      <w:jc w:val="left"/>
    </w:pPr>
    <w:rPr>
      <w:rFonts w:ascii="Times New Roman" w:eastAsia="Times New Roman" w:hAnsi="Times New Roman"/>
      <w:color w:val="000000"/>
      <w:sz w:val="24"/>
      <w:szCs w:val="24"/>
      <w:lang w:eastAsia="fr-FR"/>
    </w:rPr>
  </w:style>
  <w:style w:type="paragraph" w:customStyle="1" w:styleId="xl77">
    <w:name w:val="xl77"/>
    <w:basedOn w:val="Normal"/>
    <w:uiPriority w:val="99"/>
    <w:rsid w:val="00F0774C"/>
    <w:pPr>
      <w:spacing w:before="100" w:beforeAutospacing="1" w:after="100" w:afterAutospacing="1" w:line="240" w:lineRule="auto"/>
      <w:jc w:val="left"/>
    </w:pPr>
    <w:rPr>
      <w:rFonts w:ascii="Times New Roman" w:eastAsia="Times New Roman" w:hAnsi="Times New Roman"/>
      <w:color w:val="0000FF"/>
      <w:sz w:val="24"/>
      <w:szCs w:val="24"/>
      <w:u w:val="single"/>
      <w:lang w:eastAsia="fr-FR"/>
    </w:rPr>
  </w:style>
  <w:style w:type="paragraph" w:customStyle="1" w:styleId="xl78">
    <w:name w:val="xl78"/>
    <w:basedOn w:val="Normal"/>
    <w:uiPriority w:val="99"/>
    <w:rsid w:val="00F0774C"/>
    <w:pPr>
      <w:spacing w:before="100" w:beforeAutospacing="1" w:after="100" w:afterAutospacing="1" w:line="240" w:lineRule="auto"/>
      <w:ind w:firstLineChars="300" w:firstLine="300"/>
      <w:jc w:val="left"/>
    </w:pPr>
    <w:rPr>
      <w:rFonts w:ascii="Times New Roman" w:eastAsia="Times New Roman" w:hAnsi="Times New Roman"/>
      <w:color w:val="000000"/>
      <w:sz w:val="24"/>
      <w:szCs w:val="24"/>
      <w:lang w:eastAsia="fr-FR"/>
    </w:rPr>
  </w:style>
  <w:style w:type="paragraph" w:customStyle="1" w:styleId="xl79">
    <w:name w:val="xl79"/>
    <w:basedOn w:val="Normal"/>
    <w:uiPriority w:val="99"/>
    <w:rsid w:val="00F0774C"/>
    <w:pPr>
      <w:pBdr>
        <w:top w:val="single" w:sz="8" w:space="0" w:color="auto"/>
      </w:pBdr>
      <w:spacing w:before="100" w:beforeAutospacing="1" w:after="100" w:afterAutospacing="1" w:line="240" w:lineRule="auto"/>
      <w:jc w:val="left"/>
    </w:pPr>
    <w:rPr>
      <w:rFonts w:ascii="Times New Roman" w:eastAsia="Times New Roman" w:hAnsi="Times New Roman"/>
      <w:color w:val="000000"/>
      <w:sz w:val="24"/>
      <w:szCs w:val="24"/>
      <w:lang w:eastAsia="fr-FR"/>
    </w:rPr>
  </w:style>
  <w:style w:type="paragraph" w:customStyle="1" w:styleId="xl80">
    <w:name w:val="xl80"/>
    <w:basedOn w:val="Normal"/>
    <w:uiPriority w:val="99"/>
    <w:rsid w:val="00F0774C"/>
    <w:pPr>
      <w:pBdr>
        <w:bottom w:val="double" w:sz="6" w:space="0" w:color="auto"/>
      </w:pBdr>
      <w:spacing w:before="100" w:beforeAutospacing="1" w:after="100" w:afterAutospacing="1" w:line="240" w:lineRule="auto"/>
      <w:jc w:val="left"/>
    </w:pPr>
    <w:rPr>
      <w:rFonts w:ascii="Times New Roman" w:eastAsia="Times New Roman" w:hAnsi="Times New Roman"/>
      <w:color w:val="000000"/>
      <w:sz w:val="24"/>
      <w:szCs w:val="24"/>
      <w:lang w:eastAsia="fr-FR"/>
    </w:rPr>
  </w:style>
  <w:style w:type="paragraph" w:customStyle="1" w:styleId="xl81">
    <w:name w:val="xl81"/>
    <w:basedOn w:val="Normal"/>
    <w:uiPriority w:val="99"/>
    <w:rsid w:val="00F0774C"/>
    <w:pPr>
      <w:spacing w:before="100" w:beforeAutospacing="1" w:after="100" w:afterAutospacing="1" w:line="240" w:lineRule="auto"/>
      <w:jc w:val="left"/>
    </w:pPr>
    <w:rPr>
      <w:rFonts w:ascii="Times New Roman" w:eastAsia="Times New Roman" w:hAnsi="Times New Roman"/>
      <w:sz w:val="20"/>
      <w:szCs w:val="20"/>
      <w:lang w:eastAsia="fr-FR"/>
    </w:rPr>
  </w:style>
  <w:style w:type="paragraph" w:styleId="Sansinterligne">
    <w:name w:val="No Spacing"/>
    <w:link w:val="SansinterligneCar"/>
    <w:uiPriority w:val="1"/>
    <w:qFormat/>
    <w:rsid w:val="00974E90"/>
    <w:pPr>
      <w:jc w:val="both"/>
    </w:pPr>
    <w:rPr>
      <w:rFonts w:ascii="Calibri" w:eastAsia="Calibri" w:hAnsi="Calibri"/>
      <w:sz w:val="22"/>
      <w:szCs w:val="22"/>
      <w:lang w:eastAsia="en-US"/>
    </w:rPr>
  </w:style>
  <w:style w:type="paragraph" w:customStyle="1" w:styleId="Style2">
    <w:name w:val="Style2"/>
    <w:basedOn w:val="Normal"/>
    <w:link w:val="Style2Car"/>
    <w:qFormat/>
    <w:rsid w:val="00A84455"/>
    <w:pPr>
      <w:spacing w:line="276" w:lineRule="auto"/>
    </w:pPr>
    <w:rPr>
      <w:rFonts w:ascii="Times New Roman" w:hAnsi="Times New Roman"/>
      <w:sz w:val="24"/>
      <w:szCs w:val="24"/>
    </w:rPr>
  </w:style>
  <w:style w:type="character" w:customStyle="1" w:styleId="Style2Car">
    <w:name w:val="Style2 Car"/>
    <w:basedOn w:val="Policepardfaut"/>
    <w:link w:val="Style2"/>
    <w:rsid w:val="00A84455"/>
    <w:rPr>
      <w:rFonts w:eastAsia="Calibri"/>
      <w:sz w:val="24"/>
      <w:szCs w:val="24"/>
      <w:lang w:eastAsia="en-US"/>
    </w:rPr>
  </w:style>
  <w:style w:type="paragraph" w:customStyle="1" w:styleId="MediumGrid1-Accent21">
    <w:name w:val="Medium Grid 1 - Accent 21"/>
    <w:basedOn w:val="Normal"/>
    <w:uiPriority w:val="99"/>
    <w:qFormat/>
    <w:rsid w:val="00807441"/>
    <w:pPr>
      <w:spacing w:after="200" w:line="276" w:lineRule="auto"/>
      <w:ind w:left="720"/>
      <w:contextualSpacing/>
      <w:jc w:val="left"/>
    </w:pPr>
  </w:style>
  <w:style w:type="paragraph" w:customStyle="1" w:styleId="PAPERO">
    <w:name w:val="PAPERO"/>
    <w:basedOn w:val="Normal"/>
    <w:uiPriority w:val="99"/>
    <w:qFormat/>
    <w:rsid w:val="002E5840"/>
    <w:pPr>
      <w:spacing w:after="200" w:line="240" w:lineRule="auto"/>
    </w:pPr>
    <w:rPr>
      <w:rFonts w:ascii="Times New Roman" w:eastAsia="Cambria" w:hAnsi="Times New Roman"/>
      <w:sz w:val="24"/>
      <w:szCs w:val="24"/>
    </w:rPr>
  </w:style>
  <w:style w:type="paragraph" w:styleId="Corpsdetexte">
    <w:name w:val="Body Text"/>
    <w:basedOn w:val="Normal"/>
    <w:link w:val="CorpsdetexteCar"/>
    <w:uiPriority w:val="99"/>
    <w:unhideWhenUsed/>
    <w:rsid w:val="001A4C28"/>
    <w:pPr>
      <w:spacing w:after="120"/>
    </w:pPr>
  </w:style>
  <w:style w:type="character" w:customStyle="1" w:styleId="CorpsdetexteCar">
    <w:name w:val="Corps de texte Car"/>
    <w:basedOn w:val="Policepardfaut"/>
    <w:link w:val="Corpsdetexte"/>
    <w:uiPriority w:val="99"/>
    <w:rsid w:val="001A4C28"/>
    <w:rPr>
      <w:rFonts w:ascii="Calibri" w:eastAsia="Calibri" w:hAnsi="Calibri"/>
      <w:sz w:val="22"/>
      <w:szCs w:val="22"/>
      <w:lang w:eastAsia="en-US"/>
    </w:rPr>
  </w:style>
  <w:style w:type="character" w:customStyle="1" w:styleId="SansinterligneCar">
    <w:name w:val="Sans interligne Car"/>
    <w:basedOn w:val="Policepardfaut"/>
    <w:link w:val="Sansinterligne"/>
    <w:uiPriority w:val="1"/>
    <w:rsid w:val="006C7E1A"/>
    <w:rPr>
      <w:rFonts w:ascii="Calibri" w:eastAsia="Calibri" w:hAnsi="Calibri"/>
      <w:sz w:val="22"/>
      <w:szCs w:val="22"/>
      <w:lang w:eastAsia="en-US"/>
    </w:rPr>
  </w:style>
  <w:style w:type="paragraph" w:styleId="Notedefin">
    <w:name w:val="endnote text"/>
    <w:basedOn w:val="Normal"/>
    <w:link w:val="NotedefinCar"/>
    <w:uiPriority w:val="99"/>
    <w:semiHidden/>
    <w:unhideWhenUsed/>
    <w:rsid w:val="00AB68B9"/>
    <w:pPr>
      <w:spacing w:line="240" w:lineRule="auto"/>
    </w:pPr>
    <w:rPr>
      <w:sz w:val="20"/>
      <w:szCs w:val="20"/>
    </w:rPr>
  </w:style>
  <w:style w:type="character" w:customStyle="1" w:styleId="NotedefinCar">
    <w:name w:val="Note de fin Car"/>
    <w:basedOn w:val="Policepardfaut"/>
    <w:link w:val="Notedefin"/>
    <w:uiPriority w:val="99"/>
    <w:semiHidden/>
    <w:rsid w:val="00AB68B9"/>
    <w:rPr>
      <w:rFonts w:ascii="Calibri" w:eastAsia="Calibri" w:hAnsi="Calibri"/>
      <w:lang w:eastAsia="en-US"/>
    </w:rPr>
  </w:style>
  <w:style w:type="character" w:styleId="Appeldenotedefin">
    <w:name w:val="endnote reference"/>
    <w:basedOn w:val="Policepardfaut"/>
    <w:uiPriority w:val="99"/>
    <w:semiHidden/>
    <w:unhideWhenUsed/>
    <w:rsid w:val="00AB68B9"/>
    <w:rPr>
      <w:vertAlign w:val="superscript"/>
    </w:rPr>
  </w:style>
  <w:style w:type="table" w:styleId="Grilleclaire-Accent4">
    <w:name w:val="Light Grid Accent 4"/>
    <w:basedOn w:val="TableauNormal"/>
    <w:uiPriority w:val="62"/>
    <w:rsid w:val="00C464FF"/>
    <w:rPr>
      <w:rFonts w:eastAsiaTheme="minorHAnsi"/>
      <w:sz w:val="28"/>
      <w:szCs w:val="28"/>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otedebasdepageCar1">
    <w:name w:val="Note de bas de page Car1"/>
    <w:aliases w:val="Footnote Text1 Car1,single space Car1,Fodnotetekst Tegn Car1,footnote text Char Car1,Fodnotetekst Tegn Char Car1,single space Char Car1,footnote text Char Char Char Car1,Fodnotetekst Tegn Char1 Car1,single space Char1 Car1"/>
    <w:basedOn w:val="Policepardfaut"/>
    <w:semiHidden/>
    <w:rsid w:val="00832BCE"/>
    <w:rPr>
      <w:rFonts w:ascii="Calibri" w:eastAsia="Calibri" w:hAnsi="Calibri"/>
      <w:lang w:eastAsia="en-US"/>
    </w:rPr>
  </w:style>
  <w:style w:type="paragraph" w:styleId="Explorateurdedocuments">
    <w:name w:val="Document Map"/>
    <w:basedOn w:val="Normal"/>
    <w:link w:val="ExplorateurdedocumentsCar"/>
    <w:uiPriority w:val="99"/>
    <w:semiHidden/>
    <w:unhideWhenUsed/>
    <w:rsid w:val="00832BCE"/>
    <w:pPr>
      <w:spacing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832BCE"/>
    <w:rPr>
      <w:rFonts w:ascii="Tahoma" w:eastAsia="Calibri" w:hAnsi="Tahoma" w:cs="Tahoma"/>
      <w:sz w:val="16"/>
      <w:szCs w:val="16"/>
      <w:lang w:eastAsia="en-US"/>
    </w:rPr>
  </w:style>
  <w:style w:type="paragraph" w:customStyle="1" w:styleId="Corpsdetexte21">
    <w:name w:val="Corps de texte 21"/>
    <w:basedOn w:val="Normal"/>
    <w:rsid w:val="003C4491"/>
    <w:pPr>
      <w:spacing w:line="240" w:lineRule="auto"/>
    </w:pPr>
    <w:rPr>
      <w:rFonts w:ascii="Times New Roman" w:eastAsia="Times New Roman" w:hAnsi="Times New Roman"/>
      <w:sz w:val="24"/>
      <w:szCs w:val="20"/>
      <w:lang w:eastAsia="fr-FR"/>
    </w:rPr>
  </w:style>
  <w:style w:type="paragraph" w:customStyle="1" w:styleId="spip">
    <w:name w:val="spip"/>
    <w:basedOn w:val="Normal"/>
    <w:rsid w:val="00E84159"/>
    <w:pPr>
      <w:spacing w:before="100" w:beforeAutospacing="1" w:after="100" w:afterAutospacing="1" w:line="240" w:lineRule="auto"/>
      <w:jc w:val="left"/>
    </w:pPr>
    <w:rPr>
      <w:rFonts w:ascii="Times New Roman" w:eastAsia="Times New Roman" w:hAnsi="Times New Roman"/>
      <w:sz w:val="24"/>
      <w:szCs w:val="24"/>
      <w:lang w:eastAsia="fr-FR"/>
    </w:rPr>
  </w:style>
  <w:style w:type="character" w:styleId="lev">
    <w:name w:val="Strong"/>
    <w:basedOn w:val="Policepardfaut"/>
    <w:uiPriority w:val="22"/>
    <w:qFormat/>
    <w:rsid w:val="00E84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2862">
      <w:bodyDiv w:val="1"/>
      <w:marLeft w:val="0"/>
      <w:marRight w:val="0"/>
      <w:marTop w:val="0"/>
      <w:marBottom w:val="0"/>
      <w:divBdr>
        <w:top w:val="none" w:sz="0" w:space="0" w:color="auto"/>
        <w:left w:val="none" w:sz="0" w:space="0" w:color="auto"/>
        <w:bottom w:val="none" w:sz="0" w:space="0" w:color="auto"/>
        <w:right w:val="none" w:sz="0" w:space="0" w:color="auto"/>
      </w:divBdr>
    </w:div>
    <w:div w:id="41489723">
      <w:bodyDiv w:val="1"/>
      <w:marLeft w:val="0"/>
      <w:marRight w:val="0"/>
      <w:marTop w:val="0"/>
      <w:marBottom w:val="0"/>
      <w:divBdr>
        <w:top w:val="none" w:sz="0" w:space="0" w:color="auto"/>
        <w:left w:val="none" w:sz="0" w:space="0" w:color="auto"/>
        <w:bottom w:val="none" w:sz="0" w:space="0" w:color="auto"/>
        <w:right w:val="none" w:sz="0" w:space="0" w:color="auto"/>
      </w:divBdr>
    </w:div>
    <w:div w:id="76489851">
      <w:bodyDiv w:val="1"/>
      <w:marLeft w:val="0"/>
      <w:marRight w:val="0"/>
      <w:marTop w:val="0"/>
      <w:marBottom w:val="0"/>
      <w:divBdr>
        <w:top w:val="none" w:sz="0" w:space="0" w:color="auto"/>
        <w:left w:val="none" w:sz="0" w:space="0" w:color="auto"/>
        <w:bottom w:val="none" w:sz="0" w:space="0" w:color="auto"/>
        <w:right w:val="none" w:sz="0" w:space="0" w:color="auto"/>
      </w:divBdr>
    </w:div>
    <w:div w:id="78216872">
      <w:bodyDiv w:val="1"/>
      <w:marLeft w:val="0"/>
      <w:marRight w:val="0"/>
      <w:marTop w:val="0"/>
      <w:marBottom w:val="0"/>
      <w:divBdr>
        <w:top w:val="none" w:sz="0" w:space="0" w:color="auto"/>
        <w:left w:val="none" w:sz="0" w:space="0" w:color="auto"/>
        <w:bottom w:val="none" w:sz="0" w:space="0" w:color="auto"/>
        <w:right w:val="none" w:sz="0" w:space="0" w:color="auto"/>
      </w:divBdr>
    </w:div>
    <w:div w:id="99762908">
      <w:bodyDiv w:val="1"/>
      <w:marLeft w:val="0"/>
      <w:marRight w:val="0"/>
      <w:marTop w:val="0"/>
      <w:marBottom w:val="0"/>
      <w:divBdr>
        <w:top w:val="none" w:sz="0" w:space="0" w:color="auto"/>
        <w:left w:val="none" w:sz="0" w:space="0" w:color="auto"/>
        <w:bottom w:val="none" w:sz="0" w:space="0" w:color="auto"/>
        <w:right w:val="none" w:sz="0" w:space="0" w:color="auto"/>
      </w:divBdr>
    </w:div>
    <w:div w:id="109014363">
      <w:bodyDiv w:val="1"/>
      <w:marLeft w:val="0"/>
      <w:marRight w:val="0"/>
      <w:marTop w:val="0"/>
      <w:marBottom w:val="0"/>
      <w:divBdr>
        <w:top w:val="none" w:sz="0" w:space="0" w:color="auto"/>
        <w:left w:val="none" w:sz="0" w:space="0" w:color="auto"/>
        <w:bottom w:val="none" w:sz="0" w:space="0" w:color="auto"/>
        <w:right w:val="none" w:sz="0" w:space="0" w:color="auto"/>
      </w:divBdr>
    </w:div>
    <w:div w:id="161244462">
      <w:bodyDiv w:val="1"/>
      <w:marLeft w:val="0"/>
      <w:marRight w:val="0"/>
      <w:marTop w:val="0"/>
      <w:marBottom w:val="0"/>
      <w:divBdr>
        <w:top w:val="none" w:sz="0" w:space="0" w:color="auto"/>
        <w:left w:val="none" w:sz="0" w:space="0" w:color="auto"/>
        <w:bottom w:val="none" w:sz="0" w:space="0" w:color="auto"/>
        <w:right w:val="none" w:sz="0" w:space="0" w:color="auto"/>
      </w:divBdr>
    </w:div>
    <w:div w:id="177164579">
      <w:bodyDiv w:val="1"/>
      <w:marLeft w:val="0"/>
      <w:marRight w:val="0"/>
      <w:marTop w:val="0"/>
      <w:marBottom w:val="0"/>
      <w:divBdr>
        <w:top w:val="none" w:sz="0" w:space="0" w:color="auto"/>
        <w:left w:val="none" w:sz="0" w:space="0" w:color="auto"/>
        <w:bottom w:val="none" w:sz="0" w:space="0" w:color="auto"/>
        <w:right w:val="none" w:sz="0" w:space="0" w:color="auto"/>
      </w:divBdr>
    </w:div>
    <w:div w:id="181554729">
      <w:bodyDiv w:val="1"/>
      <w:marLeft w:val="0"/>
      <w:marRight w:val="0"/>
      <w:marTop w:val="0"/>
      <w:marBottom w:val="0"/>
      <w:divBdr>
        <w:top w:val="none" w:sz="0" w:space="0" w:color="auto"/>
        <w:left w:val="none" w:sz="0" w:space="0" w:color="auto"/>
        <w:bottom w:val="none" w:sz="0" w:space="0" w:color="auto"/>
        <w:right w:val="none" w:sz="0" w:space="0" w:color="auto"/>
      </w:divBdr>
    </w:div>
    <w:div w:id="184026233">
      <w:bodyDiv w:val="1"/>
      <w:marLeft w:val="0"/>
      <w:marRight w:val="0"/>
      <w:marTop w:val="0"/>
      <w:marBottom w:val="0"/>
      <w:divBdr>
        <w:top w:val="none" w:sz="0" w:space="0" w:color="auto"/>
        <w:left w:val="none" w:sz="0" w:space="0" w:color="auto"/>
        <w:bottom w:val="none" w:sz="0" w:space="0" w:color="auto"/>
        <w:right w:val="none" w:sz="0" w:space="0" w:color="auto"/>
      </w:divBdr>
    </w:div>
    <w:div w:id="217516723">
      <w:bodyDiv w:val="1"/>
      <w:marLeft w:val="0"/>
      <w:marRight w:val="0"/>
      <w:marTop w:val="0"/>
      <w:marBottom w:val="0"/>
      <w:divBdr>
        <w:top w:val="none" w:sz="0" w:space="0" w:color="auto"/>
        <w:left w:val="none" w:sz="0" w:space="0" w:color="auto"/>
        <w:bottom w:val="none" w:sz="0" w:space="0" w:color="auto"/>
        <w:right w:val="none" w:sz="0" w:space="0" w:color="auto"/>
      </w:divBdr>
    </w:div>
    <w:div w:id="238560044">
      <w:bodyDiv w:val="1"/>
      <w:marLeft w:val="0"/>
      <w:marRight w:val="0"/>
      <w:marTop w:val="0"/>
      <w:marBottom w:val="0"/>
      <w:divBdr>
        <w:top w:val="none" w:sz="0" w:space="0" w:color="auto"/>
        <w:left w:val="none" w:sz="0" w:space="0" w:color="auto"/>
        <w:bottom w:val="none" w:sz="0" w:space="0" w:color="auto"/>
        <w:right w:val="none" w:sz="0" w:space="0" w:color="auto"/>
      </w:divBdr>
    </w:div>
    <w:div w:id="425424609">
      <w:bodyDiv w:val="1"/>
      <w:marLeft w:val="0"/>
      <w:marRight w:val="0"/>
      <w:marTop w:val="0"/>
      <w:marBottom w:val="0"/>
      <w:divBdr>
        <w:top w:val="none" w:sz="0" w:space="0" w:color="auto"/>
        <w:left w:val="none" w:sz="0" w:space="0" w:color="auto"/>
        <w:bottom w:val="none" w:sz="0" w:space="0" w:color="auto"/>
        <w:right w:val="none" w:sz="0" w:space="0" w:color="auto"/>
      </w:divBdr>
    </w:div>
    <w:div w:id="477652778">
      <w:bodyDiv w:val="1"/>
      <w:marLeft w:val="0"/>
      <w:marRight w:val="0"/>
      <w:marTop w:val="0"/>
      <w:marBottom w:val="0"/>
      <w:divBdr>
        <w:top w:val="none" w:sz="0" w:space="0" w:color="auto"/>
        <w:left w:val="none" w:sz="0" w:space="0" w:color="auto"/>
        <w:bottom w:val="none" w:sz="0" w:space="0" w:color="auto"/>
        <w:right w:val="none" w:sz="0" w:space="0" w:color="auto"/>
      </w:divBdr>
    </w:div>
    <w:div w:id="479157816">
      <w:bodyDiv w:val="1"/>
      <w:marLeft w:val="0"/>
      <w:marRight w:val="0"/>
      <w:marTop w:val="0"/>
      <w:marBottom w:val="0"/>
      <w:divBdr>
        <w:top w:val="none" w:sz="0" w:space="0" w:color="auto"/>
        <w:left w:val="none" w:sz="0" w:space="0" w:color="auto"/>
        <w:bottom w:val="none" w:sz="0" w:space="0" w:color="auto"/>
        <w:right w:val="none" w:sz="0" w:space="0" w:color="auto"/>
      </w:divBdr>
    </w:div>
    <w:div w:id="491526456">
      <w:bodyDiv w:val="1"/>
      <w:marLeft w:val="0"/>
      <w:marRight w:val="0"/>
      <w:marTop w:val="0"/>
      <w:marBottom w:val="0"/>
      <w:divBdr>
        <w:top w:val="none" w:sz="0" w:space="0" w:color="auto"/>
        <w:left w:val="none" w:sz="0" w:space="0" w:color="auto"/>
        <w:bottom w:val="none" w:sz="0" w:space="0" w:color="auto"/>
        <w:right w:val="none" w:sz="0" w:space="0" w:color="auto"/>
      </w:divBdr>
    </w:div>
    <w:div w:id="512718907">
      <w:bodyDiv w:val="1"/>
      <w:marLeft w:val="0"/>
      <w:marRight w:val="0"/>
      <w:marTop w:val="0"/>
      <w:marBottom w:val="0"/>
      <w:divBdr>
        <w:top w:val="none" w:sz="0" w:space="0" w:color="auto"/>
        <w:left w:val="none" w:sz="0" w:space="0" w:color="auto"/>
        <w:bottom w:val="none" w:sz="0" w:space="0" w:color="auto"/>
        <w:right w:val="none" w:sz="0" w:space="0" w:color="auto"/>
      </w:divBdr>
    </w:div>
    <w:div w:id="521166440">
      <w:bodyDiv w:val="1"/>
      <w:marLeft w:val="0"/>
      <w:marRight w:val="0"/>
      <w:marTop w:val="0"/>
      <w:marBottom w:val="0"/>
      <w:divBdr>
        <w:top w:val="none" w:sz="0" w:space="0" w:color="auto"/>
        <w:left w:val="none" w:sz="0" w:space="0" w:color="auto"/>
        <w:bottom w:val="none" w:sz="0" w:space="0" w:color="auto"/>
        <w:right w:val="none" w:sz="0" w:space="0" w:color="auto"/>
      </w:divBdr>
    </w:div>
    <w:div w:id="533080185">
      <w:bodyDiv w:val="1"/>
      <w:marLeft w:val="0"/>
      <w:marRight w:val="0"/>
      <w:marTop w:val="0"/>
      <w:marBottom w:val="0"/>
      <w:divBdr>
        <w:top w:val="none" w:sz="0" w:space="0" w:color="auto"/>
        <w:left w:val="none" w:sz="0" w:space="0" w:color="auto"/>
        <w:bottom w:val="none" w:sz="0" w:space="0" w:color="auto"/>
        <w:right w:val="none" w:sz="0" w:space="0" w:color="auto"/>
      </w:divBdr>
    </w:div>
    <w:div w:id="537161754">
      <w:bodyDiv w:val="1"/>
      <w:marLeft w:val="0"/>
      <w:marRight w:val="0"/>
      <w:marTop w:val="0"/>
      <w:marBottom w:val="0"/>
      <w:divBdr>
        <w:top w:val="none" w:sz="0" w:space="0" w:color="auto"/>
        <w:left w:val="none" w:sz="0" w:space="0" w:color="auto"/>
        <w:bottom w:val="none" w:sz="0" w:space="0" w:color="auto"/>
        <w:right w:val="none" w:sz="0" w:space="0" w:color="auto"/>
      </w:divBdr>
    </w:div>
    <w:div w:id="583421865">
      <w:bodyDiv w:val="1"/>
      <w:marLeft w:val="0"/>
      <w:marRight w:val="0"/>
      <w:marTop w:val="0"/>
      <w:marBottom w:val="0"/>
      <w:divBdr>
        <w:top w:val="none" w:sz="0" w:space="0" w:color="auto"/>
        <w:left w:val="none" w:sz="0" w:space="0" w:color="auto"/>
        <w:bottom w:val="none" w:sz="0" w:space="0" w:color="auto"/>
        <w:right w:val="none" w:sz="0" w:space="0" w:color="auto"/>
      </w:divBdr>
    </w:div>
    <w:div w:id="624195330">
      <w:bodyDiv w:val="1"/>
      <w:marLeft w:val="0"/>
      <w:marRight w:val="0"/>
      <w:marTop w:val="0"/>
      <w:marBottom w:val="0"/>
      <w:divBdr>
        <w:top w:val="none" w:sz="0" w:space="0" w:color="auto"/>
        <w:left w:val="none" w:sz="0" w:space="0" w:color="auto"/>
        <w:bottom w:val="none" w:sz="0" w:space="0" w:color="auto"/>
        <w:right w:val="none" w:sz="0" w:space="0" w:color="auto"/>
      </w:divBdr>
    </w:div>
    <w:div w:id="645743067">
      <w:bodyDiv w:val="1"/>
      <w:marLeft w:val="0"/>
      <w:marRight w:val="0"/>
      <w:marTop w:val="0"/>
      <w:marBottom w:val="0"/>
      <w:divBdr>
        <w:top w:val="none" w:sz="0" w:space="0" w:color="auto"/>
        <w:left w:val="none" w:sz="0" w:space="0" w:color="auto"/>
        <w:bottom w:val="none" w:sz="0" w:space="0" w:color="auto"/>
        <w:right w:val="none" w:sz="0" w:space="0" w:color="auto"/>
      </w:divBdr>
    </w:div>
    <w:div w:id="647050722">
      <w:bodyDiv w:val="1"/>
      <w:marLeft w:val="0"/>
      <w:marRight w:val="0"/>
      <w:marTop w:val="0"/>
      <w:marBottom w:val="0"/>
      <w:divBdr>
        <w:top w:val="none" w:sz="0" w:space="0" w:color="auto"/>
        <w:left w:val="none" w:sz="0" w:space="0" w:color="auto"/>
        <w:bottom w:val="none" w:sz="0" w:space="0" w:color="auto"/>
        <w:right w:val="none" w:sz="0" w:space="0" w:color="auto"/>
      </w:divBdr>
    </w:div>
    <w:div w:id="683433603">
      <w:bodyDiv w:val="1"/>
      <w:marLeft w:val="0"/>
      <w:marRight w:val="0"/>
      <w:marTop w:val="0"/>
      <w:marBottom w:val="0"/>
      <w:divBdr>
        <w:top w:val="none" w:sz="0" w:space="0" w:color="auto"/>
        <w:left w:val="none" w:sz="0" w:space="0" w:color="auto"/>
        <w:bottom w:val="none" w:sz="0" w:space="0" w:color="auto"/>
        <w:right w:val="none" w:sz="0" w:space="0" w:color="auto"/>
      </w:divBdr>
    </w:div>
    <w:div w:id="694380757">
      <w:bodyDiv w:val="1"/>
      <w:marLeft w:val="0"/>
      <w:marRight w:val="0"/>
      <w:marTop w:val="0"/>
      <w:marBottom w:val="0"/>
      <w:divBdr>
        <w:top w:val="none" w:sz="0" w:space="0" w:color="auto"/>
        <w:left w:val="none" w:sz="0" w:space="0" w:color="auto"/>
        <w:bottom w:val="none" w:sz="0" w:space="0" w:color="auto"/>
        <w:right w:val="none" w:sz="0" w:space="0" w:color="auto"/>
      </w:divBdr>
    </w:div>
    <w:div w:id="718285320">
      <w:bodyDiv w:val="1"/>
      <w:marLeft w:val="0"/>
      <w:marRight w:val="0"/>
      <w:marTop w:val="0"/>
      <w:marBottom w:val="0"/>
      <w:divBdr>
        <w:top w:val="none" w:sz="0" w:space="0" w:color="auto"/>
        <w:left w:val="none" w:sz="0" w:space="0" w:color="auto"/>
        <w:bottom w:val="none" w:sz="0" w:space="0" w:color="auto"/>
        <w:right w:val="none" w:sz="0" w:space="0" w:color="auto"/>
      </w:divBdr>
    </w:div>
    <w:div w:id="757212661">
      <w:bodyDiv w:val="1"/>
      <w:marLeft w:val="0"/>
      <w:marRight w:val="0"/>
      <w:marTop w:val="0"/>
      <w:marBottom w:val="0"/>
      <w:divBdr>
        <w:top w:val="none" w:sz="0" w:space="0" w:color="auto"/>
        <w:left w:val="none" w:sz="0" w:space="0" w:color="auto"/>
        <w:bottom w:val="none" w:sz="0" w:space="0" w:color="auto"/>
        <w:right w:val="none" w:sz="0" w:space="0" w:color="auto"/>
      </w:divBdr>
    </w:div>
    <w:div w:id="766072658">
      <w:bodyDiv w:val="1"/>
      <w:marLeft w:val="0"/>
      <w:marRight w:val="0"/>
      <w:marTop w:val="0"/>
      <w:marBottom w:val="0"/>
      <w:divBdr>
        <w:top w:val="none" w:sz="0" w:space="0" w:color="auto"/>
        <w:left w:val="none" w:sz="0" w:space="0" w:color="auto"/>
        <w:bottom w:val="none" w:sz="0" w:space="0" w:color="auto"/>
        <w:right w:val="none" w:sz="0" w:space="0" w:color="auto"/>
      </w:divBdr>
    </w:div>
    <w:div w:id="834683444">
      <w:bodyDiv w:val="1"/>
      <w:marLeft w:val="0"/>
      <w:marRight w:val="0"/>
      <w:marTop w:val="0"/>
      <w:marBottom w:val="0"/>
      <w:divBdr>
        <w:top w:val="none" w:sz="0" w:space="0" w:color="auto"/>
        <w:left w:val="none" w:sz="0" w:space="0" w:color="auto"/>
        <w:bottom w:val="none" w:sz="0" w:space="0" w:color="auto"/>
        <w:right w:val="none" w:sz="0" w:space="0" w:color="auto"/>
      </w:divBdr>
    </w:div>
    <w:div w:id="855583700">
      <w:bodyDiv w:val="1"/>
      <w:marLeft w:val="0"/>
      <w:marRight w:val="0"/>
      <w:marTop w:val="0"/>
      <w:marBottom w:val="0"/>
      <w:divBdr>
        <w:top w:val="none" w:sz="0" w:space="0" w:color="auto"/>
        <w:left w:val="none" w:sz="0" w:space="0" w:color="auto"/>
        <w:bottom w:val="none" w:sz="0" w:space="0" w:color="auto"/>
        <w:right w:val="none" w:sz="0" w:space="0" w:color="auto"/>
      </w:divBdr>
    </w:div>
    <w:div w:id="878786164">
      <w:bodyDiv w:val="1"/>
      <w:marLeft w:val="0"/>
      <w:marRight w:val="0"/>
      <w:marTop w:val="0"/>
      <w:marBottom w:val="0"/>
      <w:divBdr>
        <w:top w:val="none" w:sz="0" w:space="0" w:color="auto"/>
        <w:left w:val="none" w:sz="0" w:space="0" w:color="auto"/>
        <w:bottom w:val="none" w:sz="0" w:space="0" w:color="auto"/>
        <w:right w:val="none" w:sz="0" w:space="0" w:color="auto"/>
      </w:divBdr>
    </w:div>
    <w:div w:id="915893174">
      <w:bodyDiv w:val="1"/>
      <w:marLeft w:val="0"/>
      <w:marRight w:val="0"/>
      <w:marTop w:val="0"/>
      <w:marBottom w:val="0"/>
      <w:divBdr>
        <w:top w:val="none" w:sz="0" w:space="0" w:color="auto"/>
        <w:left w:val="none" w:sz="0" w:space="0" w:color="auto"/>
        <w:bottom w:val="none" w:sz="0" w:space="0" w:color="auto"/>
        <w:right w:val="none" w:sz="0" w:space="0" w:color="auto"/>
      </w:divBdr>
    </w:div>
    <w:div w:id="986860584">
      <w:bodyDiv w:val="1"/>
      <w:marLeft w:val="0"/>
      <w:marRight w:val="0"/>
      <w:marTop w:val="0"/>
      <w:marBottom w:val="0"/>
      <w:divBdr>
        <w:top w:val="none" w:sz="0" w:space="0" w:color="auto"/>
        <w:left w:val="none" w:sz="0" w:space="0" w:color="auto"/>
        <w:bottom w:val="none" w:sz="0" w:space="0" w:color="auto"/>
        <w:right w:val="none" w:sz="0" w:space="0" w:color="auto"/>
      </w:divBdr>
    </w:div>
    <w:div w:id="1007901094">
      <w:bodyDiv w:val="1"/>
      <w:marLeft w:val="0"/>
      <w:marRight w:val="0"/>
      <w:marTop w:val="0"/>
      <w:marBottom w:val="0"/>
      <w:divBdr>
        <w:top w:val="none" w:sz="0" w:space="0" w:color="auto"/>
        <w:left w:val="none" w:sz="0" w:space="0" w:color="auto"/>
        <w:bottom w:val="none" w:sz="0" w:space="0" w:color="auto"/>
        <w:right w:val="none" w:sz="0" w:space="0" w:color="auto"/>
      </w:divBdr>
    </w:div>
    <w:div w:id="1029648344">
      <w:bodyDiv w:val="1"/>
      <w:marLeft w:val="0"/>
      <w:marRight w:val="0"/>
      <w:marTop w:val="0"/>
      <w:marBottom w:val="0"/>
      <w:divBdr>
        <w:top w:val="none" w:sz="0" w:space="0" w:color="auto"/>
        <w:left w:val="none" w:sz="0" w:space="0" w:color="auto"/>
        <w:bottom w:val="none" w:sz="0" w:space="0" w:color="auto"/>
        <w:right w:val="none" w:sz="0" w:space="0" w:color="auto"/>
      </w:divBdr>
    </w:div>
    <w:div w:id="1200823826">
      <w:bodyDiv w:val="1"/>
      <w:marLeft w:val="0"/>
      <w:marRight w:val="0"/>
      <w:marTop w:val="0"/>
      <w:marBottom w:val="0"/>
      <w:divBdr>
        <w:top w:val="none" w:sz="0" w:space="0" w:color="auto"/>
        <w:left w:val="none" w:sz="0" w:space="0" w:color="auto"/>
        <w:bottom w:val="none" w:sz="0" w:space="0" w:color="auto"/>
        <w:right w:val="none" w:sz="0" w:space="0" w:color="auto"/>
      </w:divBdr>
    </w:div>
    <w:div w:id="1290432986">
      <w:bodyDiv w:val="1"/>
      <w:marLeft w:val="0"/>
      <w:marRight w:val="0"/>
      <w:marTop w:val="0"/>
      <w:marBottom w:val="0"/>
      <w:divBdr>
        <w:top w:val="none" w:sz="0" w:space="0" w:color="auto"/>
        <w:left w:val="none" w:sz="0" w:space="0" w:color="auto"/>
        <w:bottom w:val="none" w:sz="0" w:space="0" w:color="auto"/>
        <w:right w:val="none" w:sz="0" w:space="0" w:color="auto"/>
      </w:divBdr>
    </w:div>
    <w:div w:id="1314988920">
      <w:bodyDiv w:val="1"/>
      <w:marLeft w:val="0"/>
      <w:marRight w:val="0"/>
      <w:marTop w:val="0"/>
      <w:marBottom w:val="0"/>
      <w:divBdr>
        <w:top w:val="none" w:sz="0" w:space="0" w:color="auto"/>
        <w:left w:val="none" w:sz="0" w:space="0" w:color="auto"/>
        <w:bottom w:val="none" w:sz="0" w:space="0" w:color="auto"/>
        <w:right w:val="none" w:sz="0" w:space="0" w:color="auto"/>
      </w:divBdr>
    </w:div>
    <w:div w:id="1334143486">
      <w:bodyDiv w:val="1"/>
      <w:marLeft w:val="0"/>
      <w:marRight w:val="0"/>
      <w:marTop w:val="0"/>
      <w:marBottom w:val="0"/>
      <w:divBdr>
        <w:top w:val="none" w:sz="0" w:space="0" w:color="auto"/>
        <w:left w:val="none" w:sz="0" w:space="0" w:color="auto"/>
        <w:bottom w:val="none" w:sz="0" w:space="0" w:color="auto"/>
        <w:right w:val="none" w:sz="0" w:space="0" w:color="auto"/>
      </w:divBdr>
    </w:div>
    <w:div w:id="1368287987">
      <w:bodyDiv w:val="1"/>
      <w:marLeft w:val="0"/>
      <w:marRight w:val="0"/>
      <w:marTop w:val="0"/>
      <w:marBottom w:val="0"/>
      <w:divBdr>
        <w:top w:val="none" w:sz="0" w:space="0" w:color="auto"/>
        <w:left w:val="none" w:sz="0" w:space="0" w:color="auto"/>
        <w:bottom w:val="none" w:sz="0" w:space="0" w:color="auto"/>
        <w:right w:val="none" w:sz="0" w:space="0" w:color="auto"/>
      </w:divBdr>
    </w:div>
    <w:div w:id="1372799123">
      <w:bodyDiv w:val="1"/>
      <w:marLeft w:val="0"/>
      <w:marRight w:val="0"/>
      <w:marTop w:val="0"/>
      <w:marBottom w:val="0"/>
      <w:divBdr>
        <w:top w:val="none" w:sz="0" w:space="0" w:color="auto"/>
        <w:left w:val="none" w:sz="0" w:space="0" w:color="auto"/>
        <w:bottom w:val="none" w:sz="0" w:space="0" w:color="auto"/>
        <w:right w:val="none" w:sz="0" w:space="0" w:color="auto"/>
      </w:divBdr>
    </w:div>
    <w:div w:id="1443260580">
      <w:bodyDiv w:val="1"/>
      <w:marLeft w:val="0"/>
      <w:marRight w:val="0"/>
      <w:marTop w:val="0"/>
      <w:marBottom w:val="0"/>
      <w:divBdr>
        <w:top w:val="none" w:sz="0" w:space="0" w:color="auto"/>
        <w:left w:val="none" w:sz="0" w:space="0" w:color="auto"/>
        <w:bottom w:val="none" w:sz="0" w:space="0" w:color="auto"/>
        <w:right w:val="none" w:sz="0" w:space="0" w:color="auto"/>
      </w:divBdr>
    </w:div>
    <w:div w:id="1468662419">
      <w:bodyDiv w:val="1"/>
      <w:marLeft w:val="0"/>
      <w:marRight w:val="0"/>
      <w:marTop w:val="0"/>
      <w:marBottom w:val="0"/>
      <w:divBdr>
        <w:top w:val="none" w:sz="0" w:space="0" w:color="auto"/>
        <w:left w:val="none" w:sz="0" w:space="0" w:color="auto"/>
        <w:bottom w:val="none" w:sz="0" w:space="0" w:color="auto"/>
        <w:right w:val="none" w:sz="0" w:space="0" w:color="auto"/>
      </w:divBdr>
    </w:div>
    <w:div w:id="1535192680">
      <w:bodyDiv w:val="1"/>
      <w:marLeft w:val="0"/>
      <w:marRight w:val="0"/>
      <w:marTop w:val="0"/>
      <w:marBottom w:val="0"/>
      <w:divBdr>
        <w:top w:val="none" w:sz="0" w:space="0" w:color="auto"/>
        <w:left w:val="none" w:sz="0" w:space="0" w:color="auto"/>
        <w:bottom w:val="none" w:sz="0" w:space="0" w:color="auto"/>
        <w:right w:val="none" w:sz="0" w:space="0" w:color="auto"/>
      </w:divBdr>
    </w:div>
    <w:div w:id="1555266620">
      <w:bodyDiv w:val="1"/>
      <w:marLeft w:val="0"/>
      <w:marRight w:val="0"/>
      <w:marTop w:val="0"/>
      <w:marBottom w:val="0"/>
      <w:divBdr>
        <w:top w:val="none" w:sz="0" w:space="0" w:color="auto"/>
        <w:left w:val="none" w:sz="0" w:space="0" w:color="auto"/>
        <w:bottom w:val="none" w:sz="0" w:space="0" w:color="auto"/>
        <w:right w:val="none" w:sz="0" w:space="0" w:color="auto"/>
      </w:divBdr>
    </w:div>
    <w:div w:id="1563371105">
      <w:bodyDiv w:val="1"/>
      <w:marLeft w:val="0"/>
      <w:marRight w:val="0"/>
      <w:marTop w:val="0"/>
      <w:marBottom w:val="0"/>
      <w:divBdr>
        <w:top w:val="none" w:sz="0" w:space="0" w:color="auto"/>
        <w:left w:val="none" w:sz="0" w:space="0" w:color="auto"/>
        <w:bottom w:val="none" w:sz="0" w:space="0" w:color="auto"/>
        <w:right w:val="none" w:sz="0" w:space="0" w:color="auto"/>
      </w:divBdr>
    </w:div>
    <w:div w:id="1570916778">
      <w:bodyDiv w:val="1"/>
      <w:marLeft w:val="0"/>
      <w:marRight w:val="0"/>
      <w:marTop w:val="0"/>
      <w:marBottom w:val="0"/>
      <w:divBdr>
        <w:top w:val="none" w:sz="0" w:space="0" w:color="auto"/>
        <w:left w:val="none" w:sz="0" w:space="0" w:color="auto"/>
        <w:bottom w:val="none" w:sz="0" w:space="0" w:color="auto"/>
        <w:right w:val="none" w:sz="0" w:space="0" w:color="auto"/>
      </w:divBdr>
    </w:div>
    <w:div w:id="1584491255">
      <w:bodyDiv w:val="1"/>
      <w:marLeft w:val="0"/>
      <w:marRight w:val="0"/>
      <w:marTop w:val="0"/>
      <w:marBottom w:val="0"/>
      <w:divBdr>
        <w:top w:val="none" w:sz="0" w:space="0" w:color="auto"/>
        <w:left w:val="none" w:sz="0" w:space="0" w:color="auto"/>
        <w:bottom w:val="none" w:sz="0" w:space="0" w:color="auto"/>
        <w:right w:val="none" w:sz="0" w:space="0" w:color="auto"/>
      </w:divBdr>
    </w:div>
    <w:div w:id="1635329734">
      <w:bodyDiv w:val="1"/>
      <w:marLeft w:val="0"/>
      <w:marRight w:val="0"/>
      <w:marTop w:val="0"/>
      <w:marBottom w:val="0"/>
      <w:divBdr>
        <w:top w:val="none" w:sz="0" w:space="0" w:color="auto"/>
        <w:left w:val="none" w:sz="0" w:space="0" w:color="auto"/>
        <w:bottom w:val="none" w:sz="0" w:space="0" w:color="auto"/>
        <w:right w:val="none" w:sz="0" w:space="0" w:color="auto"/>
      </w:divBdr>
    </w:div>
    <w:div w:id="1645236504">
      <w:bodyDiv w:val="1"/>
      <w:marLeft w:val="0"/>
      <w:marRight w:val="0"/>
      <w:marTop w:val="0"/>
      <w:marBottom w:val="0"/>
      <w:divBdr>
        <w:top w:val="none" w:sz="0" w:space="0" w:color="auto"/>
        <w:left w:val="none" w:sz="0" w:space="0" w:color="auto"/>
        <w:bottom w:val="none" w:sz="0" w:space="0" w:color="auto"/>
        <w:right w:val="none" w:sz="0" w:space="0" w:color="auto"/>
      </w:divBdr>
    </w:div>
    <w:div w:id="1696928558">
      <w:bodyDiv w:val="1"/>
      <w:marLeft w:val="0"/>
      <w:marRight w:val="0"/>
      <w:marTop w:val="0"/>
      <w:marBottom w:val="0"/>
      <w:divBdr>
        <w:top w:val="none" w:sz="0" w:space="0" w:color="auto"/>
        <w:left w:val="none" w:sz="0" w:space="0" w:color="auto"/>
        <w:bottom w:val="none" w:sz="0" w:space="0" w:color="auto"/>
        <w:right w:val="none" w:sz="0" w:space="0" w:color="auto"/>
      </w:divBdr>
    </w:div>
    <w:div w:id="1735661209">
      <w:bodyDiv w:val="1"/>
      <w:marLeft w:val="0"/>
      <w:marRight w:val="0"/>
      <w:marTop w:val="0"/>
      <w:marBottom w:val="0"/>
      <w:divBdr>
        <w:top w:val="none" w:sz="0" w:space="0" w:color="auto"/>
        <w:left w:val="none" w:sz="0" w:space="0" w:color="auto"/>
        <w:bottom w:val="none" w:sz="0" w:space="0" w:color="auto"/>
        <w:right w:val="none" w:sz="0" w:space="0" w:color="auto"/>
      </w:divBdr>
    </w:div>
    <w:div w:id="1743209900">
      <w:bodyDiv w:val="1"/>
      <w:marLeft w:val="0"/>
      <w:marRight w:val="0"/>
      <w:marTop w:val="0"/>
      <w:marBottom w:val="0"/>
      <w:divBdr>
        <w:top w:val="none" w:sz="0" w:space="0" w:color="auto"/>
        <w:left w:val="none" w:sz="0" w:space="0" w:color="auto"/>
        <w:bottom w:val="none" w:sz="0" w:space="0" w:color="auto"/>
        <w:right w:val="none" w:sz="0" w:space="0" w:color="auto"/>
      </w:divBdr>
    </w:div>
    <w:div w:id="1859201364">
      <w:bodyDiv w:val="1"/>
      <w:marLeft w:val="0"/>
      <w:marRight w:val="0"/>
      <w:marTop w:val="0"/>
      <w:marBottom w:val="0"/>
      <w:divBdr>
        <w:top w:val="none" w:sz="0" w:space="0" w:color="auto"/>
        <w:left w:val="none" w:sz="0" w:space="0" w:color="auto"/>
        <w:bottom w:val="none" w:sz="0" w:space="0" w:color="auto"/>
        <w:right w:val="none" w:sz="0" w:space="0" w:color="auto"/>
      </w:divBdr>
    </w:div>
    <w:div w:id="1868595018">
      <w:bodyDiv w:val="1"/>
      <w:marLeft w:val="0"/>
      <w:marRight w:val="0"/>
      <w:marTop w:val="0"/>
      <w:marBottom w:val="0"/>
      <w:divBdr>
        <w:top w:val="none" w:sz="0" w:space="0" w:color="auto"/>
        <w:left w:val="none" w:sz="0" w:space="0" w:color="auto"/>
        <w:bottom w:val="none" w:sz="0" w:space="0" w:color="auto"/>
        <w:right w:val="none" w:sz="0" w:space="0" w:color="auto"/>
      </w:divBdr>
    </w:div>
    <w:div w:id="1874616164">
      <w:bodyDiv w:val="1"/>
      <w:marLeft w:val="0"/>
      <w:marRight w:val="0"/>
      <w:marTop w:val="0"/>
      <w:marBottom w:val="0"/>
      <w:divBdr>
        <w:top w:val="none" w:sz="0" w:space="0" w:color="auto"/>
        <w:left w:val="none" w:sz="0" w:space="0" w:color="auto"/>
        <w:bottom w:val="none" w:sz="0" w:space="0" w:color="auto"/>
        <w:right w:val="none" w:sz="0" w:space="0" w:color="auto"/>
      </w:divBdr>
    </w:div>
    <w:div w:id="1891260680">
      <w:bodyDiv w:val="1"/>
      <w:marLeft w:val="0"/>
      <w:marRight w:val="0"/>
      <w:marTop w:val="0"/>
      <w:marBottom w:val="0"/>
      <w:divBdr>
        <w:top w:val="none" w:sz="0" w:space="0" w:color="auto"/>
        <w:left w:val="none" w:sz="0" w:space="0" w:color="auto"/>
        <w:bottom w:val="none" w:sz="0" w:space="0" w:color="auto"/>
        <w:right w:val="none" w:sz="0" w:space="0" w:color="auto"/>
      </w:divBdr>
    </w:div>
    <w:div w:id="1964536752">
      <w:bodyDiv w:val="1"/>
      <w:marLeft w:val="0"/>
      <w:marRight w:val="0"/>
      <w:marTop w:val="0"/>
      <w:marBottom w:val="0"/>
      <w:divBdr>
        <w:top w:val="none" w:sz="0" w:space="0" w:color="auto"/>
        <w:left w:val="none" w:sz="0" w:space="0" w:color="auto"/>
        <w:bottom w:val="none" w:sz="0" w:space="0" w:color="auto"/>
        <w:right w:val="none" w:sz="0" w:space="0" w:color="auto"/>
      </w:divBdr>
    </w:div>
    <w:div w:id="1968778906">
      <w:bodyDiv w:val="1"/>
      <w:marLeft w:val="0"/>
      <w:marRight w:val="0"/>
      <w:marTop w:val="0"/>
      <w:marBottom w:val="0"/>
      <w:divBdr>
        <w:top w:val="none" w:sz="0" w:space="0" w:color="auto"/>
        <w:left w:val="none" w:sz="0" w:space="0" w:color="auto"/>
        <w:bottom w:val="none" w:sz="0" w:space="0" w:color="auto"/>
        <w:right w:val="none" w:sz="0" w:space="0" w:color="auto"/>
      </w:divBdr>
    </w:div>
    <w:div w:id="1989943094">
      <w:bodyDiv w:val="1"/>
      <w:marLeft w:val="0"/>
      <w:marRight w:val="0"/>
      <w:marTop w:val="0"/>
      <w:marBottom w:val="0"/>
      <w:divBdr>
        <w:top w:val="none" w:sz="0" w:space="0" w:color="auto"/>
        <w:left w:val="none" w:sz="0" w:space="0" w:color="auto"/>
        <w:bottom w:val="none" w:sz="0" w:space="0" w:color="auto"/>
        <w:right w:val="none" w:sz="0" w:space="0" w:color="auto"/>
      </w:divBdr>
    </w:div>
    <w:div w:id="2014069078">
      <w:bodyDiv w:val="1"/>
      <w:marLeft w:val="0"/>
      <w:marRight w:val="0"/>
      <w:marTop w:val="0"/>
      <w:marBottom w:val="0"/>
      <w:divBdr>
        <w:top w:val="none" w:sz="0" w:space="0" w:color="auto"/>
        <w:left w:val="none" w:sz="0" w:space="0" w:color="auto"/>
        <w:bottom w:val="none" w:sz="0" w:space="0" w:color="auto"/>
        <w:right w:val="none" w:sz="0" w:space="0" w:color="auto"/>
      </w:divBdr>
    </w:div>
    <w:div w:id="2042393333">
      <w:bodyDiv w:val="1"/>
      <w:marLeft w:val="0"/>
      <w:marRight w:val="0"/>
      <w:marTop w:val="0"/>
      <w:marBottom w:val="0"/>
      <w:divBdr>
        <w:top w:val="none" w:sz="0" w:space="0" w:color="auto"/>
        <w:left w:val="none" w:sz="0" w:space="0" w:color="auto"/>
        <w:bottom w:val="none" w:sz="0" w:space="0" w:color="auto"/>
        <w:right w:val="none" w:sz="0" w:space="0" w:color="auto"/>
      </w:divBdr>
    </w:div>
    <w:div w:id="2068263891">
      <w:bodyDiv w:val="1"/>
      <w:marLeft w:val="0"/>
      <w:marRight w:val="0"/>
      <w:marTop w:val="0"/>
      <w:marBottom w:val="0"/>
      <w:divBdr>
        <w:top w:val="none" w:sz="0" w:space="0" w:color="auto"/>
        <w:left w:val="none" w:sz="0" w:space="0" w:color="auto"/>
        <w:bottom w:val="none" w:sz="0" w:space="0" w:color="auto"/>
        <w:right w:val="none" w:sz="0" w:space="0" w:color="auto"/>
      </w:divBdr>
    </w:div>
    <w:div w:id="2072001513">
      <w:bodyDiv w:val="1"/>
      <w:marLeft w:val="0"/>
      <w:marRight w:val="0"/>
      <w:marTop w:val="0"/>
      <w:marBottom w:val="0"/>
      <w:divBdr>
        <w:top w:val="none" w:sz="0" w:space="0" w:color="auto"/>
        <w:left w:val="none" w:sz="0" w:space="0" w:color="auto"/>
        <w:bottom w:val="none" w:sz="0" w:space="0" w:color="auto"/>
        <w:right w:val="none" w:sz="0" w:space="0" w:color="auto"/>
      </w:divBdr>
    </w:div>
    <w:div w:id="2121996528">
      <w:bodyDiv w:val="1"/>
      <w:marLeft w:val="0"/>
      <w:marRight w:val="0"/>
      <w:marTop w:val="0"/>
      <w:marBottom w:val="0"/>
      <w:divBdr>
        <w:top w:val="none" w:sz="0" w:space="0" w:color="auto"/>
        <w:left w:val="none" w:sz="0" w:space="0" w:color="auto"/>
        <w:bottom w:val="none" w:sz="0" w:space="0" w:color="auto"/>
        <w:right w:val="none" w:sz="0" w:space="0" w:color="auto"/>
      </w:divBdr>
    </w:div>
    <w:div w:id="2122139323">
      <w:bodyDiv w:val="1"/>
      <w:marLeft w:val="0"/>
      <w:marRight w:val="0"/>
      <w:marTop w:val="0"/>
      <w:marBottom w:val="0"/>
      <w:divBdr>
        <w:top w:val="none" w:sz="0" w:space="0" w:color="auto"/>
        <w:left w:val="none" w:sz="0" w:space="0" w:color="auto"/>
        <w:bottom w:val="none" w:sz="0" w:space="0" w:color="auto"/>
        <w:right w:val="none" w:sz="0" w:space="0" w:color="auto"/>
      </w:divBdr>
    </w:div>
    <w:div w:id="2132018066">
      <w:bodyDiv w:val="1"/>
      <w:marLeft w:val="0"/>
      <w:marRight w:val="0"/>
      <w:marTop w:val="0"/>
      <w:marBottom w:val="0"/>
      <w:divBdr>
        <w:top w:val="none" w:sz="0" w:space="0" w:color="auto"/>
        <w:left w:val="none" w:sz="0" w:space="0" w:color="auto"/>
        <w:bottom w:val="none" w:sz="0" w:space="0" w:color="auto"/>
        <w:right w:val="none" w:sz="0" w:space="0" w:color="auto"/>
      </w:divBdr>
    </w:div>
    <w:div w:id="21420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image" Target="media/image9.emf"/><Relationship Id="rId42" Type="http://schemas.openxmlformats.org/officeDocument/2006/relationships/image" Target="media/image17.png"/><Relationship Id="rId47" Type="http://schemas.openxmlformats.org/officeDocument/2006/relationships/footer" Target="footer4.xml"/><Relationship Id="rId63" Type="http://schemas.openxmlformats.org/officeDocument/2006/relationships/chart" Target="charts/chart18.xml"/><Relationship Id="rId68" Type="http://schemas.openxmlformats.org/officeDocument/2006/relationships/chart" Target="charts/chart22.xml"/><Relationship Id="rId84" Type="http://schemas.openxmlformats.org/officeDocument/2006/relationships/hyperlink" Target="http://ssrn.com/abstrat=895181" TargetMode="External"/><Relationship Id="rId89" Type="http://schemas.openxmlformats.org/officeDocument/2006/relationships/image" Target="media/image31.emf"/><Relationship Id="rId16" Type="http://schemas.openxmlformats.org/officeDocument/2006/relationships/header" Target="header1.xml"/><Relationship Id="rId11" Type="http://schemas.openxmlformats.org/officeDocument/2006/relationships/image" Target="media/image4.jpeg"/><Relationship Id="rId32" Type="http://schemas.openxmlformats.org/officeDocument/2006/relationships/header" Target="header2.xml"/><Relationship Id="rId37" Type="http://schemas.openxmlformats.org/officeDocument/2006/relationships/image" Target="media/image15.emf"/><Relationship Id="rId53" Type="http://schemas.openxmlformats.org/officeDocument/2006/relationships/chart" Target="charts/chart13.xml"/><Relationship Id="rId58" Type="http://schemas.openxmlformats.org/officeDocument/2006/relationships/chart" Target="charts/chart17.xml"/><Relationship Id="rId74" Type="http://schemas.openxmlformats.org/officeDocument/2006/relationships/header" Target="header9.xml"/><Relationship Id="rId79" Type="http://schemas.openxmlformats.org/officeDocument/2006/relationships/diagramData" Target="diagrams/data1.xml"/><Relationship Id="rId5" Type="http://schemas.openxmlformats.org/officeDocument/2006/relationships/webSettings" Target="webSettings.xml"/><Relationship Id="rId90" Type="http://schemas.openxmlformats.org/officeDocument/2006/relationships/image" Target="media/image32.emf"/><Relationship Id="rId95" Type="http://schemas.openxmlformats.org/officeDocument/2006/relationships/image" Target="media/image35.emf"/><Relationship Id="rId22" Type="http://schemas.openxmlformats.org/officeDocument/2006/relationships/image" Target="media/image10.emf"/><Relationship Id="rId27" Type="http://schemas.openxmlformats.org/officeDocument/2006/relationships/chart" Target="charts/chart6.xml"/><Relationship Id="rId43" Type="http://schemas.openxmlformats.org/officeDocument/2006/relationships/header" Target="header5.xml"/><Relationship Id="rId48" Type="http://schemas.openxmlformats.org/officeDocument/2006/relationships/image" Target="media/image21.jpeg"/><Relationship Id="rId64" Type="http://schemas.openxmlformats.org/officeDocument/2006/relationships/chart" Target="charts/chart19.xml"/><Relationship Id="rId69" Type="http://schemas.openxmlformats.org/officeDocument/2006/relationships/chart" Target="charts/chart23.xml"/><Relationship Id="rId80" Type="http://schemas.openxmlformats.org/officeDocument/2006/relationships/diagramLayout" Target="diagrams/layout1.xml"/><Relationship Id="rId85" Type="http://schemas.openxmlformats.org/officeDocument/2006/relationships/hyperlink" Target="http://www.pep-net.org/NEW-PEP/Group/PMMA/pmma-train/files/l-dynamique-de-la%20pauvrete-oduro.pdf"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chart" Target="charts/chart4.xml"/><Relationship Id="rId33" Type="http://schemas.openxmlformats.org/officeDocument/2006/relationships/footer" Target="footer3.xml"/><Relationship Id="rId38" Type="http://schemas.openxmlformats.org/officeDocument/2006/relationships/header" Target="header3.xml"/><Relationship Id="rId46" Type="http://schemas.openxmlformats.org/officeDocument/2006/relationships/image" Target="media/image20.emf"/><Relationship Id="rId59" Type="http://schemas.openxmlformats.org/officeDocument/2006/relationships/image" Target="media/image25.emf"/><Relationship Id="rId67" Type="http://schemas.openxmlformats.org/officeDocument/2006/relationships/image" Target="media/image28.emf"/><Relationship Id="rId20" Type="http://schemas.openxmlformats.org/officeDocument/2006/relationships/chart" Target="charts/chart2.xml"/><Relationship Id="rId41" Type="http://schemas.openxmlformats.org/officeDocument/2006/relationships/header" Target="header4.xml"/><Relationship Id="rId54" Type="http://schemas.openxmlformats.org/officeDocument/2006/relationships/header" Target="header6.xml"/><Relationship Id="rId62" Type="http://schemas.openxmlformats.org/officeDocument/2006/relationships/footer" Target="footer5.xml"/><Relationship Id="rId70" Type="http://schemas.openxmlformats.org/officeDocument/2006/relationships/chart" Target="charts/chart24.xml"/><Relationship Id="rId75" Type="http://schemas.openxmlformats.org/officeDocument/2006/relationships/footer" Target="footer6.xml"/><Relationship Id="rId83" Type="http://schemas.microsoft.com/office/2007/relationships/diagramDrawing" Target="diagrams/drawing1.xml"/><Relationship Id="rId88" Type="http://schemas.openxmlformats.org/officeDocument/2006/relationships/footer" Target="footer7.xml"/><Relationship Id="rId91" Type="http://schemas.openxmlformats.org/officeDocument/2006/relationships/image" Target="media/image33.emf"/><Relationship Id="rId96"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1.emf"/><Relationship Id="rId28" Type="http://schemas.openxmlformats.org/officeDocument/2006/relationships/chart" Target="charts/chart7.xml"/><Relationship Id="rId36" Type="http://schemas.openxmlformats.org/officeDocument/2006/relationships/image" Target="media/image14.emf"/><Relationship Id="rId49" Type="http://schemas.openxmlformats.org/officeDocument/2006/relationships/image" Target="media/image22.jpeg"/><Relationship Id="rId57" Type="http://schemas.openxmlformats.org/officeDocument/2006/relationships/chart" Target="charts/chart16.xml"/><Relationship Id="rId10"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image" Target="media/image18.emf"/><Relationship Id="rId52" Type="http://schemas.openxmlformats.org/officeDocument/2006/relationships/chart" Target="charts/chart12.xml"/><Relationship Id="rId60" Type="http://schemas.openxmlformats.org/officeDocument/2006/relationships/image" Target="media/image26.emf"/><Relationship Id="rId65" Type="http://schemas.openxmlformats.org/officeDocument/2006/relationships/chart" Target="charts/chart20.xml"/><Relationship Id="rId73" Type="http://schemas.openxmlformats.org/officeDocument/2006/relationships/header" Target="header8.xml"/><Relationship Id="rId78" Type="http://schemas.openxmlformats.org/officeDocument/2006/relationships/chart" Target="charts/chart27.xml"/><Relationship Id="rId81" Type="http://schemas.openxmlformats.org/officeDocument/2006/relationships/diagramQuickStyle" Target="diagrams/quickStyle1.xml"/><Relationship Id="rId86" Type="http://schemas.openxmlformats.org/officeDocument/2006/relationships/header" Target="header10.xml"/><Relationship Id="rId94" Type="http://schemas.openxmlformats.org/officeDocument/2006/relationships/image" Target="media/image34.emf"/><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oter" Target="footer2.xml"/><Relationship Id="rId39" Type="http://schemas.openxmlformats.org/officeDocument/2006/relationships/chart" Target="charts/chart11.xml"/><Relationship Id="rId34" Type="http://schemas.openxmlformats.org/officeDocument/2006/relationships/image" Target="media/image12.emf"/><Relationship Id="rId50" Type="http://schemas.openxmlformats.org/officeDocument/2006/relationships/image" Target="media/image23.jpeg"/><Relationship Id="rId55" Type="http://schemas.openxmlformats.org/officeDocument/2006/relationships/chart" Target="charts/chart14.xml"/><Relationship Id="rId76" Type="http://schemas.openxmlformats.org/officeDocument/2006/relationships/image" Target="media/image29.png"/><Relationship Id="rId97" Type="http://schemas.openxmlformats.org/officeDocument/2006/relationships/image" Target="media/image37.emf"/><Relationship Id="rId7" Type="http://schemas.openxmlformats.org/officeDocument/2006/relationships/endnotes" Target="endnotes.xml"/><Relationship Id="rId71" Type="http://schemas.openxmlformats.org/officeDocument/2006/relationships/chart" Target="charts/chart25.xml"/><Relationship Id="rId92" Type="http://schemas.openxmlformats.org/officeDocument/2006/relationships/header" Target="header12.xml"/><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image" Target="media/image16.emf"/><Relationship Id="rId45" Type="http://schemas.openxmlformats.org/officeDocument/2006/relationships/image" Target="media/image19.emf"/><Relationship Id="rId66" Type="http://schemas.openxmlformats.org/officeDocument/2006/relationships/chart" Target="charts/chart21.xml"/><Relationship Id="rId87" Type="http://schemas.openxmlformats.org/officeDocument/2006/relationships/header" Target="header11.xml"/><Relationship Id="rId61" Type="http://schemas.openxmlformats.org/officeDocument/2006/relationships/header" Target="header7.xml"/><Relationship Id="rId82" Type="http://schemas.openxmlformats.org/officeDocument/2006/relationships/diagramColors" Target="diagrams/colors1.xml"/><Relationship Id="rId19" Type="http://schemas.openxmlformats.org/officeDocument/2006/relationships/chart" Target="charts/chart1.xml"/><Relationship Id="rId14" Type="http://schemas.openxmlformats.org/officeDocument/2006/relationships/image" Target="media/image7.png"/><Relationship Id="rId30" Type="http://schemas.openxmlformats.org/officeDocument/2006/relationships/chart" Target="charts/chart9.xml"/><Relationship Id="rId35" Type="http://schemas.openxmlformats.org/officeDocument/2006/relationships/image" Target="media/image13.emf"/><Relationship Id="rId56" Type="http://schemas.openxmlformats.org/officeDocument/2006/relationships/chart" Target="charts/chart15.xml"/><Relationship Id="rId77" Type="http://schemas.openxmlformats.org/officeDocument/2006/relationships/image" Target="media/image30.pn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4.jpeg"/><Relationship Id="rId72" Type="http://schemas.openxmlformats.org/officeDocument/2006/relationships/chart" Target="charts/chart26.xml"/><Relationship Id="rId93" Type="http://schemas.openxmlformats.org/officeDocument/2006/relationships/hyperlink" Target="file:///C:\Analyse_pauv_Chap2\Resultats_estsmclim_chap2version%20apresBM.xlsx" TargetMode="External"/><Relationship Id="rId98" Type="http://schemas.openxmlformats.org/officeDocument/2006/relationships/header" Target="header13.xml"/></Relationships>
</file>

<file path=word/_rels/footnotes.xml.rels><?xml version="1.0" encoding="UTF-8" standalone="yes"?>
<Relationships xmlns="http://schemas.openxmlformats.org/package/2006/relationships"><Relationship Id="rId8" Type="http://schemas.openxmlformats.org/officeDocument/2006/relationships/hyperlink" Target="http://fr.wikipedia.org/wiki/D%C3%A9ficit_public" TargetMode="External"/><Relationship Id="rId13" Type="http://schemas.openxmlformats.org/officeDocument/2006/relationships/hyperlink" Target="http://www.toupie.org/Dictionnaire/Production.htm" TargetMode="External"/><Relationship Id="rId18" Type="http://schemas.openxmlformats.org/officeDocument/2006/relationships/hyperlink" Target="http://www.toupie.org/Dictionnaire/Progres.htm" TargetMode="External"/><Relationship Id="rId3" Type="http://schemas.openxmlformats.org/officeDocument/2006/relationships/hyperlink" Target="http://www.toupie.org/Dictionnaire/Parite.htm" TargetMode="External"/><Relationship Id="rId7" Type="http://schemas.openxmlformats.org/officeDocument/2006/relationships/hyperlink" Target="http://fr.wikipedia.org/wiki/%C3%89conomie" TargetMode="External"/><Relationship Id="rId12" Type="http://schemas.openxmlformats.org/officeDocument/2006/relationships/hyperlink" Target="http://www.toupie.org/Dictionnaire/Productivite.htm" TargetMode="External"/><Relationship Id="rId17" Type="http://schemas.openxmlformats.org/officeDocument/2006/relationships/hyperlink" Target="http://www.toupie.org/Dictionnaire/Croissance.htm" TargetMode="External"/><Relationship Id="rId2" Type="http://schemas.openxmlformats.org/officeDocument/2006/relationships/hyperlink" Target="http://www.toupie.org/Dictionnaire/Pouvoir_achat.htm" TargetMode="External"/><Relationship Id="rId16" Type="http://schemas.openxmlformats.org/officeDocument/2006/relationships/hyperlink" Target="http://www.toupie.org/Dictionnaire/Richesse.htm" TargetMode="External"/><Relationship Id="rId1" Type="http://schemas.openxmlformats.org/officeDocument/2006/relationships/hyperlink" Target="http://www.toupie.org/Dictionnaire/Consommation.htm" TargetMode="External"/><Relationship Id="rId6" Type="http://schemas.openxmlformats.org/officeDocument/2006/relationships/hyperlink" Target="http://www.toupie.org/Dictionnaire/Taux_change.htm" TargetMode="External"/><Relationship Id="rId11" Type="http://schemas.openxmlformats.org/officeDocument/2006/relationships/hyperlink" Target="http://fr.wikipedia.org/wiki/Biens_et_services" TargetMode="External"/><Relationship Id="rId5" Type="http://schemas.openxmlformats.org/officeDocument/2006/relationships/hyperlink" Target="http://www.toupie.org/Dictionnaire/Sigles_pn.htm" TargetMode="External"/><Relationship Id="rId15" Type="http://schemas.openxmlformats.org/officeDocument/2006/relationships/hyperlink" Target="http://www.toupie.org/Dictionnaire/Capital.htm" TargetMode="External"/><Relationship Id="rId10" Type="http://schemas.openxmlformats.org/officeDocument/2006/relationships/hyperlink" Target="http://fr.wikipedia.org/wiki/Administrations_publiques" TargetMode="External"/><Relationship Id="rId4" Type="http://schemas.openxmlformats.org/officeDocument/2006/relationships/hyperlink" Target="http://www.toupie.org/Dictionnaire/Pouvoir_achat.htm" TargetMode="External"/><Relationship Id="rId9" Type="http://schemas.openxmlformats.org/officeDocument/2006/relationships/hyperlink" Target="http://fr.wikipedia.org/wiki/Balance_courante" TargetMode="External"/><Relationship Id="rId14" Type="http://schemas.openxmlformats.org/officeDocument/2006/relationships/hyperlink" Target="http://www.toupie.org/Dictionnaire/Travail.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DEDJI\Desktop\Rapport%20BM.29.04.2013_MD2.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DEDJI\Desktop\PIB%201990%20&#224;%202012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Base%20de%20travail\Tableau%20profil_final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EDEDJI\Desktop\BM_chap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p620-E\Documents\recherche\EMICOV%20BM\VAB.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p620-E\Documents\recherche\EMICOV%20BM\VAB.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p620-E\Documents\recherche\EMICOV%20BM\VAB.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p620-E\Documents\recherche\EMICOV%20BM\VAB.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MENADD\Etude%202013\INSAE\BM\Evaluation%20de%20la%20pauvrete\BM_revision_chapitres\BM_chap3.xlsx" TargetMode="External"/></Relationships>
</file>

<file path=word/charts/_rels/chart18.xml.rels><?xml version="1.0" encoding="UTF-8" standalone="yes"?>
<Relationships xmlns="http://schemas.openxmlformats.org/package/2006/relationships"><Relationship Id="rId2" Type="http://schemas.openxmlformats.org/officeDocument/2006/relationships/oleObject" Target="file:///C:\en%20cours\insae\livre_pauvrete_bm\chapitre4\tableau1_chap4_2010.xlsm" TargetMode="External"/><Relationship Id="rId1" Type="http://schemas.openxmlformats.org/officeDocument/2006/relationships/image" Target="../media/image27.jpeg"/></Relationships>
</file>

<file path=word/charts/_rels/chart19.xml.rels><?xml version="1.0" encoding="UTF-8" standalone="yes"?>
<Relationships xmlns="http://schemas.openxmlformats.org/package/2006/relationships"><Relationship Id="rId1" Type="http://schemas.openxmlformats.org/officeDocument/2006/relationships/oleObject" Target="file:///C:\Users\Samuel\Desktop\INSAE_Internship\Dam_files\AGVSAN_ChocM&#233;nage\tableau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MENADD\Etude%202013\INSAE\BM\Evaluation%20de%20la%20pauvrete\BM_revision_chapitres\BM_chap3.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en%20cours\insae\livre_pauvrete_bm\chapitre4\tableau1_chap4_2010.xlsm"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amuel\Desktop\INSAE_Internship\Dam_files\AGVSAN_ChocM&#233;nage\tableaux.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Raimi\sigles_EAR.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Finalisation\Les%20chapitres%20apres%20observations%20BM\Version%20revisee+annexes\Corrections\sigles_EAR.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wb258046\Documents\Fiscal%20Decentralization\PEA%20Main%20fil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wb258046\Documents\Fiscal%20Decentralization\PEA%20Main%20file.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graphique%20chap%202%20B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graphique%20chap%202%20B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graphique%20chap%202%20B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graphique%20chap%202%20B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graphique%20chap%202%20BM.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RAIMI%20DOCS\INSAE\DSS\OPERATIONS%20ENQUETES%20ET%20ETUDE%20DSS\BANQUE%20MONDIALE_%20ANALYSE%20PAUVRETE\Rapport%20d'analyse\graphique%20chap%202%20BM.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EDEDJI\Desktop\PPP%20conversion%20factor%20private%20con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Feuil2!$A$4</c:f>
              <c:strCache>
                <c:ptCount val="1"/>
                <c:pt idx="0">
                  <c:v>PIB/tête </c:v>
                </c:pt>
              </c:strCache>
            </c:strRef>
          </c:tx>
          <c:marker>
            <c:symbol val="none"/>
          </c:marker>
          <c:cat>
            <c:numRef>
              <c:f>Feuil2!$B$3:$W$3</c:f>
              <c:numCache>
                <c:formatCode>General</c:formatCode>
                <c:ptCount val="22"/>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numCache>
            </c:numRef>
          </c:cat>
          <c:val>
            <c:numRef>
              <c:f>Feuil2!$B$4:$W$4</c:f>
              <c:numCache>
                <c:formatCode>0.0</c:formatCode>
                <c:ptCount val="22"/>
                <c:pt idx="0">
                  <c:v>115.1639594445533</c:v>
                </c:pt>
                <c:pt idx="1">
                  <c:v>118.31536005627405</c:v>
                </c:pt>
                <c:pt idx="2">
                  <c:v>124.21788482668885</c:v>
                </c:pt>
                <c:pt idx="3">
                  <c:v>165.81186106962045</c:v>
                </c:pt>
                <c:pt idx="4">
                  <c:v>196.11843007518149</c:v>
                </c:pt>
                <c:pt idx="5">
                  <c:v>211.90085214064419</c:v>
                </c:pt>
                <c:pt idx="6">
                  <c:v>224.97290812585732</c:v>
                </c:pt>
                <c:pt idx="7">
                  <c:v>238.34142893859902</c:v>
                </c:pt>
                <c:pt idx="8">
                  <c:v>244.15023904488461</c:v>
                </c:pt>
                <c:pt idx="9">
                  <c:v>259.04788009616254</c:v>
                </c:pt>
                <c:pt idx="10">
                  <c:v>273.46343231268554</c:v>
                </c:pt>
                <c:pt idx="11">
                  <c:v>282.64258459324628</c:v>
                </c:pt>
                <c:pt idx="12">
                  <c:v>288.88658770677063</c:v>
                </c:pt>
                <c:pt idx="13">
                  <c:v>289.22788997266969</c:v>
                </c:pt>
                <c:pt idx="14">
                  <c:v>300.43817713882169</c:v>
                </c:pt>
                <c:pt idx="15">
                  <c:v>310.88975615734256</c:v>
                </c:pt>
                <c:pt idx="16">
                  <c:v>322.35427994098399</c:v>
                </c:pt>
                <c:pt idx="17">
                  <c:v>350.68352185434338</c:v>
                </c:pt>
                <c:pt idx="18">
                  <c:v>354.65920107774798</c:v>
                </c:pt>
                <c:pt idx="19">
                  <c:v>357.91634981271699</c:v>
                </c:pt>
                <c:pt idx="20">
                  <c:v>366.51015245683669</c:v>
                </c:pt>
                <c:pt idx="21">
                  <c:v>396.54803557383036</c:v>
                </c:pt>
              </c:numCache>
            </c:numRef>
          </c:val>
          <c:smooth val="0"/>
        </c:ser>
        <c:dLbls>
          <c:showLegendKey val="0"/>
          <c:showVal val="0"/>
          <c:showCatName val="0"/>
          <c:showSerName val="0"/>
          <c:showPercent val="0"/>
          <c:showBubbleSize val="0"/>
        </c:dLbls>
        <c:smooth val="0"/>
        <c:axId val="360042592"/>
        <c:axId val="360043152"/>
      </c:lineChart>
      <c:catAx>
        <c:axId val="360042592"/>
        <c:scaling>
          <c:orientation val="minMax"/>
        </c:scaling>
        <c:delete val="0"/>
        <c:axPos val="b"/>
        <c:numFmt formatCode="General" sourceLinked="1"/>
        <c:majorTickMark val="none"/>
        <c:minorTickMark val="none"/>
        <c:tickLblPos val="nextTo"/>
        <c:txPr>
          <a:bodyPr rot="5400000" vert="horz"/>
          <a:lstStyle/>
          <a:p>
            <a:pPr>
              <a:defRPr lang="en-US"/>
            </a:pPr>
            <a:endParaRPr lang="fr-FR"/>
          </a:p>
        </c:txPr>
        <c:crossAx val="360043152"/>
        <c:crosses val="autoZero"/>
        <c:auto val="1"/>
        <c:lblAlgn val="ctr"/>
        <c:lblOffset val="100"/>
        <c:noMultiLvlLbl val="0"/>
      </c:catAx>
      <c:valAx>
        <c:axId val="360043152"/>
        <c:scaling>
          <c:orientation val="minMax"/>
        </c:scaling>
        <c:delete val="0"/>
        <c:axPos val="l"/>
        <c:numFmt formatCode="0.0" sourceLinked="1"/>
        <c:majorTickMark val="none"/>
        <c:minorTickMark val="none"/>
        <c:tickLblPos val="nextTo"/>
        <c:txPr>
          <a:bodyPr/>
          <a:lstStyle/>
          <a:p>
            <a:pPr>
              <a:defRPr lang="en-US"/>
            </a:pPr>
            <a:endParaRPr lang="fr-FR"/>
          </a:p>
        </c:txPr>
        <c:crossAx val="36004259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Feuil1!$B$1</c:f>
              <c:strCache>
                <c:ptCount val="1"/>
                <c:pt idx="0">
                  <c:v>Pauvreté persistante</c:v>
                </c:pt>
              </c:strCache>
            </c:strRef>
          </c:tx>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Feuil1!$A$2:$A$13</c:f>
              <c:strCache>
                <c:ptCount val="12"/>
                <c:pt idx="0">
                  <c:v>Couffo</c:v>
                </c:pt>
                <c:pt idx="1">
                  <c:v>Mono</c:v>
                </c:pt>
                <c:pt idx="2">
                  <c:v>Zou</c:v>
                </c:pt>
                <c:pt idx="3">
                  <c:v>Collines</c:v>
                </c:pt>
                <c:pt idx="4">
                  <c:v>Atlantique</c:v>
                </c:pt>
                <c:pt idx="5">
                  <c:v>Plateau</c:v>
                </c:pt>
                <c:pt idx="6">
                  <c:v>Borgou</c:v>
                </c:pt>
                <c:pt idx="7">
                  <c:v>Alibori</c:v>
                </c:pt>
                <c:pt idx="8">
                  <c:v>Littoral</c:v>
                </c:pt>
                <c:pt idx="9">
                  <c:v>Atacora</c:v>
                </c:pt>
                <c:pt idx="10">
                  <c:v>Donga</c:v>
                </c:pt>
                <c:pt idx="11">
                  <c:v>Ouémé</c:v>
                </c:pt>
              </c:strCache>
            </c:strRef>
          </c:cat>
          <c:val>
            <c:numRef>
              <c:f>Feuil1!$B$2:$B$13</c:f>
              <c:numCache>
                <c:formatCode>General</c:formatCode>
                <c:ptCount val="12"/>
                <c:pt idx="0">
                  <c:v>21.54</c:v>
                </c:pt>
                <c:pt idx="1">
                  <c:v>21.459999999999987</c:v>
                </c:pt>
                <c:pt idx="2">
                  <c:v>17.02</c:v>
                </c:pt>
                <c:pt idx="3">
                  <c:v>16.93</c:v>
                </c:pt>
                <c:pt idx="4">
                  <c:v>16.439999999999987</c:v>
                </c:pt>
                <c:pt idx="5">
                  <c:v>15.11</c:v>
                </c:pt>
                <c:pt idx="6">
                  <c:v>15</c:v>
                </c:pt>
                <c:pt idx="7">
                  <c:v>13.32</c:v>
                </c:pt>
                <c:pt idx="8">
                  <c:v>12.370000000000006</c:v>
                </c:pt>
                <c:pt idx="9">
                  <c:v>11.5</c:v>
                </c:pt>
                <c:pt idx="10">
                  <c:v>11.12</c:v>
                </c:pt>
                <c:pt idx="11">
                  <c:v>10.97</c:v>
                </c:pt>
              </c:numCache>
            </c:numRef>
          </c:val>
        </c:ser>
        <c:dLbls>
          <c:showLegendKey val="0"/>
          <c:showVal val="1"/>
          <c:showCatName val="0"/>
          <c:showSerName val="0"/>
          <c:showPercent val="0"/>
          <c:showBubbleSize val="0"/>
        </c:dLbls>
        <c:gapWidth val="45"/>
        <c:axId val="296787040"/>
        <c:axId val="296787600"/>
      </c:barChart>
      <c:catAx>
        <c:axId val="296787040"/>
        <c:scaling>
          <c:orientation val="minMax"/>
        </c:scaling>
        <c:delete val="0"/>
        <c:axPos val="b"/>
        <c:numFmt formatCode="General" sourceLinked="0"/>
        <c:majorTickMark val="out"/>
        <c:minorTickMark val="none"/>
        <c:tickLblPos val="nextTo"/>
        <c:txPr>
          <a:bodyPr/>
          <a:lstStyle/>
          <a:p>
            <a:pPr>
              <a:defRPr lang="en-US"/>
            </a:pPr>
            <a:endParaRPr lang="fr-FR"/>
          </a:p>
        </c:txPr>
        <c:crossAx val="296787600"/>
        <c:crosses val="autoZero"/>
        <c:auto val="1"/>
        <c:lblAlgn val="ctr"/>
        <c:lblOffset val="100"/>
        <c:noMultiLvlLbl val="0"/>
      </c:catAx>
      <c:valAx>
        <c:axId val="296787600"/>
        <c:scaling>
          <c:orientation val="minMax"/>
        </c:scaling>
        <c:delete val="0"/>
        <c:axPos val="l"/>
        <c:numFmt formatCode="#,##0.0" sourceLinked="0"/>
        <c:majorTickMark val="none"/>
        <c:minorTickMark val="none"/>
        <c:tickLblPos val="nextTo"/>
        <c:txPr>
          <a:bodyPr/>
          <a:lstStyle/>
          <a:p>
            <a:pPr>
              <a:defRPr lang="en-US"/>
            </a:pPr>
            <a:endParaRPr lang="fr-FR"/>
          </a:p>
        </c:txPr>
        <c:crossAx val="29678704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231540501881705E-2"/>
          <c:y val="5.0230759872987737E-2"/>
          <c:w val="0.89751801858101066"/>
          <c:h val="0.49486725685089006"/>
        </c:manualLayout>
      </c:layout>
      <c:barChart>
        <c:barDir val="col"/>
        <c:grouping val="clustered"/>
        <c:varyColors val="0"/>
        <c:ser>
          <c:idx val="0"/>
          <c:order val="0"/>
          <c:tx>
            <c:strRef>
              <c:f>'Transition et sous emploi'!$A$81</c:f>
              <c:strCache>
                <c:ptCount val="1"/>
                <c:pt idx="0">
                  <c:v>Urbain</c:v>
                </c:pt>
              </c:strCache>
            </c:strRef>
          </c:tx>
          <c:invertIfNegative val="0"/>
          <c:dLbls>
            <c:dLbl>
              <c:idx val="0"/>
              <c:layout>
                <c:manualLayout>
                  <c:x val="-4.4091710758377934E-3"/>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53346870923893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6137566137566134E-3"/>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2045855379188802E-3"/>
                  <c:y val="1.15010153192928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'Transition et sous emploi'!$B$79:$G$80</c:f>
              <c:multiLvlStrCache>
                <c:ptCount val="6"/>
                <c:lvl>
                  <c:pt idx="0">
                    <c:v>Personnes en situation de sous emplois visibles</c:v>
                  </c:pt>
                  <c:pt idx="1">
                    <c:v>Personnes en situation de sous emplois invisibles</c:v>
                  </c:pt>
                  <c:pt idx="2">
                    <c:v>Personnes exercant un emploi non formel</c:v>
                  </c:pt>
                  <c:pt idx="3">
                    <c:v>Personnes en situation de sous emplois visibles</c:v>
                  </c:pt>
                  <c:pt idx="4">
                    <c:v>Personnes en situation de sous emplois invisibles</c:v>
                  </c:pt>
                  <c:pt idx="5">
                    <c:v>Personnes exercant un emploi non formel</c:v>
                  </c:pt>
                </c:lvl>
                <c:lvl>
                  <c:pt idx="0">
                    <c:v>Entrée dans la pauvreté</c:v>
                  </c:pt>
                  <c:pt idx="3">
                    <c:v>Toujours pauvre</c:v>
                  </c:pt>
                </c:lvl>
              </c:multiLvlStrCache>
            </c:multiLvlStrRef>
          </c:cat>
          <c:val>
            <c:numRef>
              <c:f>'Transition et sous emploi'!$B$81:$G$81</c:f>
              <c:numCache>
                <c:formatCode>###0.0</c:formatCode>
                <c:ptCount val="6"/>
                <c:pt idx="0">
                  <c:v>23.88844003857157</c:v>
                </c:pt>
                <c:pt idx="1">
                  <c:v>37.267358718502663</c:v>
                </c:pt>
                <c:pt idx="2">
                  <c:v>94.036897704147435</c:v>
                </c:pt>
                <c:pt idx="3">
                  <c:v>25.506462091225089</c:v>
                </c:pt>
                <c:pt idx="4">
                  <c:v>36.581904158499796</c:v>
                </c:pt>
                <c:pt idx="5">
                  <c:v>94.222698325714418</c:v>
                </c:pt>
              </c:numCache>
            </c:numRef>
          </c:val>
        </c:ser>
        <c:ser>
          <c:idx val="1"/>
          <c:order val="1"/>
          <c:tx>
            <c:strRef>
              <c:f>'Transition et sous emploi'!$A$82</c:f>
              <c:strCache>
                <c:ptCount val="1"/>
                <c:pt idx="0">
                  <c:v>Rural</c:v>
                </c:pt>
              </c:strCache>
            </c:strRef>
          </c:tx>
          <c:spPr>
            <a:solidFill>
              <a:srgbClr val="00B0F0"/>
            </a:solidFill>
          </c:spPr>
          <c:invertIfNegative val="0"/>
          <c:dLbls>
            <c:dLbl>
              <c:idx val="0"/>
              <c:layout>
                <c:manualLayout>
                  <c:x val="0"/>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7.6673435461946894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2045855379188802E-3"/>
                  <c:y val="7.66734354619468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7769584357510871E-3"/>
                  <c:y val="7.66734354619468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7.667343546194689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'Transition et sous emploi'!$B$79:$G$80</c:f>
              <c:multiLvlStrCache>
                <c:ptCount val="6"/>
                <c:lvl>
                  <c:pt idx="0">
                    <c:v>Personnes en situation de sous emplois visibles</c:v>
                  </c:pt>
                  <c:pt idx="1">
                    <c:v>Personnes en situation de sous emplois invisibles</c:v>
                  </c:pt>
                  <c:pt idx="2">
                    <c:v>Personnes exercant un emploi non formel</c:v>
                  </c:pt>
                  <c:pt idx="3">
                    <c:v>Personnes en situation de sous emplois visibles</c:v>
                  </c:pt>
                  <c:pt idx="4">
                    <c:v>Personnes en situation de sous emplois invisibles</c:v>
                  </c:pt>
                  <c:pt idx="5">
                    <c:v>Personnes exercant un emploi non formel</c:v>
                  </c:pt>
                </c:lvl>
                <c:lvl>
                  <c:pt idx="0">
                    <c:v>Entrée dans la pauvreté</c:v>
                  </c:pt>
                  <c:pt idx="3">
                    <c:v>Toujours pauvre</c:v>
                  </c:pt>
                </c:lvl>
              </c:multiLvlStrCache>
            </c:multiLvlStrRef>
          </c:cat>
          <c:val>
            <c:numRef>
              <c:f>'Transition et sous emploi'!$B$82:$G$82</c:f>
              <c:numCache>
                <c:formatCode>###0.0</c:formatCode>
                <c:ptCount val="6"/>
                <c:pt idx="0">
                  <c:v>28.287330801252889</c:v>
                </c:pt>
                <c:pt idx="1">
                  <c:v>44.593126000952012</c:v>
                </c:pt>
                <c:pt idx="2">
                  <c:v>98.592573848935473</c:v>
                </c:pt>
                <c:pt idx="3">
                  <c:v>21.951020177221789</c:v>
                </c:pt>
                <c:pt idx="4">
                  <c:v>42.649870196260444</c:v>
                </c:pt>
                <c:pt idx="5">
                  <c:v>99.617342272318368</c:v>
                </c:pt>
              </c:numCache>
            </c:numRef>
          </c:val>
        </c:ser>
        <c:ser>
          <c:idx val="2"/>
          <c:order val="2"/>
          <c:tx>
            <c:strRef>
              <c:f>'Transition et sous emploi'!$A$83</c:f>
              <c:strCache>
                <c:ptCount val="1"/>
                <c:pt idx="0">
                  <c:v>Ensemble</c:v>
                </c:pt>
              </c:strCache>
            </c:strRef>
          </c:tx>
          <c:spPr>
            <a:solidFill>
              <a:srgbClr val="99CCFF"/>
            </a:solidFill>
          </c:spPr>
          <c:invertIfNegative val="0"/>
          <c:dLbls>
            <c:dLbl>
              <c:idx val="0"/>
              <c:layout>
                <c:manualLayout>
                  <c:x val="4.4091710758377934E-3"/>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6135830243442134E-3"/>
                  <c:y val="1.53346870923893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6137566137566134E-3"/>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79541446208121E-2"/>
                  <c:y val="1.095132112253532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6137566137566134E-3"/>
                  <c:y val="1.1501015319292899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6137566137566134E-3"/>
                  <c:y val="1.53346870923893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8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'Transition et sous emploi'!$B$79:$G$80</c:f>
              <c:multiLvlStrCache>
                <c:ptCount val="6"/>
                <c:lvl>
                  <c:pt idx="0">
                    <c:v>Personnes en situation de sous emplois visibles</c:v>
                  </c:pt>
                  <c:pt idx="1">
                    <c:v>Personnes en situation de sous emplois invisibles</c:v>
                  </c:pt>
                  <c:pt idx="2">
                    <c:v>Personnes exercant un emploi non formel</c:v>
                  </c:pt>
                  <c:pt idx="3">
                    <c:v>Personnes en situation de sous emplois visibles</c:v>
                  </c:pt>
                  <c:pt idx="4">
                    <c:v>Personnes en situation de sous emplois invisibles</c:v>
                  </c:pt>
                  <c:pt idx="5">
                    <c:v>Personnes exercant un emploi non formel</c:v>
                  </c:pt>
                </c:lvl>
                <c:lvl>
                  <c:pt idx="0">
                    <c:v>Entrée dans la pauvreté</c:v>
                  </c:pt>
                  <c:pt idx="3">
                    <c:v>Toujours pauvre</c:v>
                  </c:pt>
                </c:lvl>
              </c:multiLvlStrCache>
            </c:multiLvlStrRef>
          </c:cat>
          <c:val>
            <c:numRef>
              <c:f>'Transition et sous emploi'!$B$83:$G$83</c:f>
              <c:numCache>
                <c:formatCode>###0.0</c:formatCode>
                <c:ptCount val="6"/>
                <c:pt idx="0">
                  <c:v>27.150564762649235</c:v>
                </c:pt>
                <c:pt idx="1">
                  <c:v>42.715024104353226</c:v>
                </c:pt>
                <c:pt idx="2">
                  <c:v>97.409126716586258</c:v>
                </c:pt>
                <c:pt idx="3">
                  <c:v>22.998705125212435</c:v>
                </c:pt>
                <c:pt idx="4">
                  <c:v>40.869227092707895</c:v>
                </c:pt>
                <c:pt idx="5">
                  <c:v>98.027160142381319</c:v>
                </c:pt>
              </c:numCache>
            </c:numRef>
          </c:val>
        </c:ser>
        <c:dLbls>
          <c:showLegendKey val="0"/>
          <c:showVal val="0"/>
          <c:showCatName val="0"/>
          <c:showSerName val="0"/>
          <c:showPercent val="0"/>
          <c:showBubbleSize val="0"/>
        </c:dLbls>
        <c:gapWidth val="69"/>
        <c:axId val="365441872"/>
        <c:axId val="365442432"/>
      </c:barChart>
      <c:catAx>
        <c:axId val="365441872"/>
        <c:scaling>
          <c:orientation val="minMax"/>
        </c:scaling>
        <c:delete val="0"/>
        <c:axPos val="b"/>
        <c:numFmt formatCode="General" sourceLinked="0"/>
        <c:majorTickMark val="out"/>
        <c:minorTickMark val="none"/>
        <c:tickLblPos val="nextTo"/>
        <c:spPr>
          <a:noFill/>
        </c:spPr>
        <c:txPr>
          <a:bodyPr/>
          <a:lstStyle/>
          <a:p>
            <a:pPr>
              <a:defRPr lang="en-US" sz="900"/>
            </a:pPr>
            <a:endParaRPr lang="fr-FR"/>
          </a:p>
        </c:txPr>
        <c:crossAx val="365442432"/>
        <c:crosses val="autoZero"/>
        <c:auto val="1"/>
        <c:lblAlgn val="ctr"/>
        <c:lblOffset val="100"/>
        <c:noMultiLvlLbl val="0"/>
      </c:catAx>
      <c:valAx>
        <c:axId val="365442432"/>
        <c:scaling>
          <c:orientation val="minMax"/>
        </c:scaling>
        <c:delete val="0"/>
        <c:axPos val="l"/>
        <c:numFmt formatCode="#,##0" sourceLinked="0"/>
        <c:majorTickMark val="out"/>
        <c:minorTickMark val="none"/>
        <c:tickLblPos val="nextTo"/>
        <c:txPr>
          <a:bodyPr/>
          <a:lstStyle/>
          <a:p>
            <a:pPr>
              <a:defRPr lang="en-US"/>
            </a:pPr>
            <a:endParaRPr lang="fr-FR"/>
          </a:p>
        </c:txPr>
        <c:crossAx val="365441872"/>
        <c:crosses val="autoZero"/>
        <c:crossBetween val="between"/>
      </c:valAx>
    </c:plotArea>
    <c:legend>
      <c:legendPos val="b"/>
      <c:layout>
        <c:manualLayout>
          <c:xMode val="edge"/>
          <c:yMode val="edge"/>
          <c:x val="0.32833359731403022"/>
          <c:y val="0.89297783968206901"/>
          <c:w val="0.36539056666499792"/>
          <c:h val="5.8823680083276923E-2"/>
        </c:manualLayout>
      </c:layout>
      <c:overlay val="0"/>
      <c:spPr>
        <a:solidFill>
          <a:sysClr val="window" lastClr="FFFFFF"/>
        </a:solidFill>
        <a:ln>
          <a:solidFill>
            <a:schemeClr val="tx1"/>
          </a:solidFill>
        </a:ln>
      </c:spPr>
      <c:txPr>
        <a:bodyPr/>
        <a:lstStyle/>
        <a:p>
          <a:pPr>
            <a:defRPr lang="en-US" sz="1050"/>
          </a:pPr>
          <a:endParaRPr lang="fr-FR"/>
        </a:p>
      </c:txPr>
    </c:legend>
    <c:plotVisOnly val="1"/>
    <c:dispBlanksAs val="gap"/>
    <c:showDLblsOverMax val="0"/>
  </c:chart>
  <c:spPr>
    <a:solidFill>
      <a:srgbClr val="4F81BD">
        <a:lumMod val="20000"/>
        <a:lumOff val="80000"/>
        <a:alpha val="55000"/>
      </a:srgbClr>
    </a:solid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Feuil1!$A$3</c:f>
              <c:strCache>
                <c:ptCount val="1"/>
                <c:pt idx="0">
                  <c:v>Taux de croissance</c:v>
                </c:pt>
              </c:strCache>
            </c:strRef>
          </c:tx>
          <c:marker>
            <c:symbol val="none"/>
          </c:marker>
          <c:cat>
            <c:numRef>
              <c:f>Feuil1!$B$2:$V$2</c:f>
              <c:numCache>
                <c:formatCode>0</c:formatCode>
                <c:ptCount val="21"/>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numCache>
            </c:numRef>
          </c:cat>
          <c:val>
            <c:numRef>
              <c:f>Feuil1!$B$3:$V$3</c:f>
              <c:numCache>
                <c:formatCode>0.00</c:formatCode>
                <c:ptCount val="21"/>
                <c:pt idx="0">
                  <c:v>4.2257994235629024</c:v>
                </c:pt>
                <c:pt idx="1">
                  <c:v>2.9577108134620342</c:v>
                </c:pt>
                <c:pt idx="2">
                  <c:v>5.8361721015222994</c:v>
                </c:pt>
                <c:pt idx="3">
                  <c:v>2.0204004446546797</c:v>
                </c:pt>
                <c:pt idx="4">
                  <c:v>6.0451986438383232</c:v>
                </c:pt>
                <c:pt idx="5">
                  <c:v>4.3242840342335676</c:v>
                </c:pt>
                <c:pt idx="6">
                  <c:v>5.7346883652898804</c:v>
                </c:pt>
                <c:pt idx="7">
                  <c:v>3.9610121462359431</c:v>
                </c:pt>
                <c:pt idx="8">
                  <c:v>5.3414493713766831</c:v>
                </c:pt>
                <c:pt idx="9">
                  <c:v>4.8616675598920374</c:v>
                </c:pt>
                <c:pt idx="10">
                  <c:v>6.248410555082029</c:v>
                </c:pt>
                <c:pt idx="11">
                  <c:v>4.4211143370003745</c:v>
                </c:pt>
                <c:pt idx="12">
                  <c:v>3.8825083410912731</c:v>
                </c:pt>
                <c:pt idx="13">
                  <c:v>3.1198571084117597</c:v>
                </c:pt>
                <c:pt idx="14">
                  <c:v>2.8652368180248837</c:v>
                </c:pt>
                <c:pt idx="15">
                  <c:v>3.7521544747099345</c:v>
                </c:pt>
                <c:pt idx="16">
                  <c:v>4.6263964704554255</c:v>
                </c:pt>
                <c:pt idx="17">
                  <c:v>5.0184302609527345</c:v>
                </c:pt>
                <c:pt idx="18">
                  <c:v>2.6665153975628408</c:v>
                </c:pt>
                <c:pt idx="19">
                  <c:v>2.5528178414053802</c:v>
                </c:pt>
                <c:pt idx="20">
                  <c:v>3.5000000000000004</c:v>
                </c:pt>
              </c:numCache>
            </c:numRef>
          </c:val>
          <c:smooth val="0"/>
        </c:ser>
        <c:dLbls>
          <c:showLegendKey val="0"/>
          <c:showVal val="0"/>
          <c:showCatName val="0"/>
          <c:showSerName val="0"/>
          <c:showPercent val="0"/>
          <c:showBubbleSize val="0"/>
        </c:dLbls>
        <c:smooth val="0"/>
        <c:axId val="365444672"/>
        <c:axId val="365445232"/>
      </c:lineChart>
      <c:catAx>
        <c:axId val="365444672"/>
        <c:scaling>
          <c:orientation val="minMax"/>
        </c:scaling>
        <c:delete val="0"/>
        <c:axPos val="b"/>
        <c:numFmt formatCode="0" sourceLinked="1"/>
        <c:majorTickMark val="none"/>
        <c:minorTickMark val="none"/>
        <c:tickLblPos val="nextTo"/>
        <c:txPr>
          <a:bodyPr/>
          <a:lstStyle/>
          <a:p>
            <a:pPr>
              <a:defRPr lang="en-US"/>
            </a:pPr>
            <a:endParaRPr lang="fr-FR"/>
          </a:p>
        </c:txPr>
        <c:crossAx val="365445232"/>
        <c:crosses val="autoZero"/>
        <c:auto val="1"/>
        <c:lblAlgn val="ctr"/>
        <c:lblOffset val="100"/>
        <c:noMultiLvlLbl val="0"/>
      </c:catAx>
      <c:valAx>
        <c:axId val="365445232"/>
        <c:scaling>
          <c:orientation val="minMax"/>
        </c:scaling>
        <c:delete val="0"/>
        <c:axPos val="l"/>
        <c:numFmt formatCode="0.00" sourceLinked="1"/>
        <c:majorTickMark val="none"/>
        <c:minorTickMark val="none"/>
        <c:tickLblPos val="nextTo"/>
        <c:txPr>
          <a:bodyPr/>
          <a:lstStyle/>
          <a:p>
            <a:pPr>
              <a:defRPr lang="en-US"/>
            </a:pPr>
            <a:endParaRPr lang="fr-FR"/>
          </a:p>
        </c:txPr>
        <c:crossAx val="365444672"/>
        <c:crosses val="autoZero"/>
        <c:crossBetween val="between"/>
      </c:valAx>
    </c:plotArea>
    <c:legend>
      <c:legendPos val="b"/>
      <c:overlay val="0"/>
      <c:txPr>
        <a:bodyPr/>
        <a:lstStyle/>
        <a:p>
          <a:pPr>
            <a:defRPr lang="en-US"/>
          </a:pPr>
          <a:endParaRPr lang="fr-FR"/>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pôleagro!$B$36</c:f>
              <c:strCache>
                <c:ptCount val="1"/>
                <c:pt idx="0">
                  <c:v>Agric. vivrière</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pôleagro!$C$36:$G$36</c:f>
              <c:numCache>
                <c:formatCode>0.00</c:formatCode>
                <c:ptCount val="5"/>
                <c:pt idx="0">
                  <c:v>0.33686091292510401</c:v>
                </c:pt>
                <c:pt idx="1">
                  <c:v>0.86903221145711562</c:v>
                </c:pt>
                <c:pt idx="2">
                  <c:v>0.80360674733909065</c:v>
                </c:pt>
                <c:pt idx="3">
                  <c:v>0.47554878093998226</c:v>
                </c:pt>
                <c:pt idx="4">
                  <c:v>0.37377270737290408</c:v>
                </c:pt>
              </c:numCache>
            </c:numRef>
          </c:val>
        </c:ser>
        <c:ser>
          <c:idx val="1"/>
          <c:order val="1"/>
          <c:tx>
            <c:strRef>
              <c:f>pôleagro!$B$37</c:f>
              <c:strCache>
                <c:ptCount val="1"/>
                <c:pt idx="0">
                  <c:v>autr Agric. hors coton</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pôleagro!$C$37:$G$37</c:f>
              <c:numCache>
                <c:formatCode>0.00</c:formatCode>
                <c:ptCount val="5"/>
                <c:pt idx="0">
                  <c:v>6.360146936004879E-2</c:v>
                </c:pt>
                <c:pt idx="1">
                  <c:v>6.3855607385383539E-2</c:v>
                </c:pt>
                <c:pt idx="2">
                  <c:v>6.3840898069601096E-2</c:v>
                </c:pt>
                <c:pt idx="3">
                  <c:v>4.4077283989252404E-2</c:v>
                </c:pt>
                <c:pt idx="4">
                  <c:v>0.15132170295929498</c:v>
                </c:pt>
              </c:numCache>
            </c:numRef>
          </c:val>
        </c:ser>
        <c:ser>
          <c:idx val="2"/>
          <c:order val="2"/>
          <c:tx>
            <c:strRef>
              <c:f>pôleagro!$B$38</c:f>
              <c:strCache>
                <c:ptCount val="1"/>
                <c:pt idx="0">
                  <c:v>Elevage et chasse</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pôleagro!$C$38:$G$38</c:f>
              <c:numCache>
                <c:formatCode>0.00</c:formatCode>
                <c:ptCount val="5"/>
                <c:pt idx="0">
                  <c:v>0.1497700678268479</c:v>
                </c:pt>
                <c:pt idx="1">
                  <c:v>0.14826727689270236</c:v>
                </c:pt>
                <c:pt idx="2">
                  <c:v>0.14402936297884109</c:v>
                </c:pt>
                <c:pt idx="3">
                  <c:v>4.5342752128734412E-2</c:v>
                </c:pt>
                <c:pt idx="4">
                  <c:v>0.13104722194356053</c:v>
                </c:pt>
              </c:numCache>
            </c:numRef>
          </c:val>
        </c:ser>
        <c:ser>
          <c:idx val="3"/>
          <c:order val="3"/>
          <c:tx>
            <c:strRef>
              <c:f>pôleagro!$B$39</c:f>
              <c:strCache>
                <c:ptCount val="1"/>
                <c:pt idx="0">
                  <c:v>Forêt</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pôleagro!$C$39:$G$39</c:f>
              <c:numCache>
                <c:formatCode>0.00</c:formatCode>
                <c:ptCount val="5"/>
                <c:pt idx="0">
                  <c:v>8.9710041909087726E-2</c:v>
                </c:pt>
                <c:pt idx="1">
                  <c:v>7.9079451239915513E-2</c:v>
                </c:pt>
                <c:pt idx="2">
                  <c:v>0.15863585478250194</c:v>
                </c:pt>
                <c:pt idx="3">
                  <c:v>0.25695964669388427</c:v>
                </c:pt>
                <c:pt idx="4">
                  <c:v>5.581287631228711E-2</c:v>
                </c:pt>
              </c:numCache>
            </c:numRef>
          </c:val>
        </c:ser>
        <c:ser>
          <c:idx val="4"/>
          <c:order val="4"/>
          <c:tx>
            <c:strRef>
              <c:f>pôleagro!$B$40</c:f>
              <c:strCache>
                <c:ptCount val="1"/>
                <c:pt idx="0">
                  <c:v>Pêche</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pôleagro!$C$40:$G$40</c:f>
              <c:numCache>
                <c:formatCode>0.00</c:formatCode>
                <c:ptCount val="5"/>
                <c:pt idx="0">
                  <c:v>3.1722272751425896E-2</c:v>
                </c:pt>
                <c:pt idx="1">
                  <c:v>2.7963200862261096E-2</c:v>
                </c:pt>
                <c:pt idx="2">
                  <c:v>5.6095056322296694E-2</c:v>
                </c:pt>
                <c:pt idx="3">
                  <c:v>9.0863228074221508E-2</c:v>
                </c:pt>
                <c:pt idx="4">
                  <c:v>1.9735931984227531E-2</c:v>
                </c:pt>
              </c:numCache>
            </c:numRef>
          </c:val>
        </c:ser>
        <c:ser>
          <c:idx val="5"/>
          <c:order val="5"/>
          <c:tx>
            <c:strRef>
              <c:f>pôleagro!$B$41</c:f>
              <c:strCache>
                <c:ptCount val="1"/>
                <c:pt idx="0">
                  <c:v>Ind. Agro</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pôleagro!$C$41:$G$41</c:f>
              <c:numCache>
                <c:formatCode>0.00</c:formatCode>
                <c:ptCount val="5"/>
                <c:pt idx="0">
                  <c:v>4.1182402968925322E-2</c:v>
                </c:pt>
                <c:pt idx="1">
                  <c:v>0.10624217103266165</c:v>
                </c:pt>
                <c:pt idx="2">
                  <c:v>9.8243683454084962E-2</c:v>
                </c:pt>
                <c:pt idx="3">
                  <c:v>5.8137470916392132E-2</c:v>
                </c:pt>
                <c:pt idx="4">
                  <c:v>4.5694996549627824E-2</c:v>
                </c:pt>
              </c:numCache>
            </c:numRef>
          </c:val>
        </c:ser>
        <c:ser>
          <c:idx val="6"/>
          <c:order val="6"/>
          <c:tx>
            <c:strRef>
              <c:f>pôleagro!$B$42</c:f>
              <c:strCache>
                <c:ptCount val="1"/>
                <c:pt idx="0">
                  <c:v>Art. Agro</c:v>
                </c:pt>
              </c:strCache>
            </c:strRef>
          </c:tx>
          <c:invertIfNegative val="0"/>
          <c:cat>
            <c:numRef>
              <c:f>pôleagro!$C$35:$G$35</c:f>
              <c:numCache>
                <c:formatCode>General</c:formatCode>
                <c:ptCount val="5"/>
                <c:pt idx="0">
                  <c:v>2007</c:v>
                </c:pt>
                <c:pt idx="1">
                  <c:v>2008</c:v>
                </c:pt>
                <c:pt idx="2">
                  <c:v>2009</c:v>
                </c:pt>
                <c:pt idx="3">
                  <c:v>2010</c:v>
                </c:pt>
                <c:pt idx="4">
                  <c:v>2011</c:v>
                </c:pt>
              </c:numCache>
            </c:numRef>
          </c:cat>
          <c:val>
            <c:numRef>
              <c:f>pôleagro!$C$42:$G$42</c:f>
              <c:numCache>
                <c:formatCode>0.00</c:formatCode>
                <c:ptCount val="5"/>
                <c:pt idx="0">
                  <c:v>0.12920694743780844</c:v>
                </c:pt>
                <c:pt idx="1">
                  <c:v>0.33332748015345109</c:v>
                </c:pt>
                <c:pt idx="2">
                  <c:v>0.30823277732791493</c:v>
                </c:pt>
                <c:pt idx="3">
                  <c:v>0.18240230310333344</c:v>
                </c:pt>
                <c:pt idx="4">
                  <c:v>0.14336489839637967</c:v>
                </c:pt>
              </c:numCache>
            </c:numRef>
          </c:val>
        </c:ser>
        <c:dLbls>
          <c:showLegendKey val="0"/>
          <c:showVal val="0"/>
          <c:showCatName val="0"/>
          <c:showSerName val="0"/>
          <c:showPercent val="0"/>
          <c:showBubbleSize val="0"/>
        </c:dLbls>
        <c:gapWidth val="150"/>
        <c:axId val="349093552"/>
        <c:axId val="349094112"/>
      </c:barChart>
      <c:lineChart>
        <c:grouping val="standard"/>
        <c:varyColors val="0"/>
        <c:ser>
          <c:idx val="7"/>
          <c:order val="7"/>
          <c:tx>
            <c:strRef>
              <c:f>pôleagro!$B$43</c:f>
              <c:strCache>
                <c:ptCount val="1"/>
                <c:pt idx="0">
                  <c:v>Pole Agro et Agriculture</c:v>
                </c:pt>
              </c:strCache>
            </c:strRef>
          </c:tx>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pôleagro!$C$35:$G$35</c:f>
              <c:numCache>
                <c:formatCode>General</c:formatCode>
                <c:ptCount val="5"/>
                <c:pt idx="0">
                  <c:v>2007</c:v>
                </c:pt>
                <c:pt idx="1">
                  <c:v>2008</c:v>
                </c:pt>
                <c:pt idx="2">
                  <c:v>2009</c:v>
                </c:pt>
                <c:pt idx="3">
                  <c:v>2010</c:v>
                </c:pt>
                <c:pt idx="4">
                  <c:v>2011</c:v>
                </c:pt>
              </c:numCache>
            </c:numRef>
          </c:cat>
          <c:val>
            <c:numRef>
              <c:f>pôleagro!$C$43:$G$43</c:f>
              <c:numCache>
                <c:formatCode>0.0</c:formatCode>
                <c:ptCount val="5"/>
                <c:pt idx="0">
                  <c:v>0.84205411517921591</c:v>
                </c:pt>
                <c:pt idx="1">
                  <c:v>1.6277673990234558</c:v>
                </c:pt>
                <c:pt idx="2">
                  <c:v>1.6326843802742919</c:v>
                </c:pt>
                <c:pt idx="3">
                  <c:v>1.1533314658457687</c:v>
                </c:pt>
                <c:pt idx="4">
                  <c:v>0.92075033551824914</c:v>
                </c:pt>
              </c:numCache>
            </c:numRef>
          </c:val>
          <c:smooth val="0"/>
        </c:ser>
        <c:dLbls>
          <c:showLegendKey val="0"/>
          <c:showVal val="0"/>
          <c:showCatName val="0"/>
          <c:showSerName val="0"/>
          <c:showPercent val="0"/>
          <c:showBubbleSize val="0"/>
        </c:dLbls>
        <c:marker val="1"/>
        <c:smooth val="0"/>
        <c:axId val="349093552"/>
        <c:axId val="349094112"/>
      </c:lineChart>
      <c:catAx>
        <c:axId val="349093552"/>
        <c:scaling>
          <c:orientation val="minMax"/>
        </c:scaling>
        <c:delete val="0"/>
        <c:axPos val="b"/>
        <c:numFmt formatCode="General" sourceLinked="1"/>
        <c:majorTickMark val="out"/>
        <c:minorTickMark val="none"/>
        <c:tickLblPos val="nextTo"/>
        <c:txPr>
          <a:bodyPr/>
          <a:lstStyle/>
          <a:p>
            <a:pPr>
              <a:defRPr lang="en-US"/>
            </a:pPr>
            <a:endParaRPr lang="fr-FR"/>
          </a:p>
        </c:txPr>
        <c:crossAx val="349094112"/>
        <c:crosses val="autoZero"/>
        <c:auto val="1"/>
        <c:lblAlgn val="ctr"/>
        <c:lblOffset val="100"/>
        <c:noMultiLvlLbl val="0"/>
      </c:catAx>
      <c:valAx>
        <c:axId val="349094112"/>
        <c:scaling>
          <c:orientation val="minMax"/>
        </c:scaling>
        <c:delete val="0"/>
        <c:axPos val="l"/>
        <c:majorGridlines/>
        <c:numFmt formatCode="0.00" sourceLinked="1"/>
        <c:majorTickMark val="out"/>
        <c:minorTickMark val="none"/>
        <c:tickLblPos val="nextTo"/>
        <c:txPr>
          <a:bodyPr/>
          <a:lstStyle/>
          <a:p>
            <a:pPr>
              <a:defRPr lang="en-US"/>
            </a:pPr>
            <a:endParaRPr lang="fr-FR"/>
          </a:p>
        </c:txPr>
        <c:crossAx val="349093552"/>
        <c:crosses val="autoZero"/>
        <c:crossBetween val="between"/>
      </c:valAx>
    </c:plotArea>
    <c:legend>
      <c:legendPos val="b"/>
      <c:legendEntry>
        <c:idx val="7"/>
        <c:delete val="1"/>
      </c:legendEntry>
      <c:overlay val="0"/>
      <c:txPr>
        <a:bodyPr/>
        <a:lstStyle/>
        <a:p>
          <a:pPr>
            <a:defRPr lang="en-US"/>
          </a:pPr>
          <a:endParaRPr lang="fr-FR"/>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coton!$B$15</c:f>
              <c:strCache>
                <c:ptCount val="1"/>
                <c:pt idx="0">
                  <c:v>   coton+egren</c:v>
                </c:pt>
              </c:strCache>
            </c:strRef>
          </c:tx>
          <c:invertIfNegative val="0"/>
          <c:cat>
            <c:numRef>
              <c:f>coton!$C$13:$G$13</c:f>
              <c:numCache>
                <c:formatCode>General</c:formatCode>
                <c:ptCount val="5"/>
                <c:pt idx="0">
                  <c:v>2007</c:v>
                </c:pt>
                <c:pt idx="1">
                  <c:v>2008</c:v>
                </c:pt>
                <c:pt idx="2">
                  <c:v>2009</c:v>
                </c:pt>
                <c:pt idx="3">
                  <c:v>2010</c:v>
                </c:pt>
                <c:pt idx="4">
                  <c:v>2011</c:v>
                </c:pt>
              </c:numCache>
            </c:numRef>
          </c:cat>
          <c:val>
            <c:numRef>
              <c:f>coton!$C$15:$G$15</c:f>
              <c:numCache>
                <c:formatCode>0.00</c:formatCode>
                <c:ptCount val="5"/>
                <c:pt idx="0">
                  <c:v>0.47040033128358238</c:v>
                </c:pt>
                <c:pt idx="1">
                  <c:v>-0.5298151984549454</c:v>
                </c:pt>
                <c:pt idx="2">
                  <c:v>-0.60391837639423884</c:v>
                </c:pt>
                <c:pt idx="3">
                  <c:v>-0.36995027653101631</c:v>
                </c:pt>
                <c:pt idx="4">
                  <c:v>0.40822585227725294</c:v>
                </c:pt>
              </c:numCache>
            </c:numRef>
          </c:val>
        </c:ser>
        <c:ser>
          <c:idx val="2"/>
          <c:order val="2"/>
          <c:tx>
            <c:strRef>
              <c:f>coton!$B$16</c:f>
              <c:strCache>
                <c:ptCount val="1"/>
                <c:pt idx="0">
                  <c:v>   textil+huil</c:v>
                </c:pt>
              </c:strCache>
            </c:strRef>
          </c:tx>
          <c:invertIfNegative val="0"/>
          <c:cat>
            <c:numRef>
              <c:f>coton!$C$13:$G$13</c:f>
              <c:numCache>
                <c:formatCode>General</c:formatCode>
                <c:ptCount val="5"/>
                <c:pt idx="0">
                  <c:v>2007</c:v>
                </c:pt>
                <c:pt idx="1">
                  <c:v>2008</c:v>
                </c:pt>
                <c:pt idx="2">
                  <c:v>2009</c:v>
                </c:pt>
                <c:pt idx="3">
                  <c:v>2010</c:v>
                </c:pt>
                <c:pt idx="4">
                  <c:v>2011</c:v>
                </c:pt>
              </c:numCache>
            </c:numRef>
          </c:cat>
          <c:val>
            <c:numRef>
              <c:f>coton!$C$16:$G$16</c:f>
              <c:numCache>
                <c:formatCode>0.00</c:formatCode>
                <c:ptCount val="5"/>
                <c:pt idx="0">
                  <c:v>-4.8622979976383734E-2</c:v>
                </c:pt>
                <c:pt idx="1">
                  <c:v>-5.6250629665074237E-3</c:v>
                </c:pt>
                <c:pt idx="2">
                  <c:v>-2.6104738913100712E-2</c:v>
                </c:pt>
                <c:pt idx="3">
                  <c:v>-4.0502767755552171E-2</c:v>
                </c:pt>
                <c:pt idx="4">
                  <c:v>9.6707967009777226E-3</c:v>
                </c:pt>
              </c:numCache>
            </c:numRef>
          </c:val>
        </c:ser>
        <c:ser>
          <c:idx val="3"/>
          <c:order val="3"/>
          <c:tx>
            <c:strRef>
              <c:f>coton!$B$17</c:f>
              <c:strCache>
                <c:ptCount val="1"/>
                <c:pt idx="0">
                  <c:v>   artisanat</c:v>
                </c:pt>
              </c:strCache>
            </c:strRef>
          </c:tx>
          <c:invertIfNegative val="0"/>
          <c:cat>
            <c:numRef>
              <c:f>coton!$C$13:$G$13</c:f>
              <c:numCache>
                <c:formatCode>General</c:formatCode>
                <c:ptCount val="5"/>
                <c:pt idx="0">
                  <c:v>2007</c:v>
                </c:pt>
                <c:pt idx="1">
                  <c:v>2008</c:v>
                </c:pt>
                <c:pt idx="2">
                  <c:v>2009</c:v>
                </c:pt>
                <c:pt idx="3">
                  <c:v>2010</c:v>
                </c:pt>
                <c:pt idx="4">
                  <c:v>2011</c:v>
                </c:pt>
              </c:numCache>
            </c:numRef>
          </c:cat>
          <c:val>
            <c:numRef>
              <c:f>coton!$C$17:$G$17</c:f>
              <c:numCache>
                <c:formatCode>0.00</c:formatCode>
                <c:ptCount val="5"/>
                <c:pt idx="0">
                  <c:v>2.4360128256892127E-2</c:v>
                </c:pt>
                <c:pt idx="1">
                  <c:v>2.4038195330550904E-2</c:v>
                </c:pt>
                <c:pt idx="2">
                  <c:v>2.3620669641783509E-2</c:v>
                </c:pt>
                <c:pt idx="3">
                  <c:v>2.3746229949251577E-2</c:v>
                </c:pt>
                <c:pt idx="4">
                  <c:v>2.388477612668E-2</c:v>
                </c:pt>
              </c:numCache>
            </c:numRef>
          </c:val>
        </c:ser>
        <c:dLbls>
          <c:showLegendKey val="0"/>
          <c:showVal val="0"/>
          <c:showCatName val="0"/>
          <c:showSerName val="0"/>
          <c:showPercent val="0"/>
          <c:showBubbleSize val="0"/>
        </c:dLbls>
        <c:gapWidth val="150"/>
        <c:axId val="360292560"/>
        <c:axId val="360293120"/>
      </c:barChart>
      <c:lineChart>
        <c:grouping val="standard"/>
        <c:varyColors val="0"/>
        <c:ser>
          <c:idx val="0"/>
          <c:order val="0"/>
          <c:tx>
            <c:strRef>
              <c:f>coton!$B$14</c:f>
              <c:strCache>
                <c:ptCount val="1"/>
                <c:pt idx="0">
                  <c:v>Coton-Textile</c:v>
                </c:pt>
              </c:strCache>
            </c:strRef>
          </c:tx>
          <c:cat>
            <c:numRef>
              <c:f>coton!$C$13:$G$13</c:f>
              <c:numCache>
                <c:formatCode>General</c:formatCode>
                <c:ptCount val="5"/>
                <c:pt idx="0">
                  <c:v>2007</c:v>
                </c:pt>
                <c:pt idx="1">
                  <c:v>2008</c:v>
                </c:pt>
                <c:pt idx="2">
                  <c:v>2009</c:v>
                </c:pt>
                <c:pt idx="3">
                  <c:v>2010</c:v>
                </c:pt>
                <c:pt idx="4">
                  <c:v>2011</c:v>
                </c:pt>
              </c:numCache>
            </c:numRef>
          </c:cat>
          <c:val>
            <c:numRef>
              <c:f>coton!$C$14:$G$14</c:f>
              <c:numCache>
                <c:formatCode>0.00</c:formatCode>
                <c:ptCount val="5"/>
                <c:pt idx="0">
                  <c:v>0.44613747956408567</c:v>
                </c:pt>
                <c:pt idx="1">
                  <c:v>-0.51140206609089989</c:v>
                </c:pt>
                <c:pt idx="2">
                  <c:v>-0.60640244566555634</c:v>
                </c:pt>
                <c:pt idx="3">
                  <c:v>-0.38670681433732945</c:v>
                </c:pt>
                <c:pt idx="4">
                  <c:v>0.44178142510489832</c:v>
                </c:pt>
              </c:numCache>
            </c:numRef>
          </c:val>
          <c:smooth val="0"/>
        </c:ser>
        <c:dLbls>
          <c:showLegendKey val="0"/>
          <c:showVal val="0"/>
          <c:showCatName val="0"/>
          <c:showSerName val="0"/>
          <c:showPercent val="0"/>
          <c:showBubbleSize val="0"/>
        </c:dLbls>
        <c:marker val="1"/>
        <c:smooth val="0"/>
        <c:axId val="360292560"/>
        <c:axId val="360293120"/>
      </c:lineChart>
      <c:catAx>
        <c:axId val="360292560"/>
        <c:scaling>
          <c:orientation val="minMax"/>
        </c:scaling>
        <c:delete val="0"/>
        <c:axPos val="b"/>
        <c:numFmt formatCode="General" sourceLinked="1"/>
        <c:majorTickMark val="out"/>
        <c:minorTickMark val="none"/>
        <c:tickLblPos val="nextTo"/>
        <c:txPr>
          <a:bodyPr/>
          <a:lstStyle/>
          <a:p>
            <a:pPr>
              <a:defRPr lang="en-US"/>
            </a:pPr>
            <a:endParaRPr lang="fr-FR"/>
          </a:p>
        </c:txPr>
        <c:crossAx val="360293120"/>
        <c:crosses val="autoZero"/>
        <c:auto val="1"/>
        <c:lblAlgn val="ctr"/>
        <c:lblOffset val="100"/>
        <c:noMultiLvlLbl val="0"/>
      </c:catAx>
      <c:valAx>
        <c:axId val="360293120"/>
        <c:scaling>
          <c:orientation val="minMax"/>
        </c:scaling>
        <c:delete val="0"/>
        <c:axPos val="l"/>
        <c:majorGridlines/>
        <c:numFmt formatCode="0.00" sourceLinked="1"/>
        <c:majorTickMark val="out"/>
        <c:minorTickMark val="none"/>
        <c:tickLblPos val="nextTo"/>
        <c:txPr>
          <a:bodyPr/>
          <a:lstStyle/>
          <a:p>
            <a:pPr>
              <a:defRPr lang="en-US"/>
            </a:pPr>
            <a:endParaRPr lang="fr-FR"/>
          </a:p>
        </c:txPr>
        <c:crossAx val="360292560"/>
        <c:crosses val="autoZero"/>
        <c:crossBetween val="between"/>
      </c:valAx>
    </c:plotArea>
    <c:legend>
      <c:legendPos val="b"/>
      <c:legendEntry>
        <c:idx val="3"/>
        <c:delete val="1"/>
      </c:legendEntry>
      <c:overlay val="0"/>
      <c:txPr>
        <a:bodyPr/>
        <a:lstStyle/>
        <a:p>
          <a:pPr>
            <a:defRPr lang="en-US"/>
          </a:pPr>
          <a:endParaRPr lang="fr-FR"/>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commerce!$B$15</c:f>
              <c:strCache>
                <c:ptCount val="1"/>
                <c:pt idx="0">
                  <c:v>Commerce formel</c:v>
                </c:pt>
              </c:strCache>
            </c:strRef>
          </c:tx>
          <c:invertIfNegative val="0"/>
          <c:cat>
            <c:numRef>
              <c:f>commerce!$C$13:$G$13</c:f>
              <c:numCache>
                <c:formatCode>General</c:formatCode>
                <c:ptCount val="5"/>
                <c:pt idx="0">
                  <c:v>2007</c:v>
                </c:pt>
                <c:pt idx="1">
                  <c:v>2008</c:v>
                </c:pt>
                <c:pt idx="2">
                  <c:v>2009</c:v>
                </c:pt>
                <c:pt idx="3">
                  <c:v>2010</c:v>
                </c:pt>
                <c:pt idx="4">
                  <c:v>2011</c:v>
                </c:pt>
              </c:numCache>
            </c:numRef>
          </c:cat>
          <c:val>
            <c:numRef>
              <c:f>commerce!$C$15:$G$15</c:f>
              <c:numCache>
                <c:formatCode>0.00</c:formatCode>
                <c:ptCount val="5"/>
                <c:pt idx="0">
                  <c:v>0.31744275551516132</c:v>
                </c:pt>
                <c:pt idx="1">
                  <c:v>0.45597493401667138</c:v>
                </c:pt>
                <c:pt idx="2">
                  <c:v>2.6631002510040358E-2</c:v>
                </c:pt>
                <c:pt idx="3">
                  <c:v>0.10073934964195062</c:v>
                </c:pt>
                <c:pt idx="4">
                  <c:v>8.5960758085332795E-2</c:v>
                </c:pt>
              </c:numCache>
            </c:numRef>
          </c:val>
        </c:ser>
        <c:ser>
          <c:idx val="2"/>
          <c:order val="2"/>
          <c:tx>
            <c:strRef>
              <c:f>commerce!$B$16</c:f>
              <c:strCache>
                <c:ptCount val="1"/>
                <c:pt idx="0">
                  <c:v>Commerce informel</c:v>
                </c:pt>
              </c:strCache>
            </c:strRef>
          </c:tx>
          <c:invertIfNegative val="0"/>
          <c:cat>
            <c:numRef>
              <c:f>commerce!$C$13:$G$13</c:f>
              <c:numCache>
                <c:formatCode>General</c:formatCode>
                <c:ptCount val="5"/>
                <c:pt idx="0">
                  <c:v>2007</c:v>
                </c:pt>
                <c:pt idx="1">
                  <c:v>2008</c:v>
                </c:pt>
                <c:pt idx="2">
                  <c:v>2009</c:v>
                </c:pt>
                <c:pt idx="3">
                  <c:v>2010</c:v>
                </c:pt>
                <c:pt idx="4">
                  <c:v>2011</c:v>
                </c:pt>
              </c:numCache>
            </c:numRef>
          </c:cat>
          <c:val>
            <c:numRef>
              <c:f>commerce!$C$16:$G$16</c:f>
              <c:numCache>
                <c:formatCode>0.00</c:formatCode>
                <c:ptCount val="5"/>
                <c:pt idx="0">
                  <c:v>0.22689041265089074</c:v>
                </c:pt>
                <c:pt idx="1">
                  <c:v>0.32590550308706356</c:v>
                </c:pt>
                <c:pt idx="2">
                  <c:v>1.9034358301872847E-2</c:v>
                </c:pt>
                <c:pt idx="3">
                  <c:v>7.2002879931379812E-2</c:v>
                </c:pt>
                <c:pt idx="4">
                  <c:v>6.1439965269054646E-2</c:v>
                </c:pt>
              </c:numCache>
            </c:numRef>
          </c:val>
        </c:ser>
        <c:ser>
          <c:idx val="3"/>
          <c:order val="3"/>
          <c:tx>
            <c:strRef>
              <c:f>commerce!$B$17</c:f>
              <c:strCache>
                <c:ptCount val="1"/>
                <c:pt idx="0">
                  <c:v>Logistique</c:v>
                </c:pt>
              </c:strCache>
            </c:strRef>
          </c:tx>
          <c:invertIfNegative val="0"/>
          <c:cat>
            <c:numRef>
              <c:f>commerce!$C$13:$G$13</c:f>
              <c:numCache>
                <c:formatCode>General</c:formatCode>
                <c:ptCount val="5"/>
                <c:pt idx="0">
                  <c:v>2007</c:v>
                </c:pt>
                <c:pt idx="1">
                  <c:v>2008</c:v>
                </c:pt>
                <c:pt idx="2">
                  <c:v>2009</c:v>
                </c:pt>
                <c:pt idx="3">
                  <c:v>2010</c:v>
                </c:pt>
                <c:pt idx="4">
                  <c:v>2011</c:v>
                </c:pt>
              </c:numCache>
            </c:numRef>
          </c:cat>
          <c:val>
            <c:numRef>
              <c:f>commerce!$C$17:$G$17</c:f>
              <c:numCache>
                <c:formatCode>0.00</c:formatCode>
                <c:ptCount val="5"/>
                <c:pt idx="0">
                  <c:v>0.44156860829812061</c:v>
                </c:pt>
                <c:pt idx="1">
                  <c:v>0.4766099181479998</c:v>
                </c:pt>
                <c:pt idx="2">
                  <c:v>0.68248545449164655</c:v>
                </c:pt>
                <c:pt idx="3">
                  <c:v>0.14940922214200847</c:v>
                </c:pt>
                <c:pt idx="4">
                  <c:v>0.30051365009323716</c:v>
                </c:pt>
              </c:numCache>
            </c:numRef>
          </c:val>
        </c:ser>
        <c:dLbls>
          <c:showLegendKey val="0"/>
          <c:showVal val="0"/>
          <c:showCatName val="0"/>
          <c:showSerName val="0"/>
          <c:showPercent val="0"/>
          <c:showBubbleSize val="0"/>
        </c:dLbls>
        <c:gapWidth val="150"/>
        <c:axId val="360297040"/>
        <c:axId val="360297600"/>
      </c:barChart>
      <c:lineChart>
        <c:grouping val="standard"/>
        <c:varyColors val="0"/>
        <c:ser>
          <c:idx val="0"/>
          <c:order val="0"/>
          <c:tx>
            <c:strRef>
              <c:f>commerce!$B$14</c:f>
              <c:strCache>
                <c:ptCount val="1"/>
                <c:pt idx="0">
                  <c:v>Commerce-logistique</c:v>
                </c:pt>
              </c:strCache>
            </c:strRef>
          </c:tx>
          <c:cat>
            <c:numRef>
              <c:f>commerce!$C$13:$G$13</c:f>
              <c:numCache>
                <c:formatCode>General</c:formatCode>
                <c:ptCount val="5"/>
                <c:pt idx="0">
                  <c:v>2007</c:v>
                </c:pt>
                <c:pt idx="1">
                  <c:v>2008</c:v>
                </c:pt>
                <c:pt idx="2">
                  <c:v>2009</c:v>
                </c:pt>
                <c:pt idx="3">
                  <c:v>2010</c:v>
                </c:pt>
                <c:pt idx="4">
                  <c:v>2011</c:v>
                </c:pt>
              </c:numCache>
            </c:numRef>
          </c:cat>
          <c:val>
            <c:numRef>
              <c:f>commerce!$C$14:$G$14</c:f>
              <c:numCache>
                <c:formatCode>0.00</c:formatCode>
                <c:ptCount val="5"/>
                <c:pt idx="0">
                  <c:v>0.98590177646420063</c:v>
                </c:pt>
                <c:pt idx="1">
                  <c:v>1.258490355251709</c:v>
                </c:pt>
                <c:pt idx="2">
                  <c:v>0.72815081530360026</c:v>
                </c:pt>
                <c:pt idx="3">
                  <c:v>0.32215145171533122</c:v>
                </c:pt>
                <c:pt idx="4">
                  <c:v>0.44791437344763801</c:v>
                </c:pt>
              </c:numCache>
            </c:numRef>
          </c:val>
          <c:smooth val="0"/>
        </c:ser>
        <c:dLbls>
          <c:showLegendKey val="0"/>
          <c:showVal val="0"/>
          <c:showCatName val="0"/>
          <c:showSerName val="0"/>
          <c:showPercent val="0"/>
          <c:showBubbleSize val="0"/>
        </c:dLbls>
        <c:marker val="1"/>
        <c:smooth val="0"/>
        <c:axId val="360297040"/>
        <c:axId val="360297600"/>
      </c:lineChart>
      <c:catAx>
        <c:axId val="360297040"/>
        <c:scaling>
          <c:orientation val="minMax"/>
        </c:scaling>
        <c:delete val="0"/>
        <c:axPos val="b"/>
        <c:numFmt formatCode="General" sourceLinked="1"/>
        <c:majorTickMark val="out"/>
        <c:minorTickMark val="none"/>
        <c:tickLblPos val="nextTo"/>
        <c:txPr>
          <a:bodyPr/>
          <a:lstStyle/>
          <a:p>
            <a:pPr>
              <a:defRPr lang="en-US"/>
            </a:pPr>
            <a:endParaRPr lang="fr-FR"/>
          </a:p>
        </c:txPr>
        <c:crossAx val="360297600"/>
        <c:crosses val="autoZero"/>
        <c:auto val="1"/>
        <c:lblAlgn val="ctr"/>
        <c:lblOffset val="100"/>
        <c:noMultiLvlLbl val="0"/>
      </c:catAx>
      <c:valAx>
        <c:axId val="360297600"/>
        <c:scaling>
          <c:orientation val="minMax"/>
        </c:scaling>
        <c:delete val="0"/>
        <c:axPos val="l"/>
        <c:majorGridlines/>
        <c:numFmt formatCode="0.00" sourceLinked="1"/>
        <c:majorTickMark val="out"/>
        <c:minorTickMark val="none"/>
        <c:tickLblPos val="nextTo"/>
        <c:txPr>
          <a:bodyPr/>
          <a:lstStyle/>
          <a:p>
            <a:pPr>
              <a:defRPr lang="en-US"/>
            </a:pPr>
            <a:endParaRPr lang="fr-FR"/>
          </a:p>
        </c:txPr>
        <c:crossAx val="360297040"/>
        <c:crosses val="autoZero"/>
        <c:crossBetween val="between"/>
      </c:valAx>
    </c:plotArea>
    <c:legend>
      <c:legendPos val="b"/>
      <c:legendEntry>
        <c:idx val="3"/>
        <c:delete val="1"/>
      </c:legendEntry>
      <c:overlay val="0"/>
      <c:txPr>
        <a:bodyPr/>
        <a:lstStyle/>
        <a:p>
          <a:pPr>
            <a:defRPr lang="en-US">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artisanat!$A$5</c:f>
              <c:strCache>
                <c:ptCount val="1"/>
                <c:pt idx="0">
                  <c:v>Artisanat</c:v>
                </c:pt>
              </c:strCache>
            </c:strRef>
          </c:tx>
          <c:invertIfNegative val="0"/>
          <c:cat>
            <c:numRef>
              <c:f>artisanat!$B$3:$F$3</c:f>
              <c:numCache>
                <c:formatCode>General</c:formatCode>
                <c:ptCount val="5"/>
                <c:pt idx="0">
                  <c:v>2007</c:v>
                </c:pt>
                <c:pt idx="1">
                  <c:v>2008</c:v>
                </c:pt>
                <c:pt idx="2">
                  <c:v>2009</c:v>
                </c:pt>
                <c:pt idx="3">
                  <c:v>2010</c:v>
                </c:pt>
                <c:pt idx="4">
                  <c:v>2011</c:v>
                </c:pt>
              </c:numCache>
            </c:numRef>
          </c:cat>
          <c:val>
            <c:numRef>
              <c:f>artisanat!$B$5:$F$5</c:f>
              <c:numCache>
                <c:formatCode>0.00</c:formatCode>
                <c:ptCount val="5"/>
                <c:pt idx="0">
                  <c:v>0.61285609814444275</c:v>
                </c:pt>
                <c:pt idx="1">
                  <c:v>0.86287365852875952</c:v>
                </c:pt>
                <c:pt idx="2">
                  <c:v>0.6230050947323218</c:v>
                </c:pt>
                <c:pt idx="3">
                  <c:v>0.36929214634249935</c:v>
                </c:pt>
                <c:pt idx="4">
                  <c:v>0.58241259901223674</c:v>
                </c:pt>
              </c:numCache>
            </c:numRef>
          </c:val>
        </c:ser>
        <c:ser>
          <c:idx val="2"/>
          <c:order val="2"/>
          <c:tx>
            <c:strRef>
              <c:f>artisanat!$A$6</c:f>
              <c:strCache>
                <c:ptCount val="1"/>
                <c:pt idx="0">
                  <c:v>Culture, tourisme</c:v>
                </c:pt>
              </c:strCache>
            </c:strRef>
          </c:tx>
          <c:invertIfNegative val="0"/>
          <c:cat>
            <c:numRef>
              <c:f>artisanat!$B$3:$F$3</c:f>
              <c:numCache>
                <c:formatCode>General</c:formatCode>
                <c:ptCount val="5"/>
                <c:pt idx="0">
                  <c:v>2007</c:v>
                </c:pt>
                <c:pt idx="1">
                  <c:v>2008</c:v>
                </c:pt>
                <c:pt idx="2">
                  <c:v>2009</c:v>
                </c:pt>
                <c:pt idx="3">
                  <c:v>2010</c:v>
                </c:pt>
                <c:pt idx="4">
                  <c:v>2011</c:v>
                </c:pt>
              </c:numCache>
            </c:numRef>
          </c:cat>
          <c:val>
            <c:numRef>
              <c:f>artisanat!$B$6:$F$6</c:f>
              <c:numCache>
                <c:formatCode>0.00</c:formatCode>
                <c:ptCount val="5"/>
                <c:pt idx="0">
                  <c:v>3.0247925475592845E-2</c:v>
                </c:pt>
                <c:pt idx="1">
                  <c:v>3.3166235145082178E-2</c:v>
                </c:pt>
                <c:pt idx="2">
                  <c:v>1.7521985047758325E-2</c:v>
                </c:pt>
                <c:pt idx="3">
                  <c:v>1.717248978314851E-2</c:v>
                </c:pt>
                <c:pt idx="4">
                  <c:v>2.2896449049605635E-2</c:v>
                </c:pt>
              </c:numCache>
            </c:numRef>
          </c:val>
        </c:ser>
        <c:dLbls>
          <c:showLegendKey val="0"/>
          <c:showVal val="0"/>
          <c:showCatName val="0"/>
          <c:showSerName val="0"/>
          <c:showPercent val="0"/>
          <c:showBubbleSize val="0"/>
        </c:dLbls>
        <c:gapWidth val="150"/>
        <c:axId val="356066736"/>
        <c:axId val="356067296"/>
      </c:barChart>
      <c:lineChart>
        <c:grouping val="standard"/>
        <c:varyColors val="0"/>
        <c:ser>
          <c:idx val="0"/>
          <c:order val="0"/>
          <c:tx>
            <c:strRef>
              <c:f>artisanat!$A$4</c:f>
              <c:strCache>
                <c:ptCount val="1"/>
                <c:pt idx="0">
                  <c:v>Artisanat, culture et tourisme</c:v>
                </c:pt>
              </c:strCache>
            </c:strRef>
          </c:tx>
          <c:cat>
            <c:numRef>
              <c:f>artisanat!$B$3:$F$3</c:f>
              <c:numCache>
                <c:formatCode>General</c:formatCode>
                <c:ptCount val="5"/>
                <c:pt idx="0">
                  <c:v>2007</c:v>
                </c:pt>
                <c:pt idx="1">
                  <c:v>2008</c:v>
                </c:pt>
                <c:pt idx="2">
                  <c:v>2009</c:v>
                </c:pt>
                <c:pt idx="3">
                  <c:v>2010</c:v>
                </c:pt>
                <c:pt idx="4">
                  <c:v>2011</c:v>
                </c:pt>
              </c:numCache>
            </c:numRef>
          </c:cat>
          <c:val>
            <c:numRef>
              <c:f>artisanat!$B$4:$F$4</c:f>
              <c:numCache>
                <c:formatCode>0.00</c:formatCode>
                <c:ptCount val="5"/>
                <c:pt idx="0">
                  <c:v>0.6431040236200618</c:v>
                </c:pt>
                <c:pt idx="1">
                  <c:v>0.8960398936738394</c:v>
                </c:pt>
                <c:pt idx="2">
                  <c:v>0.64052707978007883</c:v>
                </c:pt>
                <c:pt idx="3">
                  <c:v>0.38646463612567228</c:v>
                </c:pt>
                <c:pt idx="4">
                  <c:v>0.60530904806190633</c:v>
                </c:pt>
              </c:numCache>
            </c:numRef>
          </c:val>
          <c:smooth val="0"/>
        </c:ser>
        <c:dLbls>
          <c:showLegendKey val="0"/>
          <c:showVal val="0"/>
          <c:showCatName val="0"/>
          <c:showSerName val="0"/>
          <c:showPercent val="0"/>
          <c:showBubbleSize val="0"/>
        </c:dLbls>
        <c:marker val="1"/>
        <c:smooth val="0"/>
        <c:axId val="356066736"/>
        <c:axId val="356067296"/>
      </c:lineChart>
      <c:catAx>
        <c:axId val="356066736"/>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fr-FR"/>
          </a:p>
        </c:txPr>
        <c:crossAx val="356067296"/>
        <c:crosses val="autoZero"/>
        <c:auto val="1"/>
        <c:lblAlgn val="ctr"/>
        <c:lblOffset val="100"/>
        <c:noMultiLvlLbl val="0"/>
      </c:catAx>
      <c:valAx>
        <c:axId val="356067296"/>
        <c:scaling>
          <c:orientation val="minMax"/>
        </c:scaling>
        <c:delete val="0"/>
        <c:axPos val="l"/>
        <c:majorGridlines/>
        <c:numFmt formatCode="0.00" sourceLinked="1"/>
        <c:majorTickMark val="out"/>
        <c:minorTickMark val="none"/>
        <c:tickLblPos val="nextTo"/>
        <c:txPr>
          <a:bodyPr/>
          <a:lstStyle/>
          <a:p>
            <a:pPr>
              <a:defRPr lang="en-US"/>
            </a:pPr>
            <a:endParaRPr lang="fr-FR"/>
          </a:p>
        </c:txPr>
        <c:crossAx val="356066736"/>
        <c:crosses val="autoZero"/>
        <c:crossBetween val="between"/>
      </c:valAx>
    </c:plotArea>
    <c:legend>
      <c:legendPos val="b"/>
      <c:legendEntry>
        <c:idx val="2"/>
        <c:delete val="1"/>
      </c:legendEntry>
      <c:overlay val="0"/>
      <c:txPr>
        <a:bodyPr/>
        <a:lstStyle/>
        <a:p>
          <a:pPr>
            <a:defRPr lang="en-US">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BM!$B$25</c:f>
              <c:strCache>
                <c:ptCount val="1"/>
                <c:pt idx="0">
                  <c:v>Variation de la pauvreté</c:v>
                </c:pt>
              </c:strCache>
            </c:strRef>
          </c:tx>
          <c:invertIfNegative val="0"/>
          <c:dLbls>
            <c:delete val="1"/>
          </c:dLbls>
          <c:cat>
            <c:strRef>
              <c:f>BM!$A$26:$A$32</c:f>
              <c:strCache>
                <c:ptCount val="7"/>
                <c:pt idx="0">
                  <c:v>Agriculture hors coton</c:v>
                </c:pt>
                <c:pt idx="1">
                  <c:v>Coton-Textile</c:v>
                </c:pt>
                <c:pt idx="2">
                  <c:v>Commerce-logistique</c:v>
                </c:pt>
                <c:pt idx="3">
                  <c:v>Agroalimentaire</c:v>
                </c:pt>
                <c:pt idx="4">
                  <c:v>BTP - matériaux de construction</c:v>
                </c:pt>
                <c:pt idx="5">
                  <c:v>Artisanat, culture et tourisme</c:v>
                </c:pt>
                <c:pt idx="6">
                  <c:v>Bénin</c:v>
                </c:pt>
              </c:strCache>
            </c:strRef>
          </c:cat>
          <c:val>
            <c:numRef>
              <c:f>BM!$B$26:$B$32</c:f>
              <c:numCache>
                <c:formatCode>0.0</c:formatCode>
                <c:ptCount val="7"/>
                <c:pt idx="0">
                  <c:v>2.1889626979827881</c:v>
                </c:pt>
                <c:pt idx="1">
                  <c:v>-11.99058294296271</c:v>
                </c:pt>
                <c:pt idx="2">
                  <c:v>3.1038492918014602</c:v>
                </c:pt>
                <c:pt idx="3">
                  <c:v>5.3995698690414375</c:v>
                </c:pt>
                <c:pt idx="4">
                  <c:v>-0.30287206172943626</c:v>
                </c:pt>
                <c:pt idx="5">
                  <c:v>-2.2716939449310312</c:v>
                </c:pt>
                <c:pt idx="6">
                  <c:v>-2.2999999999999972</c:v>
                </c:pt>
              </c:numCache>
            </c:numRef>
          </c:val>
        </c:ser>
        <c:ser>
          <c:idx val="1"/>
          <c:order val="1"/>
          <c:tx>
            <c:strRef>
              <c:f>BM!$C$25</c:f>
              <c:strCache>
                <c:ptCount val="1"/>
                <c:pt idx="0">
                  <c:v>Taux de croissance moyen annuel</c:v>
                </c:pt>
              </c:strCache>
            </c:strRef>
          </c:tx>
          <c:invertIfNegative val="0"/>
          <c:dLbls>
            <c:delete val="1"/>
          </c:dLbls>
          <c:cat>
            <c:strRef>
              <c:f>BM!$A$26:$A$32</c:f>
              <c:strCache>
                <c:ptCount val="7"/>
                <c:pt idx="0">
                  <c:v>Agriculture hors coton</c:v>
                </c:pt>
                <c:pt idx="1">
                  <c:v>Coton-Textile</c:v>
                </c:pt>
                <c:pt idx="2">
                  <c:v>Commerce-logistique</c:v>
                </c:pt>
                <c:pt idx="3">
                  <c:v>Agroalimentaire</c:v>
                </c:pt>
                <c:pt idx="4">
                  <c:v>BTP - matériaux de construction</c:v>
                </c:pt>
                <c:pt idx="5">
                  <c:v>Artisanat, culture et tourisme</c:v>
                </c:pt>
                <c:pt idx="6">
                  <c:v>Bénin</c:v>
                </c:pt>
              </c:strCache>
            </c:strRef>
          </c:cat>
          <c:val>
            <c:numRef>
              <c:f>BM!$C$26:$C$32</c:f>
              <c:numCache>
                <c:formatCode>0.00</c:formatCode>
                <c:ptCount val="7"/>
                <c:pt idx="0">
                  <c:v>4.1205612199218775</c:v>
                </c:pt>
                <c:pt idx="1">
                  <c:v>-3.0254072749950192</c:v>
                </c:pt>
                <c:pt idx="2">
                  <c:v>5.1627451745904445</c:v>
                </c:pt>
                <c:pt idx="3">
                  <c:v>3.3250190336370578</c:v>
                </c:pt>
                <c:pt idx="4">
                  <c:v>6.0818986272987763</c:v>
                </c:pt>
                <c:pt idx="5">
                  <c:v>4.3732011551771599</c:v>
                </c:pt>
                <c:pt idx="6">
                  <c:v>4.021280392009019</c:v>
                </c:pt>
              </c:numCache>
            </c:numRef>
          </c:val>
        </c:ser>
        <c:dLbls>
          <c:showLegendKey val="0"/>
          <c:showVal val="1"/>
          <c:showCatName val="0"/>
          <c:showSerName val="0"/>
          <c:showPercent val="0"/>
          <c:showBubbleSize val="0"/>
        </c:dLbls>
        <c:gapWidth val="75"/>
        <c:axId val="356070096"/>
        <c:axId val="356070656"/>
      </c:barChart>
      <c:catAx>
        <c:axId val="356070096"/>
        <c:scaling>
          <c:orientation val="minMax"/>
        </c:scaling>
        <c:delete val="0"/>
        <c:axPos val="b"/>
        <c:numFmt formatCode="General" sourceLinked="0"/>
        <c:majorTickMark val="none"/>
        <c:minorTickMark val="none"/>
        <c:tickLblPos val="nextTo"/>
        <c:txPr>
          <a:bodyPr rot="5400000" vert="horz"/>
          <a:lstStyle/>
          <a:p>
            <a:pPr>
              <a:defRPr>
                <a:latin typeface="Times New Roman" pitchFamily="18" charset="0"/>
                <a:cs typeface="Times New Roman" pitchFamily="18" charset="0"/>
              </a:defRPr>
            </a:pPr>
            <a:endParaRPr lang="fr-FR"/>
          </a:p>
        </c:txPr>
        <c:crossAx val="356070656"/>
        <c:crosses val="autoZero"/>
        <c:auto val="1"/>
        <c:lblAlgn val="ctr"/>
        <c:lblOffset val="100"/>
        <c:noMultiLvlLbl val="0"/>
      </c:catAx>
      <c:valAx>
        <c:axId val="356070656"/>
        <c:scaling>
          <c:orientation val="minMax"/>
        </c:scaling>
        <c:delete val="0"/>
        <c:axPos val="l"/>
        <c:numFmt formatCode="0.0" sourceLinked="1"/>
        <c:majorTickMark val="none"/>
        <c:minorTickMark val="none"/>
        <c:tickLblPos val="nextTo"/>
        <c:txPr>
          <a:bodyPr/>
          <a:lstStyle/>
          <a:p>
            <a:pPr>
              <a:defRPr sz="900" baseline="0">
                <a:latin typeface="Times New Roman" pitchFamily="18" charset="0"/>
                <a:cs typeface="Times New Roman" pitchFamily="18" charset="0"/>
              </a:defRPr>
            </a:pPr>
            <a:endParaRPr lang="fr-FR"/>
          </a:p>
        </c:txPr>
        <c:crossAx val="356070096"/>
        <c:crosses val="autoZero"/>
        <c:crossBetween val="between"/>
        <c:majorUnit val="2"/>
      </c:valAx>
    </c:plotArea>
    <c:legend>
      <c:legendPos val="b"/>
      <c:overlay val="0"/>
      <c:txPr>
        <a:bodyPr/>
        <a:lstStyle/>
        <a:p>
          <a:pPr>
            <a:defRPr>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7.8514537199222023E-2"/>
          <c:y val="5.5973153629194465E-2"/>
          <c:w val="0.89006246954682156"/>
          <c:h val="0.55162591337567646"/>
        </c:manualLayout>
      </c:layout>
      <c:barChart>
        <c:barDir val="col"/>
        <c:grouping val="clustered"/>
        <c:varyColors val="0"/>
        <c:ser>
          <c:idx val="0"/>
          <c:order val="0"/>
          <c:tx>
            <c:strRef>
              <c:f>prevalence!$B$2</c:f>
              <c:strCache>
                <c:ptCount val="1"/>
                <c:pt idx="0">
                  <c:v>Chocs sociaux</c:v>
                </c:pt>
              </c:strCache>
            </c:strRef>
          </c:tx>
          <c:spPr>
            <a:blipFill>
              <a:blip xmlns:r="http://schemas.openxmlformats.org/officeDocument/2006/relationships" r:embed="rId1"/>
              <a:tile tx="0" ty="0" sx="100000" sy="100000" flip="none" algn="tl"/>
            </a:blipFill>
          </c:spPr>
          <c:invertIfNegative val="0"/>
          <c:cat>
            <c:strRef>
              <c:f>prevalence!$A$12:$A$23</c:f>
              <c:strCache>
                <c:ptCount val="12"/>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strCache>
            </c:strRef>
          </c:cat>
          <c:val>
            <c:numRef>
              <c:f>prevalence!$B$12:$B$23</c:f>
              <c:numCache>
                <c:formatCode>####.0</c:formatCode>
                <c:ptCount val="12"/>
                <c:pt idx="0">
                  <c:v>7.1868528777619245</c:v>
                </c:pt>
                <c:pt idx="1">
                  <c:v>9.6552026400863724</c:v>
                </c:pt>
                <c:pt idx="2">
                  <c:v>10.644696746711441</c:v>
                </c:pt>
                <c:pt idx="3">
                  <c:v>8.0189058529941519</c:v>
                </c:pt>
                <c:pt idx="4">
                  <c:v>17.969050814093674</c:v>
                </c:pt>
                <c:pt idx="5">
                  <c:v>22.668592679704489</c:v>
                </c:pt>
                <c:pt idx="6">
                  <c:v>18.420466799768526</c:v>
                </c:pt>
                <c:pt idx="7">
                  <c:v>10.653467029661179</c:v>
                </c:pt>
                <c:pt idx="8">
                  <c:v>21.909806617864437</c:v>
                </c:pt>
                <c:pt idx="9">
                  <c:v>17.727028621399565</c:v>
                </c:pt>
                <c:pt idx="10">
                  <c:v>8.0134986594197866</c:v>
                </c:pt>
                <c:pt idx="11">
                  <c:v>18.936179044124689</c:v>
                </c:pt>
              </c:numCache>
            </c:numRef>
          </c:val>
        </c:ser>
        <c:ser>
          <c:idx val="1"/>
          <c:order val="1"/>
          <c:tx>
            <c:strRef>
              <c:f>prevalence!$C$2</c:f>
              <c:strCache>
                <c:ptCount val="1"/>
                <c:pt idx="0">
                  <c:v>Chocs économiques</c:v>
                </c:pt>
              </c:strCache>
            </c:strRef>
          </c:tx>
          <c:spPr>
            <a:solidFill>
              <a:schemeClr val="accent1">
                <a:lumMod val="75000"/>
              </a:schemeClr>
            </a:solidFill>
          </c:spPr>
          <c:invertIfNegative val="0"/>
          <c:cat>
            <c:strRef>
              <c:f>prevalence!$A$12:$A$23</c:f>
              <c:strCache>
                <c:ptCount val="12"/>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strCache>
            </c:strRef>
          </c:cat>
          <c:val>
            <c:numRef>
              <c:f>prevalence!$C$12:$C$23</c:f>
              <c:numCache>
                <c:formatCode>####.0</c:formatCode>
                <c:ptCount val="12"/>
                <c:pt idx="0">
                  <c:v>24.171395572161789</c:v>
                </c:pt>
                <c:pt idx="1">
                  <c:v>40.71660215419795</c:v>
                </c:pt>
                <c:pt idx="2">
                  <c:v>55.902200395548881</c:v>
                </c:pt>
                <c:pt idx="3">
                  <c:v>17.640200474348187</c:v>
                </c:pt>
                <c:pt idx="4">
                  <c:v>30.885323150142789</c:v>
                </c:pt>
                <c:pt idx="5">
                  <c:v>66.739143759174027</c:v>
                </c:pt>
                <c:pt idx="6">
                  <c:v>27.49996402044383</c:v>
                </c:pt>
                <c:pt idx="7">
                  <c:v>50.296783156126011</c:v>
                </c:pt>
                <c:pt idx="8">
                  <c:v>39.625073379144382</c:v>
                </c:pt>
                <c:pt idx="9">
                  <c:v>47.728523088256011</c:v>
                </c:pt>
                <c:pt idx="10">
                  <c:v>29.900829025899675</c:v>
                </c:pt>
                <c:pt idx="11">
                  <c:v>42.503244755031844</c:v>
                </c:pt>
              </c:numCache>
            </c:numRef>
          </c:val>
        </c:ser>
        <c:ser>
          <c:idx val="2"/>
          <c:order val="2"/>
          <c:tx>
            <c:strRef>
              <c:f>prevalence!$D$2</c:f>
              <c:strCache>
                <c:ptCount val="1"/>
                <c:pt idx="0">
                  <c:v>Chocs biophysiques</c:v>
                </c:pt>
              </c:strCache>
            </c:strRef>
          </c:tx>
          <c:spPr>
            <a:solidFill>
              <a:schemeClr val="tx2">
                <a:lumMod val="40000"/>
                <a:lumOff val="60000"/>
              </a:schemeClr>
            </a:solidFill>
            <a:ln w="12700">
              <a:prstDash val="sysDash"/>
            </a:ln>
          </c:spPr>
          <c:invertIfNegative val="0"/>
          <c:cat>
            <c:strRef>
              <c:f>prevalence!$A$12:$A$23</c:f>
              <c:strCache>
                <c:ptCount val="12"/>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strCache>
            </c:strRef>
          </c:cat>
          <c:val>
            <c:numRef>
              <c:f>prevalence!$D$12:$D$23</c:f>
              <c:numCache>
                <c:formatCode>####.0</c:formatCode>
                <c:ptCount val="12"/>
                <c:pt idx="0">
                  <c:v>26.297963960291035</c:v>
                </c:pt>
                <c:pt idx="1">
                  <c:v>56.849121442307144</c:v>
                </c:pt>
                <c:pt idx="2">
                  <c:v>31.677435551677711</c:v>
                </c:pt>
                <c:pt idx="3">
                  <c:v>16.628132421791289</c:v>
                </c:pt>
                <c:pt idx="4">
                  <c:v>41.106927038466772</c:v>
                </c:pt>
                <c:pt idx="5">
                  <c:v>62.30750086408483</c:v>
                </c:pt>
                <c:pt idx="6">
                  <c:v>33.741046959622125</c:v>
                </c:pt>
                <c:pt idx="7">
                  <c:v>6.0713004035744218</c:v>
                </c:pt>
                <c:pt idx="8">
                  <c:v>58.157963275821999</c:v>
                </c:pt>
                <c:pt idx="9">
                  <c:v>12.953327657259759</c:v>
                </c:pt>
                <c:pt idx="10">
                  <c:v>13.744609838911138</c:v>
                </c:pt>
                <c:pt idx="11">
                  <c:v>44.161981334161212</c:v>
                </c:pt>
              </c:numCache>
            </c:numRef>
          </c:val>
        </c:ser>
        <c:ser>
          <c:idx val="3"/>
          <c:order val="3"/>
          <c:tx>
            <c:strRef>
              <c:f>prevalence!$E$2</c:f>
              <c:strCache>
                <c:ptCount val="1"/>
                <c:pt idx="0">
                  <c:v>Aucun choc</c:v>
                </c:pt>
              </c:strCache>
            </c:strRef>
          </c:tx>
          <c:spPr>
            <a:solidFill>
              <a:schemeClr val="accent1">
                <a:lumMod val="20000"/>
                <a:lumOff val="80000"/>
                <a:alpha val="57000"/>
              </a:schemeClr>
            </a:solidFill>
            <a:ln>
              <a:solidFill>
                <a:schemeClr val="accent1"/>
              </a:solidFill>
            </a:ln>
          </c:spPr>
          <c:invertIfNegative val="0"/>
          <c:cat>
            <c:strRef>
              <c:f>prevalence!$A$12:$A$23</c:f>
              <c:strCache>
                <c:ptCount val="12"/>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strCache>
            </c:strRef>
          </c:cat>
          <c:val>
            <c:numRef>
              <c:f>prevalence!$E$12:$E$23</c:f>
              <c:numCache>
                <c:formatCode>####.0</c:formatCode>
                <c:ptCount val="12"/>
                <c:pt idx="0">
                  <c:v>68.859779063057758</c:v>
                </c:pt>
                <c:pt idx="1">
                  <c:v>27.101389350925189</c:v>
                </c:pt>
                <c:pt idx="2">
                  <c:v>33.636946151781544</c:v>
                </c:pt>
                <c:pt idx="3">
                  <c:v>66.48568895173031</c:v>
                </c:pt>
                <c:pt idx="4">
                  <c:v>43.292433778181234</c:v>
                </c:pt>
                <c:pt idx="5">
                  <c:v>5.2579977727720175</c:v>
                </c:pt>
                <c:pt idx="6">
                  <c:v>54.917310671428041</c:v>
                </c:pt>
                <c:pt idx="7">
                  <c:v>45.747139981652495</c:v>
                </c:pt>
                <c:pt idx="8">
                  <c:v>17.720228959130889</c:v>
                </c:pt>
                <c:pt idx="9">
                  <c:v>32.640127326794676</c:v>
                </c:pt>
                <c:pt idx="10">
                  <c:v>58.624536478834862</c:v>
                </c:pt>
                <c:pt idx="11">
                  <c:v>24.446745475356089</c:v>
                </c:pt>
              </c:numCache>
            </c:numRef>
          </c:val>
        </c:ser>
        <c:dLbls>
          <c:showLegendKey val="0"/>
          <c:showVal val="0"/>
          <c:showCatName val="0"/>
          <c:showSerName val="0"/>
          <c:showPercent val="0"/>
          <c:showBubbleSize val="0"/>
        </c:dLbls>
        <c:gapWidth val="150"/>
        <c:axId val="348639296"/>
        <c:axId val="348639856"/>
      </c:barChart>
      <c:catAx>
        <c:axId val="348639296"/>
        <c:scaling>
          <c:orientation val="minMax"/>
        </c:scaling>
        <c:delete val="0"/>
        <c:axPos val="b"/>
        <c:numFmt formatCode="General" sourceLinked="0"/>
        <c:majorTickMark val="out"/>
        <c:minorTickMark val="none"/>
        <c:tickLblPos val="nextTo"/>
        <c:txPr>
          <a:bodyPr rot="5400000" vert="horz"/>
          <a:lstStyle/>
          <a:p>
            <a:pPr>
              <a:defRPr lang="en-US"/>
            </a:pPr>
            <a:endParaRPr lang="fr-FR"/>
          </a:p>
        </c:txPr>
        <c:crossAx val="348639856"/>
        <c:crosses val="autoZero"/>
        <c:auto val="1"/>
        <c:lblAlgn val="ctr"/>
        <c:lblOffset val="100"/>
        <c:noMultiLvlLbl val="0"/>
      </c:catAx>
      <c:valAx>
        <c:axId val="348639856"/>
        <c:scaling>
          <c:orientation val="minMax"/>
        </c:scaling>
        <c:delete val="0"/>
        <c:axPos val="l"/>
        <c:majorGridlines/>
        <c:numFmt formatCode="#,##0.0" sourceLinked="0"/>
        <c:majorTickMark val="out"/>
        <c:minorTickMark val="none"/>
        <c:tickLblPos val="nextTo"/>
        <c:txPr>
          <a:bodyPr/>
          <a:lstStyle/>
          <a:p>
            <a:pPr>
              <a:defRPr lang="en-US"/>
            </a:pPr>
            <a:endParaRPr lang="fr-FR"/>
          </a:p>
        </c:txPr>
        <c:crossAx val="348639296"/>
        <c:crosses val="autoZero"/>
        <c:crossBetween val="between"/>
      </c:valAx>
    </c:plotArea>
    <c:legend>
      <c:legendPos val="b"/>
      <c:overlay val="0"/>
      <c:txPr>
        <a:bodyPr/>
        <a:lstStyle/>
        <a:p>
          <a:pPr>
            <a:defRPr lang="en-US">
              <a:latin typeface="Times New Roman" pitchFamily="18" charset="0"/>
              <a:cs typeface="Times New Roman" pitchFamily="18" charset="0"/>
            </a:defRPr>
          </a:pPr>
          <a:endParaRPr lang="fr-FR"/>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Feuil1!$B$64</c:f>
              <c:strCache>
                <c:ptCount val="1"/>
                <c:pt idx="0">
                  <c:v>Chocs sociaux</c:v>
                </c:pt>
              </c:strCache>
            </c:strRef>
          </c:tx>
          <c:spPr>
            <a:ln>
              <a:solidFill>
                <a:schemeClr val="accent1">
                  <a:lumMod val="50000"/>
                </a:schemeClr>
              </a:solidFill>
              <a:prstDash val="dashDot"/>
            </a:ln>
          </c:spPr>
          <c:marker>
            <c:spPr>
              <a:solidFill>
                <a:schemeClr val="accent1">
                  <a:lumMod val="50000"/>
                </a:schemeClr>
              </a:solidFill>
            </c:spPr>
          </c:marker>
          <c:cat>
            <c:strRef>
              <c:f>Feuil1!$A$65:$A$69</c:f>
              <c:strCache>
                <c:ptCount val="5"/>
                <c:pt idx="0">
                  <c:v>Plus pauvres</c:v>
                </c:pt>
                <c:pt idx="1">
                  <c:v>Pauvres</c:v>
                </c:pt>
                <c:pt idx="2">
                  <c:v>Moyens</c:v>
                </c:pt>
                <c:pt idx="3">
                  <c:v>Riches</c:v>
                </c:pt>
                <c:pt idx="4">
                  <c:v>Plus riches</c:v>
                </c:pt>
              </c:strCache>
            </c:strRef>
          </c:cat>
          <c:val>
            <c:numRef>
              <c:f>Feuil1!$B$65:$B$69</c:f>
              <c:numCache>
                <c:formatCode>####.0</c:formatCode>
                <c:ptCount val="5"/>
                <c:pt idx="0">
                  <c:v>17.499682857149359</c:v>
                </c:pt>
                <c:pt idx="1">
                  <c:v>14.643262338177053</c:v>
                </c:pt>
                <c:pt idx="2">
                  <c:v>13.492780566451676</c:v>
                </c:pt>
                <c:pt idx="3">
                  <c:v>14.110623963925493</c:v>
                </c:pt>
                <c:pt idx="4">
                  <c:v>13.261377565287145</c:v>
                </c:pt>
              </c:numCache>
            </c:numRef>
          </c:val>
          <c:smooth val="0"/>
        </c:ser>
        <c:ser>
          <c:idx val="1"/>
          <c:order val="1"/>
          <c:tx>
            <c:strRef>
              <c:f>Feuil1!$C$64</c:f>
              <c:strCache>
                <c:ptCount val="1"/>
                <c:pt idx="0">
                  <c:v>Chocs économiques</c:v>
                </c:pt>
              </c:strCache>
            </c:strRef>
          </c:tx>
          <c:spPr>
            <a:ln>
              <a:solidFill>
                <a:srgbClr val="C00000"/>
              </a:solidFill>
              <a:prstDash val="sysDash"/>
            </a:ln>
          </c:spPr>
          <c:marker>
            <c:spPr>
              <a:solidFill>
                <a:srgbClr val="C00000"/>
              </a:solidFill>
            </c:spPr>
          </c:marker>
          <c:cat>
            <c:strRef>
              <c:f>Feuil1!$A$65:$A$69</c:f>
              <c:strCache>
                <c:ptCount val="5"/>
                <c:pt idx="0">
                  <c:v>Plus pauvres</c:v>
                </c:pt>
                <c:pt idx="1">
                  <c:v>Pauvres</c:v>
                </c:pt>
                <c:pt idx="2">
                  <c:v>Moyens</c:v>
                </c:pt>
                <c:pt idx="3">
                  <c:v>Riches</c:v>
                </c:pt>
                <c:pt idx="4">
                  <c:v>Plus riches</c:v>
                </c:pt>
              </c:strCache>
            </c:strRef>
          </c:cat>
          <c:val>
            <c:numRef>
              <c:f>Feuil1!$C$65:$C$69</c:f>
              <c:numCache>
                <c:formatCode>####.0</c:formatCode>
                <c:ptCount val="5"/>
                <c:pt idx="0">
                  <c:v>36.665423074339323</c:v>
                </c:pt>
                <c:pt idx="1">
                  <c:v>39.468811104242775</c:v>
                </c:pt>
                <c:pt idx="2">
                  <c:v>40.483634027555993</c:v>
                </c:pt>
                <c:pt idx="3">
                  <c:v>41.534093332913514</c:v>
                </c:pt>
                <c:pt idx="4">
                  <c:v>46.136760595091246</c:v>
                </c:pt>
              </c:numCache>
            </c:numRef>
          </c:val>
          <c:smooth val="0"/>
        </c:ser>
        <c:ser>
          <c:idx val="2"/>
          <c:order val="2"/>
          <c:tx>
            <c:strRef>
              <c:f>Feuil1!$D$64</c:f>
              <c:strCache>
                <c:ptCount val="1"/>
                <c:pt idx="0">
                  <c:v>Chocs biophysiques</c:v>
                </c:pt>
              </c:strCache>
            </c:strRef>
          </c:tx>
          <c:spPr>
            <a:ln>
              <a:solidFill>
                <a:schemeClr val="accent3">
                  <a:lumMod val="75000"/>
                </a:schemeClr>
              </a:solidFill>
              <a:prstDash val="solid"/>
            </a:ln>
          </c:spPr>
          <c:cat>
            <c:strRef>
              <c:f>Feuil1!$A$65:$A$69</c:f>
              <c:strCache>
                <c:ptCount val="5"/>
                <c:pt idx="0">
                  <c:v>Plus pauvres</c:v>
                </c:pt>
                <c:pt idx="1">
                  <c:v>Pauvres</c:v>
                </c:pt>
                <c:pt idx="2">
                  <c:v>Moyens</c:v>
                </c:pt>
                <c:pt idx="3">
                  <c:v>Riches</c:v>
                </c:pt>
                <c:pt idx="4">
                  <c:v>Plus riches</c:v>
                </c:pt>
              </c:strCache>
            </c:strRef>
          </c:cat>
          <c:val>
            <c:numRef>
              <c:f>Feuil1!$D$65:$D$69</c:f>
              <c:numCache>
                <c:formatCode>####.0</c:formatCode>
                <c:ptCount val="5"/>
                <c:pt idx="0">
                  <c:v>47.144138643935662</c:v>
                </c:pt>
                <c:pt idx="1">
                  <c:v>40.936069916274768</c:v>
                </c:pt>
                <c:pt idx="2">
                  <c:v>36.479360348832387</c:v>
                </c:pt>
                <c:pt idx="3">
                  <c:v>29.331277351072131</c:v>
                </c:pt>
                <c:pt idx="4">
                  <c:v>18.912194989193786</c:v>
                </c:pt>
              </c:numCache>
            </c:numRef>
          </c:val>
          <c:smooth val="0"/>
        </c:ser>
        <c:ser>
          <c:idx val="3"/>
          <c:order val="3"/>
          <c:tx>
            <c:strRef>
              <c:f>Feuil1!$E$64</c:f>
              <c:strCache>
                <c:ptCount val="1"/>
                <c:pt idx="0">
                  <c:v>Aucun choc</c:v>
                </c:pt>
              </c:strCache>
            </c:strRef>
          </c:tx>
          <c:spPr>
            <a:ln>
              <a:solidFill>
                <a:schemeClr val="tx2">
                  <a:lumMod val="60000"/>
                  <a:lumOff val="40000"/>
                </a:schemeClr>
              </a:solidFill>
            </a:ln>
          </c:spPr>
          <c:marker>
            <c:symbol val="circle"/>
            <c:size val="7"/>
            <c:spPr>
              <a:solidFill>
                <a:schemeClr val="tx2">
                  <a:lumMod val="60000"/>
                  <a:lumOff val="40000"/>
                </a:schemeClr>
              </a:solidFill>
              <a:ln>
                <a:solidFill>
                  <a:srgbClr val="1F497D">
                    <a:lumMod val="60000"/>
                    <a:lumOff val="40000"/>
                  </a:srgbClr>
                </a:solidFill>
              </a:ln>
            </c:spPr>
          </c:marker>
          <c:cat>
            <c:strRef>
              <c:f>Feuil1!$A$65:$A$69</c:f>
              <c:strCache>
                <c:ptCount val="5"/>
                <c:pt idx="0">
                  <c:v>Plus pauvres</c:v>
                </c:pt>
                <c:pt idx="1">
                  <c:v>Pauvres</c:v>
                </c:pt>
                <c:pt idx="2">
                  <c:v>Moyens</c:v>
                </c:pt>
                <c:pt idx="3">
                  <c:v>Riches</c:v>
                </c:pt>
                <c:pt idx="4">
                  <c:v>Plus riches</c:v>
                </c:pt>
              </c:strCache>
            </c:strRef>
          </c:cat>
          <c:val>
            <c:numRef>
              <c:f>Feuil1!$E$65:$E$69</c:f>
              <c:numCache>
                <c:formatCode>####.0</c:formatCode>
                <c:ptCount val="5"/>
                <c:pt idx="0">
                  <c:v>32.131000111211975</c:v>
                </c:pt>
                <c:pt idx="1">
                  <c:v>35.940454659986834</c:v>
                </c:pt>
                <c:pt idx="2">
                  <c:v>37.932852865449007</c:v>
                </c:pt>
                <c:pt idx="3">
                  <c:v>39.007825949948128</c:v>
                </c:pt>
                <c:pt idx="4">
                  <c:v>41.952860727474395</c:v>
                </c:pt>
              </c:numCache>
            </c:numRef>
          </c:val>
          <c:smooth val="0"/>
        </c:ser>
        <c:dLbls>
          <c:showLegendKey val="0"/>
          <c:showVal val="0"/>
          <c:showCatName val="0"/>
          <c:showSerName val="0"/>
          <c:showPercent val="0"/>
          <c:showBubbleSize val="0"/>
        </c:dLbls>
        <c:marker val="1"/>
        <c:smooth val="0"/>
        <c:axId val="348643776"/>
        <c:axId val="348644336"/>
      </c:lineChart>
      <c:catAx>
        <c:axId val="348643776"/>
        <c:scaling>
          <c:orientation val="minMax"/>
        </c:scaling>
        <c:delete val="0"/>
        <c:axPos val="b"/>
        <c:numFmt formatCode="General" sourceLinked="0"/>
        <c:majorTickMark val="none"/>
        <c:minorTickMark val="none"/>
        <c:tickLblPos val="nextTo"/>
        <c:txPr>
          <a:bodyPr/>
          <a:lstStyle/>
          <a:p>
            <a:pPr>
              <a:defRPr lang="en-US"/>
            </a:pPr>
            <a:endParaRPr lang="fr-FR"/>
          </a:p>
        </c:txPr>
        <c:crossAx val="348644336"/>
        <c:crosses val="autoZero"/>
        <c:auto val="1"/>
        <c:lblAlgn val="ctr"/>
        <c:lblOffset val="100"/>
        <c:noMultiLvlLbl val="0"/>
      </c:catAx>
      <c:valAx>
        <c:axId val="348644336"/>
        <c:scaling>
          <c:orientation val="minMax"/>
        </c:scaling>
        <c:delete val="0"/>
        <c:axPos val="l"/>
        <c:majorGridlines>
          <c:spPr>
            <a:ln w="3175">
              <a:prstDash val="sysDash"/>
            </a:ln>
          </c:spPr>
        </c:majorGridlines>
        <c:numFmt formatCode="#,##0" sourceLinked="0"/>
        <c:majorTickMark val="none"/>
        <c:minorTickMark val="none"/>
        <c:tickLblPos val="nextTo"/>
        <c:spPr>
          <a:ln w="3175">
            <a:solidFill>
              <a:schemeClr val="tx1"/>
            </a:solidFill>
            <a:prstDash val="sysDash"/>
          </a:ln>
        </c:spPr>
        <c:txPr>
          <a:bodyPr/>
          <a:lstStyle/>
          <a:p>
            <a:pPr>
              <a:defRPr lang="en-US"/>
            </a:pPr>
            <a:endParaRPr lang="fr-FR"/>
          </a:p>
        </c:txPr>
        <c:crossAx val="348643776"/>
        <c:crosses val="autoZero"/>
        <c:crossBetween val="between"/>
      </c:valAx>
    </c:plotArea>
    <c:legend>
      <c:legendPos val="b"/>
      <c:overlay val="0"/>
      <c:txPr>
        <a:bodyPr/>
        <a:lstStyle/>
        <a:p>
          <a:pPr>
            <a:defRPr lang="en-US">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BM!$B$25</c:f>
              <c:strCache>
                <c:ptCount val="1"/>
                <c:pt idx="0">
                  <c:v>Variation de la pauvreté</c:v>
                </c:pt>
              </c:strCache>
            </c:strRef>
          </c:tx>
          <c:invertIfNegative val="0"/>
          <c:dLbls>
            <c:delete val="1"/>
          </c:dLbls>
          <c:cat>
            <c:strRef>
              <c:f>BM!$A$26:$A$32</c:f>
              <c:strCache>
                <c:ptCount val="7"/>
                <c:pt idx="0">
                  <c:v>Agriculture hors coton</c:v>
                </c:pt>
                <c:pt idx="1">
                  <c:v>Coton-Textile</c:v>
                </c:pt>
                <c:pt idx="2">
                  <c:v>Commerce-logistique</c:v>
                </c:pt>
                <c:pt idx="3">
                  <c:v>Agroalimentaire</c:v>
                </c:pt>
                <c:pt idx="4">
                  <c:v>BTP - matériaux de construction</c:v>
                </c:pt>
                <c:pt idx="5">
                  <c:v>Artisanat, culture et tourisme</c:v>
                </c:pt>
                <c:pt idx="6">
                  <c:v>Bénin</c:v>
                </c:pt>
              </c:strCache>
            </c:strRef>
          </c:cat>
          <c:val>
            <c:numRef>
              <c:f>BM!$B$26:$B$32</c:f>
              <c:numCache>
                <c:formatCode>0.0</c:formatCode>
                <c:ptCount val="7"/>
                <c:pt idx="0">
                  <c:v>2.1889626979827881</c:v>
                </c:pt>
                <c:pt idx="1">
                  <c:v>-11.99058294296271</c:v>
                </c:pt>
                <c:pt idx="2">
                  <c:v>3.1038492918014602</c:v>
                </c:pt>
                <c:pt idx="3">
                  <c:v>5.3995698690414375</c:v>
                </c:pt>
                <c:pt idx="4">
                  <c:v>-0.30287206172943626</c:v>
                </c:pt>
                <c:pt idx="5">
                  <c:v>-2.2716939449310312</c:v>
                </c:pt>
                <c:pt idx="6">
                  <c:v>-2.2999999999999972</c:v>
                </c:pt>
              </c:numCache>
            </c:numRef>
          </c:val>
        </c:ser>
        <c:ser>
          <c:idx val="1"/>
          <c:order val="1"/>
          <c:tx>
            <c:strRef>
              <c:f>BM!$C$25</c:f>
              <c:strCache>
                <c:ptCount val="1"/>
                <c:pt idx="0">
                  <c:v>Taux de croissance moyen annuel</c:v>
                </c:pt>
              </c:strCache>
            </c:strRef>
          </c:tx>
          <c:invertIfNegative val="0"/>
          <c:dLbls>
            <c:delete val="1"/>
          </c:dLbls>
          <c:cat>
            <c:strRef>
              <c:f>BM!$A$26:$A$32</c:f>
              <c:strCache>
                <c:ptCount val="7"/>
                <c:pt idx="0">
                  <c:v>Agriculture hors coton</c:v>
                </c:pt>
                <c:pt idx="1">
                  <c:v>Coton-Textile</c:v>
                </c:pt>
                <c:pt idx="2">
                  <c:v>Commerce-logistique</c:v>
                </c:pt>
                <c:pt idx="3">
                  <c:v>Agroalimentaire</c:v>
                </c:pt>
                <c:pt idx="4">
                  <c:v>BTP - matériaux de construction</c:v>
                </c:pt>
                <c:pt idx="5">
                  <c:v>Artisanat, culture et tourisme</c:v>
                </c:pt>
                <c:pt idx="6">
                  <c:v>Bénin</c:v>
                </c:pt>
              </c:strCache>
            </c:strRef>
          </c:cat>
          <c:val>
            <c:numRef>
              <c:f>BM!$C$26:$C$32</c:f>
              <c:numCache>
                <c:formatCode>0.00</c:formatCode>
                <c:ptCount val="7"/>
                <c:pt idx="0">
                  <c:v>4.1205612199218775</c:v>
                </c:pt>
                <c:pt idx="1">
                  <c:v>-3.0254072749950192</c:v>
                </c:pt>
                <c:pt idx="2">
                  <c:v>5.1627451745904445</c:v>
                </c:pt>
                <c:pt idx="3">
                  <c:v>3.3250190336370578</c:v>
                </c:pt>
                <c:pt idx="4">
                  <c:v>6.0818986272987763</c:v>
                </c:pt>
                <c:pt idx="5">
                  <c:v>4.3732011551771599</c:v>
                </c:pt>
                <c:pt idx="6">
                  <c:v>4.021280392009019</c:v>
                </c:pt>
              </c:numCache>
            </c:numRef>
          </c:val>
        </c:ser>
        <c:dLbls>
          <c:showLegendKey val="0"/>
          <c:showVal val="1"/>
          <c:showCatName val="0"/>
          <c:showSerName val="0"/>
          <c:showPercent val="0"/>
          <c:showBubbleSize val="0"/>
        </c:dLbls>
        <c:gapWidth val="75"/>
        <c:axId val="360045392"/>
        <c:axId val="227322768"/>
      </c:barChart>
      <c:catAx>
        <c:axId val="360045392"/>
        <c:scaling>
          <c:orientation val="minMax"/>
        </c:scaling>
        <c:delete val="0"/>
        <c:axPos val="b"/>
        <c:numFmt formatCode="General" sourceLinked="0"/>
        <c:majorTickMark val="none"/>
        <c:minorTickMark val="none"/>
        <c:tickLblPos val="nextTo"/>
        <c:txPr>
          <a:bodyPr rot="5400000" vert="horz"/>
          <a:lstStyle/>
          <a:p>
            <a:pPr>
              <a:defRPr>
                <a:latin typeface="Times New Roman" pitchFamily="18" charset="0"/>
                <a:cs typeface="Times New Roman" pitchFamily="18" charset="0"/>
              </a:defRPr>
            </a:pPr>
            <a:endParaRPr lang="fr-FR"/>
          </a:p>
        </c:txPr>
        <c:crossAx val="227322768"/>
        <c:crosses val="autoZero"/>
        <c:auto val="1"/>
        <c:lblAlgn val="ctr"/>
        <c:lblOffset val="100"/>
        <c:noMultiLvlLbl val="0"/>
      </c:catAx>
      <c:valAx>
        <c:axId val="227322768"/>
        <c:scaling>
          <c:orientation val="minMax"/>
        </c:scaling>
        <c:delete val="0"/>
        <c:axPos val="l"/>
        <c:numFmt formatCode="0.0" sourceLinked="1"/>
        <c:majorTickMark val="none"/>
        <c:minorTickMark val="none"/>
        <c:tickLblPos val="nextTo"/>
        <c:txPr>
          <a:bodyPr/>
          <a:lstStyle/>
          <a:p>
            <a:pPr>
              <a:defRPr sz="900" baseline="0">
                <a:latin typeface="Times New Roman" pitchFamily="18" charset="0"/>
                <a:cs typeface="Times New Roman" pitchFamily="18" charset="0"/>
              </a:defRPr>
            </a:pPr>
            <a:endParaRPr lang="fr-FR"/>
          </a:p>
        </c:txPr>
        <c:crossAx val="360045392"/>
        <c:crosses val="autoZero"/>
        <c:crossBetween val="between"/>
        <c:majorUnit val="2"/>
      </c:valAx>
    </c:plotArea>
    <c:legend>
      <c:legendPos val="b"/>
      <c:overlay val="0"/>
      <c:txPr>
        <a:bodyPr/>
        <a:lstStyle/>
        <a:p>
          <a:pPr>
            <a:defRPr>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51058552055992956"/>
          <c:y val="1.0969176798106318E-3"/>
          <c:w val="0.44812292213473331"/>
          <c:h val="0.94191841882906169"/>
        </c:manualLayout>
      </c:layout>
      <c:bar3DChart>
        <c:barDir val="bar"/>
        <c:grouping val="clustered"/>
        <c:varyColors val="0"/>
        <c:ser>
          <c:idx val="0"/>
          <c:order val="0"/>
          <c:invertIfNegative val="0"/>
          <c:cat>
            <c:strRef>
              <c:f>stratégies!$A$3:$A$32</c:f>
              <c:strCache>
                <c:ptCount val="30"/>
                <c:pt idx="0">
                  <c:v>Mendier</c:v>
                </c:pt>
                <c:pt idx="1">
                  <c:v>Envoyer les enfants travailler pour de l'argent</c:v>
                </c:pt>
                <c:pt idx="2">
                  <c:v>Vendre des équipements ménagers</c:v>
                </c:pt>
                <c:pt idx="3">
                  <c:v>Vendre les outils agricoles</c:v>
                </c:pt>
                <c:pt idx="4">
                  <c:v>Envoyer les enfants vovre avec des parents</c:v>
                </c:pt>
                <c:pt idx="5">
                  <c:v>Longue migration</c:v>
                </c:pt>
                <c:pt idx="6">
                  <c:v>Vendre les intrants agricoles</c:v>
                </c:pt>
                <c:pt idx="7">
                  <c:v>Vendre ses terres</c:v>
                </c:pt>
                <c:pt idx="8">
                  <c:v>Vendre le bétail reproducteur</c:v>
                </c:pt>
                <c:pt idx="9">
                  <c:v>Travailler en échange de nourriture</c:v>
                </c:pt>
                <c:pt idx="10">
                  <c:v>Louer ses terres</c:v>
                </c:pt>
                <c:pt idx="11">
                  <c:v>Passer des journées sans manger</c:v>
                </c:pt>
                <c:pt idx="12">
                  <c:v>Réduire les dépenses d'éducation</c:v>
                </c:pt>
                <c:pt idx="13">
                  <c:v>Autre</c:v>
                </c:pt>
                <c:pt idx="14">
                  <c:v>Vendre le bétail non reproducteur</c:v>
                </c:pt>
                <c:pt idx="15">
                  <c:v>Réduire les dépenses au niveau de la santé</c:v>
                </c:pt>
                <c:pt idx="16">
                  <c:v>Emprunter des aliments ou compter sur l'aide d'amis</c:v>
                </c:pt>
                <c:pt idx="17">
                  <c:v>Rechercher du travail temporaire en dehors de la communauté</c:v>
                </c:pt>
                <c:pt idx="18">
                  <c:v>Travailler occasionnellement ou sous contrat</c:v>
                </c:pt>
                <c:pt idx="19">
                  <c:v>Consommer des aliments sauvages</c:v>
                </c:pt>
                <c:pt idx="20">
                  <c:v>Vendre les stocks d'aliments</c:v>
                </c:pt>
                <c:pt idx="21">
                  <c:v>Consommer les semences de la prochaine campagne agricole</c:v>
                </c:pt>
                <c:pt idx="22">
                  <c:v>Augmenter le petit commerce</c:v>
                </c:pt>
                <c:pt idx="23">
                  <c:v>Réduire le nombre de repas journaliers</c:v>
                </c:pt>
                <c:pt idx="24">
                  <c:v>Réduire la quantité d'aliments consommés par repas</c:v>
                </c:pt>
                <c:pt idx="25">
                  <c:v>Acheter de la nourriture à crédit</c:v>
                </c:pt>
                <c:pt idx="26">
                  <c:v>Emprunter de l'argent</c:v>
                </c:pt>
                <c:pt idx="27">
                  <c:v>Rien</c:v>
                </c:pt>
                <c:pt idx="28">
                  <c:v>Dépenser les économies</c:v>
                </c:pt>
                <c:pt idx="29">
                  <c:v>Consommer des aliments moins couteux ou moins préférés</c:v>
                </c:pt>
              </c:strCache>
            </c:strRef>
          </c:cat>
          <c:val>
            <c:numRef>
              <c:f>stratégies!$E$3:$E$32</c:f>
              <c:numCache>
                <c:formatCode>0.0</c:formatCode>
                <c:ptCount val="30"/>
                <c:pt idx="0">
                  <c:v>0.16591786603384956</c:v>
                </c:pt>
                <c:pt idx="1">
                  <c:v>0.17113880767357237</c:v>
                </c:pt>
                <c:pt idx="2">
                  <c:v>0.43321091691286562</c:v>
                </c:pt>
                <c:pt idx="3">
                  <c:v>0.43899369989446513</c:v>
                </c:pt>
                <c:pt idx="4">
                  <c:v>0.45543273197308481</c:v>
                </c:pt>
                <c:pt idx="5">
                  <c:v>0.46268222573972062</c:v>
                </c:pt>
                <c:pt idx="6">
                  <c:v>0.4755915089765681</c:v>
                </c:pt>
                <c:pt idx="7">
                  <c:v>0.47596548442135217</c:v>
                </c:pt>
                <c:pt idx="8">
                  <c:v>0.5815226241819047</c:v>
                </c:pt>
                <c:pt idx="9">
                  <c:v>0.77941491124509465</c:v>
                </c:pt>
                <c:pt idx="10">
                  <c:v>0.78124110228683663</c:v>
                </c:pt>
                <c:pt idx="11">
                  <c:v>0.81418891978950214</c:v>
                </c:pt>
                <c:pt idx="12">
                  <c:v>1.0260146717049456</c:v>
                </c:pt>
                <c:pt idx="13">
                  <c:v>1.0593367305595716</c:v>
                </c:pt>
                <c:pt idx="14">
                  <c:v>1.4849052166830099</c:v>
                </c:pt>
                <c:pt idx="15">
                  <c:v>1.5268870287495881</c:v>
                </c:pt>
                <c:pt idx="16">
                  <c:v>1.7216346375172757</c:v>
                </c:pt>
                <c:pt idx="17">
                  <c:v>1.7859899100007728</c:v>
                </c:pt>
                <c:pt idx="18">
                  <c:v>1.8365276508160544</c:v>
                </c:pt>
                <c:pt idx="19">
                  <c:v>2.0359940469547042</c:v>
                </c:pt>
                <c:pt idx="20">
                  <c:v>2.7004208594818602</c:v>
                </c:pt>
                <c:pt idx="21">
                  <c:v>2.8778587199436774</c:v>
                </c:pt>
                <c:pt idx="22">
                  <c:v>3.1965641870035078</c:v>
                </c:pt>
                <c:pt idx="23">
                  <c:v>5.4149836607153645</c:v>
                </c:pt>
                <c:pt idx="24">
                  <c:v>6.8841767173287645</c:v>
                </c:pt>
                <c:pt idx="25">
                  <c:v>7.2118104873124169</c:v>
                </c:pt>
                <c:pt idx="26">
                  <c:v>7.3751499948982913</c:v>
                </c:pt>
                <c:pt idx="27">
                  <c:v>13.305577284352102</c:v>
                </c:pt>
                <c:pt idx="28">
                  <c:v>14.402548202244876</c:v>
                </c:pt>
                <c:pt idx="29">
                  <c:v>18.118319194604343</c:v>
                </c:pt>
              </c:numCache>
            </c:numRef>
          </c:val>
        </c:ser>
        <c:dLbls>
          <c:showLegendKey val="0"/>
          <c:showVal val="0"/>
          <c:showCatName val="0"/>
          <c:showSerName val="0"/>
          <c:showPercent val="0"/>
          <c:showBubbleSize val="0"/>
        </c:dLbls>
        <c:gapWidth val="82"/>
        <c:shape val="box"/>
        <c:axId val="348534448"/>
        <c:axId val="348535008"/>
        <c:axId val="0"/>
      </c:bar3DChart>
      <c:catAx>
        <c:axId val="348534448"/>
        <c:scaling>
          <c:orientation val="minMax"/>
        </c:scaling>
        <c:delete val="0"/>
        <c:axPos val="l"/>
        <c:numFmt formatCode="General" sourceLinked="0"/>
        <c:majorTickMark val="out"/>
        <c:minorTickMark val="none"/>
        <c:tickLblPos val="nextTo"/>
        <c:txPr>
          <a:bodyPr/>
          <a:lstStyle/>
          <a:p>
            <a:pPr>
              <a:defRPr lang="en-US" sz="900">
                <a:latin typeface="Garamond" pitchFamily="18" charset="0"/>
              </a:defRPr>
            </a:pPr>
            <a:endParaRPr lang="fr-FR"/>
          </a:p>
        </c:txPr>
        <c:crossAx val="348535008"/>
        <c:crosses val="autoZero"/>
        <c:auto val="1"/>
        <c:lblAlgn val="ctr"/>
        <c:lblOffset val="100"/>
        <c:noMultiLvlLbl val="0"/>
      </c:catAx>
      <c:valAx>
        <c:axId val="348535008"/>
        <c:scaling>
          <c:orientation val="minMax"/>
        </c:scaling>
        <c:delete val="0"/>
        <c:axPos val="b"/>
        <c:majorGridlines/>
        <c:numFmt formatCode="0.0" sourceLinked="1"/>
        <c:majorTickMark val="out"/>
        <c:minorTickMark val="none"/>
        <c:tickLblPos val="nextTo"/>
        <c:txPr>
          <a:bodyPr/>
          <a:lstStyle/>
          <a:p>
            <a:pPr>
              <a:defRPr lang="en-US"/>
            </a:pPr>
            <a:endParaRPr lang="fr-FR"/>
          </a:p>
        </c:txPr>
        <c:crossAx val="348534448"/>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35231842861394852"/>
          <c:y val="5.0874091176422394E-2"/>
          <c:w val="0.38802438817788659"/>
          <c:h val="0.82202917339616965"/>
        </c:manualLayout>
      </c:layout>
      <c:bar3DChart>
        <c:barDir val="bar"/>
        <c:grouping val="clustered"/>
        <c:varyColors val="0"/>
        <c:ser>
          <c:idx val="0"/>
          <c:order val="0"/>
          <c:tx>
            <c:strRef>
              <c:f>Feuil1!$N$53</c:f>
              <c:strCache>
                <c:ptCount val="1"/>
                <c:pt idx="0">
                  <c:v>Chocs sociaux</c:v>
                </c:pt>
              </c:strCache>
            </c:strRef>
          </c:tx>
          <c:spPr>
            <a:solidFill>
              <a:srgbClr val="4F81BD">
                <a:lumMod val="50000"/>
              </a:srgbClr>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Feuil1!$M$54:$M$59</c:f>
              <c:strCache>
                <c:ptCount val="6"/>
                <c:pt idx="0">
                  <c:v>Consommer des aliments moins couteux ou moins préférés</c:v>
                </c:pt>
                <c:pt idx="1">
                  <c:v>Acheter de la nourriture à crédit</c:v>
                </c:pt>
                <c:pt idx="2">
                  <c:v>Réduire la quantité d'aliments consommés par repas</c:v>
                </c:pt>
                <c:pt idx="3">
                  <c:v>Réduire le nombre de repas journaliers</c:v>
                </c:pt>
                <c:pt idx="4">
                  <c:v>Dépenser les économies</c:v>
                </c:pt>
                <c:pt idx="5">
                  <c:v>Emprunter de l'argent</c:v>
                </c:pt>
              </c:strCache>
            </c:strRef>
          </c:cat>
          <c:val>
            <c:numRef>
              <c:f>Feuil1!$N$54:$N$59</c:f>
              <c:numCache>
                <c:formatCode>####.0</c:formatCode>
                <c:ptCount val="6"/>
                <c:pt idx="0">
                  <c:v>7.2516823189005111</c:v>
                </c:pt>
                <c:pt idx="1">
                  <c:v>4.7661821384244263</c:v>
                </c:pt>
                <c:pt idx="2">
                  <c:v>3.5117585155028377</c:v>
                </c:pt>
                <c:pt idx="3">
                  <c:v>3.2777163426290641</c:v>
                </c:pt>
                <c:pt idx="4">
                  <c:v>23.341567633159912</c:v>
                </c:pt>
                <c:pt idx="5">
                  <c:v>16.462192257585649</c:v>
                </c:pt>
              </c:numCache>
            </c:numRef>
          </c:val>
        </c:ser>
        <c:ser>
          <c:idx val="1"/>
          <c:order val="1"/>
          <c:tx>
            <c:strRef>
              <c:f>Feuil1!$O$53</c:f>
              <c:strCache>
                <c:ptCount val="1"/>
                <c:pt idx="0">
                  <c:v>Chocs économiques</c:v>
                </c:pt>
              </c:strCache>
            </c:strRef>
          </c:tx>
          <c:spPr>
            <a:solidFill>
              <a:schemeClr val="tx2">
                <a:lumMod val="60000"/>
                <a:lumOff val="40000"/>
              </a:schemeClr>
            </a:solidFill>
            <a:ln>
              <a:solidFill>
                <a:schemeClr val="tx2">
                  <a:lumMod val="60000"/>
                  <a:lumOff val="40000"/>
                </a:schemeClr>
              </a:solidFill>
            </a:ln>
          </c:spPr>
          <c:invertIfNegative val="0"/>
          <c:dLbls>
            <c:dLbl>
              <c:idx val="4"/>
              <c:layout>
                <c:manualLayout>
                  <c:x val="0"/>
                  <c:y val="-1.387475213902428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9.249834759349526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Feuil1!$M$54:$M$59</c:f>
              <c:strCache>
                <c:ptCount val="6"/>
                <c:pt idx="0">
                  <c:v>Consommer des aliments moins couteux ou moins préférés</c:v>
                </c:pt>
                <c:pt idx="1">
                  <c:v>Acheter de la nourriture à crédit</c:v>
                </c:pt>
                <c:pt idx="2">
                  <c:v>Réduire la quantité d'aliments consommés par repas</c:v>
                </c:pt>
                <c:pt idx="3">
                  <c:v>Réduire le nombre de repas journaliers</c:v>
                </c:pt>
                <c:pt idx="4">
                  <c:v>Dépenser les économies</c:v>
                </c:pt>
                <c:pt idx="5">
                  <c:v>Emprunter de l'argent</c:v>
                </c:pt>
              </c:strCache>
            </c:strRef>
          </c:cat>
          <c:val>
            <c:numRef>
              <c:f>Feuil1!$O$54:$O$59</c:f>
              <c:numCache>
                <c:formatCode>####.0</c:formatCode>
                <c:ptCount val="6"/>
                <c:pt idx="0">
                  <c:v>17.630731523854831</c:v>
                </c:pt>
                <c:pt idx="1">
                  <c:v>6.5305764562885065</c:v>
                </c:pt>
                <c:pt idx="2">
                  <c:v>6.9474409148251928</c:v>
                </c:pt>
                <c:pt idx="3">
                  <c:v>6.4971049422661356</c:v>
                </c:pt>
                <c:pt idx="4">
                  <c:v>14.674632931524156</c:v>
                </c:pt>
                <c:pt idx="5">
                  <c:v>6.7463623737072433</c:v>
                </c:pt>
              </c:numCache>
            </c:numRef>
          </c:val>
        </c:ser>
        <c:ser>
          <c:idx val="2"/>
          <c:order val="2"/>
          <c:tx>
            <c:strRef>
              <c:f>Feuil1!$P$53</c:f>
              <c:strCache>
                <c:ptCount val="1"/>
                <c:pt idx="0">
                  <c:v>Chocs biophysiques</c:v>
                </c:pt>
              </c:strCache>
            </c:strRef>
          </c:tx>
          <c:spPr>
            <a:solidFill>
              <a:schemeClr val="accent5">
                <a:lumMod val="60000"/>
                <a:lumOff val="40000"/>
              </a:schemeClr>
            </a:solidFill>
            <a:ln>
              <a:solidFill>
                <a:schemeClr val="tx2">
                  <a:lumMod val="40000"/>
                  <a:lumOff val="60000"/>
                </a:schemeClr>
              </a:solidFill>
            </a:ln>
          </c:spPr>
          <c:invertIfNegative val="0"/>
          <c:dLbls>
            <c:dLbl>
              <c:idx val="0"/>
              <c:layout>
                <c:manualLayout>
                  <c:x val="-8.7267399516605116E-17"/>
                  <c:y val="-9.24983475934952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249834759349526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87475213902428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9.2498347593495261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9.2498347593495261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9.249834759349522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sz="9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Feuil1!$M$54:$M$59</c:f>
              <c:strCache>
                <c:ptCount val="6"/>
                <c:pt idx="0">
                  <c:v>Consommer des aliments moins couteux ou moins préférés</c:v>
                </c:pt>
                <c:pt idx="1">
                  <c:v>Acheter de la nourriture à crédit</c:v>
                </c:pt>
                <c:pt idx="2">
                  <c:v>Réduire la quantité d'aliments consommés par repas</c:v>
                </c:pt>
                <c:pt idx="3">
                  <c:v>Réduire le nombre de repas journaliers</c:v>
                </c:pt>
                <c:pt idx="4">
                  <c:v>Dépenser les économies</c:v>
                </c:pt>
                <c:pt idx="5">
                  <c:v>Emprunter de l'argent</c:v>
                </c:pt>
              </c:strCache>
            </c:strRef>
          </c:cat>
          <c:val>
            <c:numRef>
              <c:f>Feuil1!$P$54:$P$59</c:f>
              <c:numCache>
                <c:formatCode>####.0</c:formatCode>
                <c:ptCount val="6"/>
                <c:pt idx="0">
                  <c:v>22.297544843670586</c:v>
                </c:pt>
                <c:pt idx="1">
                  <c:v>8.6226465155688548</c:v>
                </c:pt>
                <c:pt idx="2">
                  <c:v>7.7992805530385354</c:v>
                </c:pt>
                <c:pt idx="3">
                  <c:v>4.4788038982383584</c:v>
                </c:pt>
                <c:pt idx="4">
                  <c:v>10.446086636521574</c:v>
                </c:pt>
                <c:pt idx="5">
                  <c:v>3.8959693576829402</c:v>
                </c:pt>
              </c:numCache>
            </c:numRef>
          </c:val>
        </c:ser>
        <c:dLbls>
          <c:showLegendKey val="0"/>
          <c:showVal val="0"/>
          <c:showCatName val="0"/>
          <c:showSerName val="0"/>
          <c:showPercent val="0"/>
          <c:showBubbleSize val="0"/>
        </c:dLbls>
        <c:gapWidth val="65"/>
        <c:shape val="cylinder"/>
        <c:axId val="348538368"/>
        <c:axId val="348538928"/>
        <c:axId val="0"/>
      </c:bar3DChart>
      <c:catAx>
        <c:axId val="348538368"/>
        <c:scaling>
          <c:orientation val="minMax"/>
        </c:scaling>
        <c:delete val="0"/>
        <c:axPos val="l"/>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fr-FR"/>
          </a:p>
        </c:txPr>
        <c:crossAx val="348538928"/>
        <c:crosses val="autoZero"/>
        <c:auto val="1"/>
        <c:lblAlgn val="r"/>
        <c:lblOffset val="100"/>
        <c:noMultiLvlLbl val="0"/>
      </c:catAx>
      <c:valAx>
        <c:axId val="348538928"/>
        <c:scaling>
          <c:orientation val="minMax"/>
        </c:scaling>
        <c:delete val="0"/>
        <c:axPos val="b"/>
        <c:majorGridlines/>
        <c:numFmt formatCode="#,##0.0" sourceLinked="0"/>
        <c:majorTickMark val="out"/>
        <c:minorTickMark val="none"/>
        <c:tickLblPos val="nextTo"/>
        <c:txPr>
          <a:bodyPr/>
          <a:lstStyle/>
          <a:p>
            <a:pPr>
              <a:defRPr lang="en-US"/>
            </a:pPr>
            <a:endParaRPr lang="fr-FR"/>
          </a:p>
        </c:txPr>
        <c:crossAx val="348538368"/>
        <c:crosses val="autoZero"/>
        <c:crossBetween val="between"/>
      </c:valAx>
    </c:plotArea>
    <c:legend>
      <c:legendPos val="b"/>
      <c:layout>
        <c:manualLayout>
          <c:xMode val="edge"/>
          <c:yMode val="edge"/>
          <c:x val="0.14754522593290961"/>
          <c:y val="0.9272704256019445"/>
          <c:w val="0.70966899901434266"/>
          <c:h val="7.2729574398055552E-2"/>
        </c:manualLayout>
      </c:layout>
      <c:overlay val="0"/>
      <c:txPr>
        <a:bodyPr/>
        <a:lstStyle/>
        <a:p>
          <a:pPr>
            <a:defRPr lang="en-US">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2986533602772082E-2"/>
          <c:y val="7.8972003499562571E-2"/>
          <c:w val="0.93888888888889765"/>
          <c:h val="0.54380176436278793"/>
        </c:manualLayout>
      </c:layout>
      <c:barChart>
        <c:barDir val="col"/>
        <c:grouping val="clustered"/>
        <c:varyColors val="0"/>
        <c:ser>
          <c:idx val="0"/>
          <c:order val="0"/>
          <c:tx>
            <c:strRef>
              <c:f>Feuil3!$C$1</c:f>
              <c:strCache>
                <c:ptCount val="1"/>
                <c:pt idx="0">
                  <c:v>Ratio Masse salariale/Recettes fiscales</c:v>
                </c:pt>
              </c:strCache>
            </c:strRef>
          </c:tx>
          <c:spPr>
            <a:solidFill>
              <a:srgbClr val="1F497D">
                <a:lumMod val="60000"/>
                <a:lumOff val="40000"/>
                <a:alpha val="74000"/>
              </a:srgbClr>
            </a:solidFill>
          </c:spPr>
          <c:invertIfNegative val="0"/>
          <c:dLbls>
            <c:dLbl>
              <c:idx val="0"/>
              <c:layout>
                <c:manualLayout>
                  <c:x val="4.3026890959864134E-3"/>
                  <c:y val="-2.3148148148148147E-2"/>
                </c:manualLayout>
              </c:layout>
              <c:tx>
                <c:rich>
                  <a:bodyPr/>
                  <a:lstStyle/>
                  <a:p>
                    <a:r>
                      <a:rPr lang="en-US"/>
                      <a:t>32,0</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2592592592596785E-3"/>
                </c:manualLayout>
              </c:layout>
              <c:tx>
                <c:rich>
                  <a:bodyPr/>
                  <a:lstStyle/>
                  <a:p>
                    <a:r>
                      <a:rPr lang="en-US"/>
                      <a:t>32,7</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8518518518518583E-2"/>
                </c:manualLayout>
              </c:layout>
              <c:tx>
                <c:rich>
                  <a:bodyPr/>
                  <a:lstStyle/>
                  <a:p>
                    <a:r>
                      <a:rPr lang="en-US"/>
                      <a:t>31,9</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34,4</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38,0</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39,0</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32,0</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45,1</a:t>
                    </a:r>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45,4</a:t>
                    </a:r>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47,4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b="0" i="0" baseline="0">
                    <a:solidFill>
                      <a:schemeClr val="tx1"/>
                    </a:solidFill>
                    <a:latin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Feuil3!$B$2:$B$13</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Feuil3!$C$2:$C$13</c:f>
              <c:numCache>
                <c:formatCode>0.0%</c:formatCode>
                <c:ptCount val="12"/>
                <c:pt idx="0">
                  <c:v>0.32000000000000772</c:v>
                </c:pt>
                <c:pt idx="1">
                  <c:v>0.32700000000000806</c:v>
                </c:pt>
                <c:pt idx="2">
                  <c:v>0.31900000000000761</c:v>
                </c:pt>
                <c:pt idx="3">
                  <c:v>0.34400000000000008</c:v>
                </c:pt>
                <c:pt idx="4">
                  <c:v>0.38000000000000739</c:v>
                </c:pt>
                <c:pt idx="5">
                  <c:v>0.39000000000000806</c:v>
                </c:pt>
                <c:pt idx="6">
                  <c:v>0.35600000000000032</c:v>
                </c:pt>
                <c:pt idx="7">
                  <c:v>0.32000000000000772</c:v>
                </c:pt>
                <c:pt idx="8">
                  <c:v>0.35600000000000032</c:v>
                </c:pt>
                <c:pt idx="9">
                  <c:v>0.45100000000000001</c:v>
                </c:pt>
                <c:pt idx="10">
                  <c:v>0.45400000000000001</c:v>
                </c:pt>
                <c:pt idx="11">
                  <c:v>0.47400000000000031</c:v>
                </c:pt>
              </c:numCache>
            </c:numRef>
          </c:val>
        </c:ser>
        <c:ser>
          <c:idx val="1"/>
          <c:order val="1"/>
          <c:tx>
            <c:strRef>
              <c:f>Feuil3!$D$1</c:f>
              <c:strCache>
                <c:ptCount val="1"/>
                <c:pt idx="0">
                  <c:v>Seuil UEMOA (35%)</c:v>
                </c:pt>
              </c:strCache>
            </c:strRef>
          </c:tx>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Feuil3!$B$2:$B$13</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Feuil3!$D$2:$D$13</c:f>
              <c:numCache>
                <c:formatCode>General</c:formatCode>
                <c:ptCount val="12"/>
              </c:numCache>
            </c:numRef>
          </c:val>
        </c:ser>
        <c:dLbls>
          <c:showLegendKey val="0"/>
          <c:showVal val="1"/>
          <c:showCatName val="0"/>
          <c:showSerName val="0"/>
          <c:showPercent val="0"/>
          <c:showBubbleSize val="0"/>
        </c:dLbls>
        <c:gapWidth val="0"/>
        <c:overlap val="-25"/>
        <c:axId val="348567808"/>
        <c:axId val="348568368"/>
      </c:barChart>
      <c:catAx>
        <c:axId val="348567808"/>
        <c:scaling>
          <c:orientation val="minMax"/>
        </c:scaling>
        <c:delete val="0"/>
        <c:axPos val="b"/>
        <c:numFmt formatCode="General" sourceLinked="1"/>
        <c:majorTickMark val="none"/>
        <c:minorTickMark val="none"/>
        <c:tickLblPos val="nextTo"/>
        <c:txPr>
          <a:bodyPr/>
          <a:lstStyle/>
          <a:p>
            <a:pPr>
              <a:defRPr lang="en-US" b="1" i="0" baseline="0">
                <a:latin typeface="Times New Roman" pitchFamily="18" charset="0"/>
              </a:defRPr>
            </a:pPr>
            <a:endParaRPr lang="fr-FR"/>
          </a:p>
        </c:txPr>
        <c:crossAx val="348568368"/>
        <c:crosses val="autoZero"/>
        <c:auto val="1"/>
        <c:lblAlgn val="ctr"/>
        <c:lblOffset val="100"/>
        <c:noMultiLvlLbl val="0"/>
      </c:catAx>
      <c:valAx>
        <c:axId val="348568368"/>
        <c:scaling>
          <c:orientation val="minMax"/>
        </c:scaling>
        <c:delete val="1"/>
        <c:axPos val="l"/>
        <c:numFmt formatCode="0.0%" sourceLinked="1"/>
        <c:majorTickMark val="out"/>
        <c:minorTickMark val="none"/>
        <c:tickLblPos val="nextTo"/>
        <c:crossAx val="348567808"/>
        <c:crosses val="autoZero"/>
        <c:crossBetween val="between"/>
      </c:valAx>
      <c:spPr>
        <a:ln w="0" cmpd="sng"/>
      </c:spPr>
    </c:plotArea>
    <c:legend>
      <c:legendPos val="t"/>
      <c:layout>
        <c:manualLayout>
          <c:xMode val="edge"/>
          <c:yMode val="edge"/>
          <c:x val="1.9718212888715302E-2"/>
          <c:y val="0.79629629629629661"/>
          <c:w val="0.9330168416447947"/>
          <c:h val="0.17043598716827657"/>
        </c:manualLayout>
      </c:layout>
      <c:overlay val="0"/>
      <c:txPr>
        <a:bodyPr/>
        <a:lstStyle/>
        <a:p>
          <a:pPr>
            <a:defRPr lang="en-US" sz="1200" b="0" i="0" cap="none" normalizeH="0" baseline="0">
              <a:latin typeface="Times New Roman" pitchFamily="18" charset="0"/>
            </a:defRPr>
          </a:pPr>
          <a:endParaRPr lang="fr-FR"/>
        </a:p>
      </c:txPr>
    </c:legend>
    <c:plotVisOnly val="1"/>
    <c:dispBlanksAs val="gap"/>
    <c:showDLblsOverMax val="0"/>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33217410323784"/>
          <c:y val="3.2359681937642569E-2"/>
          <c:w val="0.5969536131216"/>
          <c:h val="0.87448442503282153"/>
        </c:manualLayout>
      </c:layout>
      <c:barChart>
        <c:barDir val="bar"/>
        <c:grouping val="clustered"/>
        <c:varyColors val="0"/>
        <c:ser>
          <c:idx val="0"/>
          <c:order val="0"/>
          <c:tx>
            <c:strRef>
              <c:f>Feuil6!$G$4</c:f>
              <c:strCache>
                <c:ptCount val="1"/>
                <c:pt idx="0">
                  <c:v>2011</c:v>
                </c:pt>
              </c:strCache>
            </c:strRef>
          </c:tx>
          <c:spPr>
            <a:solidFill>
              <a:srgbClr val="1F497D">
                <a:lumMod val="40000"/>
                <a:lumOff val="60000"/>
                <a:alpha val="67000"/>
              </a:srgbClr>
            </a:solidFill>
          </c:spPr>
          <c:invertIfNegative val="0"/>
          <c:dLbls>
            <c:numFmt formatCode="0.0%" sourceLinked="0"/>
            <c:spPr>
              <a:noFill/>
              <a:ln>
                <a:noFill/>
              </a:ln>
              <a:effectLst/>
            </c:spPr>
            <c:txPr>
              <a:bodyPr/>
              <a:lstStyle/>
              <a:p>
                <a:pPr>
                  <a:defRPr lang="en-US" sz="900" b="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Feuil6!$F$5:$F$15</c:f>
              <c:strCache>
                <c:ptCount val="11"/>
                <c:pt idx="0">
                  <c:v>Agriculture</c:v>
                </c:pt>
                <c:pt idx="1">
                  <c:v>Culture et Alphabétisation</c:v>
                </c:pt>
                <c:pt idx="2">
                  <c:v>Energie et Eau</c:v>
                </c:pt>
                <c:pt idx="3">
                  <c:v>Enseignement Primaire</c:v>
                </c:pt>
                <c:pt idx="4">
                  <c:v>Enseignement Supérieur</c:v>
                </c:pt>
                <c:pt idx="5">
                  <c:v>Enseignement Technique</c:v>
                </c:pt>
                <c:pt idx="6">
                  <c:v>Famille et Solidarité</c:v>
                </c:pt>
                <c:pt idx="7">
                  <c:v>Jeunesse</c:v>
                </c:pt>
                <c:pt idx="8">
                  <c:v>Microfinance</c:v>
                </c:pt>
                <c:pt idx="9">
                  <c:v>Santé</c:v>
                </c:pt>
                <c:pt idx="10">
                  <c:v>Ensemble</c:v>
                </c:pt>
              </c:strCache>
            </c:strRef>
          </c:cat>
          <c:val>
            <c:numRef>
              <c:f>Feuil6!$G$5:$G$15</c:f>
              <c:numCache>
                <c:formatCode>0.00%</c:formatCode>
                <c:ptCount val="11"/>
                <c:pt idx="0">
                  <c:v>0.58899999999999997</c:v>
                </c:pt>
                <c:pt idx="1">
                  <c:v>0.56899999999999995</c:v>
                </c:pt>
                <c:pt idx="2">
                  <c:v>0.504</c:v>
                </c:pt>
                <c:pt idx="3">
                  <c:v>0.78</c:v>
                </c:pt>
                <c:pt idx="4">
                  <c:v>0.99399999999999999</c:v>
                </c:pt>
                <c:pt idx="5">
                  <c:v>0.78400000000000003</c:v>
                </c:pt>
                <c:pt idx="6">
                  <c:v>0.75500000000001244</c:v>
                </c:pt>
                <c:pt idx="7">
                  <c:v>0.95400000000000063</c:v>
                </c:pt>
                <c:pt idx="8">
                  <c:v>0.96200000000000063</c:v>
                </c:pt>
                <c:pt idx="9">
                  <c:v>0.71200000000000063</c:v>
                </c:pt>
                <c:pt idx="10">
                  <c:v>0.74600000000001065</c:v>
                </c:pt>
              </c:numCache>
            </c:numRef>
          </c:val>
        </c:ser>
        <c:ser>
          <c:idx val="1"/>
          <c:order val="1"/>
          <c:tx>
            <c:strRef>
              <c:f>Feuil6!$H$4</c:f>
              <c:strCache>
                <c:ptCount val="1"/>
                <c:pt idx="0">
                  <c:v>2012</c:v>
                </c:pt>
              </c:strCache>
            </c:strRef>
          </c:tx>
          <c:spPr>
            <a:solidFill>
              <a:srgbClr val="4F81BD">
                <a:lumMod val="75000"/>
                <a:alpha val="58000"/>
              </a:srgbClr>
            </a:solidFill>
          </c:spPr>
          <c:invertIfNegative val="0"/>
          <c:dLbls>
            <c:numFmt formatCode="0.0%" sourceLinked="0"/>
            <c:spPr>
              <a:noFill/>
              <a:ln>
                <a:noFill/>
              </a:ln>
              <a:effectLst/>
            </c:spPr>
            <c:txPr>
              <a:bodyPr/>
              <a:lstStyle/>
              <a:p>
                <a:pPr>
                  <a:defRPr lang="en-US" sz="1000" b="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Feuil6!$F$5:$F$15</c:f>
              <c:strCache>
                <c:ptCount val="11"/>
                <c:pt idx="0">
                  <c:v>Agriculture</c:v>
                </c:pt>
                <c:pt idx="1">
                  <c:v>Culture et Alphabétisation</c:v>
                </c:pt>
                <c:pt idx="2">
                  <c:v>Energie et Eau</c:v>
                </c:pt>
                <c:pt idx="3">
                  <c:v>Enseignement Primaire</c:v>
                </c:pt>
                <c:pt idx="4">
                  <c:v>Enseignement Supérieur</c:v>
                </c:pt>
                <c:pt idx="5">
                  <c:v>Enseignement Technique</c:v>
                </c:pt>
                <c:pt idx="6">
                  <c:v>Famille et Solidarité</c:v>
                </c:pt>
                <c:pt idx="7">
                  <c:v>Jeunesse</c:v>
                </c:pt>
                <c:pt idx="8">
                  <c:v>Microfinance</c:v>
                </c:pt>
                <c:pt idx="9">
                  <c:v>Santé</c:v>
                </c:pt>
                <c:pt idx="10">
                  <c:v>Ensemble</c:v>
                </c:pt>
              </c:strCache>
            </c:strRef>
          </c:cat>
          <c:val>
            <c:numRef>
              <c:f>Feuil6!$H$5:$H$15</c:f>
              <c:numCache>
                <c:formatCode>0.00%</c:formatCode>
                <c:ptCount val="11"/>
                <c:pt idx="0">
                  <c:v>1.1140000000000001</c:v>
                </c:pt>
                <c:pt idx="1">
                  <c:v>0.5</c:v>
                </c:pt>
                <c:pt idx="2">
                  <c:v>0.95100000000000062</c:v>
                </c:pt>
                <c:pt idx="3">
                  <c:v>0.96100000000000063</c:v>
                </c:pt>
                <c:pt idx="4">
                  <c:v>0.995</c:v>
                </c:pt>
                <c:pt idx="5">
                  <c:v>0.85200000000000065</c:v>
                </c:pt>
                <c:pt idx="6">
                  <c:v>0.87500000000001188</c:v>
                </c:pt>
                <c:pt idx="7">
                  <c:v>0.8</c:v>
                </c:pt>
                <c:pt idx="8">
                  <c:v>1.47</c:v>
                </c:pt>
                <c:pt idx="9">
                  <c:v>1.0649999999999764</c:v>
                </c:pt>
                <c:pt idx="10">
                  <c:v>1.0309999999999748</c:v>
                </c:pt>
              </c:numCache>
            </c:numRef>
          </c:val>
        </c:ser>
        <c:dLbls>
          <c:showLegendKey val="0"/>
          <c:showVal val="0"/>
          <c:showCatName val="0"/>
          <c:showSerName val="0"/>
          <c:showPercent val="0"/>
          <c:showBubbleSize val="0"/>
        </c:dLbls>
        <c:gapWidth val="114"/>
        <c:axId val="348571168"/>
        <c:axId val="348571728"/>
      </c:barChart>
      <c:catAx>
        <c:axId val="348571168"/>
        <c:scaling>
          <c:orientation val="minMax"/>
        </c:scaling>
        <c:delete val="0"/>
        <c:axPos val="l"/>
        <c:numFmt formatCode="General" sourceLinked="0"/>
        <c:majorTickMark val="out"/>
        <c:minorTickMark val="none"/>
        <c:tickLblPos val="nextTo"/>
        <c:txPr>
          <a:bodyPr/>
          <a:lstStyle/>
          <a:p>
            <a:pPr>
              <a:defRPr lang="en-US"/>
            </a:pPr>
            <a:endParaRPr lang="fr-FR"/>
          </a:p>
        </c:txPr>
        <c:crossAx val="348571728"/>
        <c:crosses val="autoZero"/>
        <c:auto val="1"/>
        <c:lblAlgn val="ctr"/>
        <c:lblOffset val="100"/>
        <c:noMultiLvlLbl val="0"/>
      </c:catAx>
      <c:valAx>
        <c:axId val="348571728"/>
        <c:scaling>
          <c:orientation val="minMax"/>
        </c:scaling>
        <c:delete val="1"/>
        <c:axPos val="b"/>
        <c:majorGridlines/>
        <c:numFmt formatCode="0.00%" sourceLinked="1"/>
        <c:majorTickMark val="out"/>
        <c:minorTickMark val="none"/>
        <c:tickLblPos val="nextTo"/>
        <c:crossAx val="348571168"/>
        <c:crosses val="autoZero"/>
        <c:crossBetween val="between"/>
      </c:valAx>
    </c:plotArea>
    <c:legend>
      <c:legendPos val="r"/>
      <c:layout>
        <c:manualLayout>
          <c:xMode val="edge"/>
          <c:yMode val="edge"/>
          <c:x val="0.25482086614173238"/>
          <c:y val="0.91132697122537087"/>
          <c:w val="0.58129024496937887"/>
          <c:h val="8.7544056992878247E-2"/>
        </c:manualLayout>
      </c:layout>
      <c:overlay val="0"/>
      <c:txPr>
        <a:bodyPr/>
        <a:lstStyle/>
        <a:p>
          <a:pPr>
            <a:defRPr lang="en-US"/>
          </a:pPr>
          <a:endParaRPr lang="fr-FR"/>
        </a:p>
      </c:txPr>
    </c:legend>
    <c:plotVisOnly val="1"/>
    <c:dispBlanksAs val="gap"/>
    <c:showDLblsOverMax val="0"/>
  </c:chart>
  <c:txPr>
    <a:bodyPr/>
    <a:lstStyle/>
    <a:p>
      <a:pPr>
        <a:defRPr b="1" i="0" baseline="0">
          <a:latin typeface="Times New Roman" pitchFamily="18" charset="0"/>
        </a:defRPr>
      </a:pPr>
      <a:endParaRPr lang="fr-F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930016647797752"/>
          <c:y val="3.5469454722693236E-2"/>
          <c:w val="0.65892514008452086"/>
          <c:h val="0.81156200670643019"/>
        </c:manualLayout>
      </c:layout>
      <c:bar3DChart>
        <c:barDir val="col"/>
        <c:grouping val="stacked"/>
        <c:varyColors val="0"/>
        <c:ser>
          <c:idx val="1"/>
          <c:order val="0"/>
          <c:tx>
            <c:strRef>
              <c:f>Graphs!$A$106</c:f>
              <c:strCache>
                <c:ptCount val="1"/>
                <c:pt idx="0">
                  <c:v>Central</c:v>
                </c:pt>
              </c:strCache>
            </c:strRef>
          </c:tx>
          <c:spPr>
            <a:solidFill>
              <a:schemeClr val="accent1">
                <a:lumMod val="40000"/>
                <a:lumOff val="60000"/>
              </a:schemeClr>
            </a:solidFill>
          </c:spPr>
          <c:invertIfNegative val="0"/>
          <c:dLbls>
            <c:spPr>
              <a:noFill/>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Graphs!$E$105:$G$105</c:f>
              <c:numCache>
                <c:formatCode>General</c:formatCode>
                <c:ptCount val="3"/>
                <c:pt idx="0">
                  <c:v>2007</c:v>
                </c:pt>
                <c:pt idx="1">
                  <c:v>2008</c:v>
                </c:pt>
                <c:pt idx="2">
                  <c:v>2009</c:v>
                </c:pt>
              </c:numCache>
            </c:numRef>
          </c:cat>
          <c:val>
            <c:numRef>
              <c:f>Graphs!$E$106:$G$106</c:f>
              <c:numCache>
                <c:formatCode>General</c:formatCode>
                <c:ptCount val="3"/>
                <c:pt idx="0">
                  <c:v>622.4</c:v>
                </c:pt>
                <c:pt idx="1">
                  <c:v>684.7</c:v>
                </c:pt>
                <c:pt idx="2">
                  <c:v>805.4</c:v>
                </c:pt>
              </c:numCache>
            </c:numRef>
          </c:val>
        </c:ser>
        <c:ser>
          <c:idx val="2"/>
          <c:order val="1"/>
          <c:tx>
            <c:strRef>
              <c:f>Graphs!$A$108</c:f>
              <c:strCache>
                <c:ptCount val="1"/>
                <c:pt idx="0">
                  <c:v>Déconcentré</c:v>
                </c:pt>
              </c:strCache>
            </c:strRef>
          </c:tx>
          <c:spPr>
            <a:solidFill>
              <a:schemeClr val="tx2">
                <a:lumMod val="50000"/>
              </a:schemeClr>
            </a:solidFill>
          </c:spPr>
          <c:invertIfNegative val="0"/>
          <c:dLbls>
            <c:spPr>
              <a:solidFill>
                <a:schemeClr val="bg1"/>
              </a:solidFill>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Graphs!$E$105:$G$105</c:f>
              <c:numCache>
                <c:formatCode>General</c:formatCode>
                <c:ptCount val="3"/>
                <c:pt idx="0">
                  <c:v>2007</c:v>
                </c:pt>
                <c:pt idx="1">
                  <c:v>2008</c:v>
                </c:pt>
                <c:pt idx="2">
                  <c:v>2009</c:v>
                </c:pt>
              </c:numCache>
            </c:numRef>
          </c:cat>
          <c:val>
            <c:numRef>
              <c:f>Graphs!$E$108:$G$108</c:f>
              <c:numCache>
                <c:formatCode>General</c:formatCode>
                <c:ptCount val="3"/>
                <c:pt idx="0">
                  <c:v>11.1</c:v>
                </c:pt>
                <c:pt idx="1">
                  <c:v>13.5</c:v>
                </c:pt>
                <c:pt idx="2" formatCode="0.0">
                  <c:v>14.325000000000022</c:v>
                </c:pt>
              </c:numCache>
            </c:numRef>
          </c:val>
        </c:ser>
        <c:ser>
          <c:idx val="0"/>
          <c:order val="2"/>
          <c:tx>
            <c:strRef>
              <c:f>Graphs!$A$107</c:f>
              <c:strCache>
                <c:ptCount val="1"/>
                <c:pt idx="0">
                  <c:v>Décentralisé</c:v>
                </c:pt>
              </c:strCache>
            </c:strRef>
          </c:tx>
          <c:spPr>
            <a:solidFill>
              <a:schemeClr val="tx2">
                <a:lumMod val="60000"/>
                <a:lumOff val="40000"/>
              </a:schemeClr>
            </a:solidFill>
          </c:spPr>
          <c:invertIfNegative val="0"/>
          <c:dLbls>
            <c:dLbl>
              <c:idx val="0"/>
              <c:layout>
                <c:manualLayout>
                  <c:x val="4.0425598800241824E-2"/>
                  <c:y val="-5.452110390880346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5035709473118661E-2"/>
                  <c:y val="-4.75657802561171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425818622827056E-2"/>
                  <c:y val="-4.6497977788363724E-2"/>
                </c:manualLayout>
              </c:layout>
              <c:showLegendKey val="0"/>
              <c:showVal val="1"/>
              <c:showCatName val="0"/>
              <c:showSerName val="0"/>
              <c:showPercent val="0"/>
              <c:showBubbleSize val="0"/>
              <c:extLst>
                <c:ext xmlns:c15="http://schemas.microsoft.com/office/drawing/2012/chart" uri="{CE6537A1-D6FC-4f65-9D91-7224C49458BB}"/>
              </c:extLst>
            </c:dLbl>
            <c:spPr>
              <a:noFill/>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Graphs!$E$105:$G$105</c:f>
              <c:numCache>
                <c:formatCode>General</c:formatCode>
                <c:ptCount val="3"/>
                <c:pt idx="0">
                  <c:v>2007</c:v>
                </c:pt>
                <c:pt idx="1">
                  <c:v>2008</c:v>
                </c:pt>
                <c:pt idx="2">
                  <c:v>2009</c:v>
                </c:pt>
              </c:numCache>
            </c:numRef>
          </c:cat>
          <c:val>
            <c:numRef>
              <c:f>Graphs!$E$107:$G$107</c:f>
              <c:numCache>
                <c:formatCode>General</c:formatCode>
                <c:ptCount val="3"/>
                <c:pt idx="0">
                  <c:v>25.6</c:v>
                </c:pt>
                <c:pt idx="1">
                  <c:v>32.4</c:v>
                </c:pt>
                <c:pt idx="2" formatCode="0.0">
                  <c:v>40.290000000000013</c:v>
                </c:pt>
              </c:numCache>
            </c:numRef>
          </c:val>
        </c:ser>
        <c:dLbls>
          <c:showLegendKey val="0"/>
          <c:showVal val="1"/>
          <c:showCatName val="0"/>
          <c:showSerName val="0"/>
          <c:showPercent val="0"/>
          <c:showBubbleSize val="0"/>
        </c:dLbls>
        <c:gapWidth val="75"/>
        <c:shape val="box"/>
        <c:axId val="348575088"/>
        <c:axId val="348807152"/>
        <c:axId val="0"/>
      </c:bar3DChart>
      <c:catAx>
        <c:axId val="348575088"/>
        <c:scaling>
          <c:orientation val="minMax"/>
        </c:scaling>
        <c:delete val="0"/>
        <c:axPos val="b"/>
        <c:numFmt formatCode="General" sourceLinked="1"/>
        <c:majorTickMark val="none"/>
        <c:minorTickMark val="none"/>
        <c:tickLblPos val="nextTo"/>
        <c:txPr>
          <a:bodyPr/>
          <a:lstStyle/>
          <a:p>
            <a:pPr>
              <a:defRPr lang="fr-FR"/>
            </a:pPr>
            <a:endParaRPr lang="fr-FR"/>
          </a:p>
        </c:txPr>
        <c:crossAx val="348807152"/>
        <c:crosses val="autoZero"/>
        <c:auto val="1"/>
        <c:lblAlgn val="ctr"/>
        <c:lblOffset val="100"/>
        <c:noMultiLvlLbl val="0"/>
      </c:catAx>
      <c:valAx>
        <c:axId val="348807152"/>
        <c:scaling>
          <c:orientation val="minMax"/>
        </c:scaling>
        <c:delete val="0"/>
        <c:axPos val="l"/>
        <c:numFmt formatCode="General" sourceLinked="1"/>
        <c:majorTickMark val="none"/>
        <c:minorTickMark val="none"/>
        <c:tickLblPos val="nextTo"/>
        <c:txPr>
          <a:bodyPr/>
          <a:lstStyle/>
          <a:p>
            <a:pPr>
              <a:defRPr lang="fr-FR"/>
            </a:pPr>
            <a:endParaRPr lang="fr-FR"/>
          </a:p>
        </c:txPr>
        <c:crossAx val="348575088"/>
        <c:crosses val="autoZero"/>
        <c:crossBetween val="between"/>
      </c:valAx>
    </c:plotArea>
    <c:legend>
      <c:legendPos val="r"/>
      <c:layout>
        <c:manualLayout>
          <c:xMode val="edge"/>
          <c:yMode val="edge"/>
          <c:x val="0.73025750503731157"/>
          <c:y val="0.27680854839766622"/>
          <c:w val="0.19697602144159973"/>
          <c:h val="0.26607448090342262"/>
        </c:manualLayout>
      </c:layout>
      <c:overlay val="0"/>
      <c:txPr>
        <a:bodyPr/>
        <a:lstStyle/>
        <a:p>
          <a:pPr>
            <a:defRPr lang="en-US" sz="1050" b="1"/>
          </a:pPr>
          <a:endParaRPr lang="fr-FR"/>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118500758339465"/>
          <c:y val="5.2494182907987734E-2"/>
          <c:w val="0.67129953046531021"/>
          <c:h val="0.80152502849494411"/>
        </c:manualLayout>
      </c:layout>
      <c:barChart>
        <c:barDir val="bar"/>
        <c:grouping val="clustered"/>
        <c:varyColors val="0"/>
        <c:ser>
          <c:idx val="1"/>
          <c:order val="1"/>
          <c:tx>
            <c:strRef>
              <c:f>Graphs!$B$257</c:f>
            </c:strRef>
          </c:tx>
          <c:invertIfNegative val="0"/>
          <c:cat>
            <c:multiLvlStrRef>
              <c:f>Graphs!$A$258:$A$269</c:f>
            </c:multiLvlStrRef>
          </c:cat>
          <c:val>
            <c:numRef>
              <c:f>Graphs!$B$258:$B$269</c:f>
            </c:numRef>
          </c:val>
        </c:ser>
        <c:ser>
          <c:idx val="0"/>
          <c:order val="0"/>
          <c:tx>
            <c:strRef>
              <c:f>'[PEA Main file.xlsx]Graphs'!$B$257</c:f>
              <c:strCache>
                <c:ptCount val="1"/>
                <c:pt idx="0">
                  <c:v>CD/DT</c:v>
                </c:pt>
              </c:strCache>
            </c:strRef>
          </c:tx>
          <c:spPr>
            <a:solidFill>
              <a:srgbClr val="1F497D">
                <a:lumMod val="60000"/>
                <a:lumOff val="40000"/>
                <a:alpha val="99000"/>
              </a:srgbClr>
            </a:solidFill>
          </c:spPr>
          <c:invertIfNegative val="0"/>
          <c:dLbls>
            <c:spPr>
              <a:noFill/>
              <a:ln>
                <a:noFill/>
              </a:ln>
              <a:effectLst/>
            </c:spPr>
            <c:txPr>
              <a:bodyPr/>
              <a:lstStyle/>
              <a:p>
                <a:pPr>
                  <a:defRPr lang="en-US" b="0">
                    <a:latin typeface="Times New Roman" pitchFamily="18" charset="0"/>
                    <a:cs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'[PEA Main file.xlsx]Graphs'!$A$258:$A$269</c:f>
              <c:strCache>
                <c:ptCount val="12"/>
                <c:pt idx="0">
                  <c:v>Décentralisation</c:v>
                </c:pt>
                <c:pt idx="1">
                  <c:v>Justice</c:v>
                </c:pt>
                <c:pt idx="2">
                  <c:v>Santé</c:v>
                </c:pt>
                <c:pt idx="3">
                  <c:v>Eau</c:v>
                </c:pt>
                <c:pt idx="4">
                  <c:v>Agriculture</c:v>
                </c:pt>
                <c:pt idx="5">
                  <c:v>Transports</c:v>
                </c:pt>
                <c:pt idx="6">
                  <c:v>Enseignement primaire</c:v>
                </c:pt>
                <c:pt idx="7">
                  <c:v>Enseignement technique</c:v>
                </c:pt>
                <c:pt idx="8">
                  <c:v>Travail</c:v>
                </c:pt>
                <c:pt idx="9">
                  <c:v>Industrie</c:v>
                </c:pt>
                <c:pt idx="10">
                  <c:v>Artisanat</c:v>
                </c:pt>
                <c:pt idx="11">
                  <c:v>Développement</c:v>
                </c:pt>
              </c:strCache>
            </c:strRef>
          </c:cat>
          <c:val>
            <c:numRef>
              <c:f>'[PEA Main file.xlsx]Graphs'!$B$258:$B$269</c:f>
              <c:numCache>
                <c:formatCode>0.0</c:formatCode>
                <c:ptCount val="12"/>
                <c:pt idx="0">
                  <c:v>10.659898477157364</c:v>
                </c:pt>
                <c:pt idx="1">
                  <c:v>0.56818181818184565</c:v>
                </c:pt>
                <c:pt idx="2">
                  <c:v>16.946107784430989</c:v>
                </c:pt>
                <c:pt idx="3">
                  <c:v>47.417840375585946</c:v>
                </c:pt>
                <c:pt idx="4">
                  <c:v>1.5755395683453239</c:v>
                </c:pt>
                <c:pt idx="5">
                  <c:v>6.5789473684210509E-2</c:v>
                </c:pt>
                <c:pt idx="6">
                  <c:v>1.508148148148148</c:v>
                </c:pt>
                <c:pt idx="7">
                  <c:v>0.59352517985607856</c:v>
                </c:pt>
                <c:pt idx="8">
                  <c:v>1.3142857142857978</c:v>
                </c:pt>
                <c:pt idx="9">
                  <c:v>2.4899999999999998</c:v>
                </c:pt>
                <c:pt idx="10">
                  <c:v>1.029411764705882</c:v>
                </c:pt>
                <c:pt idx="11">
                  <c:v>1.710526315789336</c:v>
                </c:pt>
              </c:numCache>
            </c:numRef>
          </c:val>
        </c:ser>
        <c:dLbls>
          <c:showLegendKey val="0"/>
          <c:showVal val="0"/>
          <c:showCatName val="0"/>
          <c:showSerName val="0"/>
          <c:showPercent val="0"/>
          <c:showBubbleSize val="0"/>
        </c:dLbls>
        <c:gapWidth val="71"/>
        <c:overlap val="-8"/>
        <c:axId val="348809952"/>
        <c:axId val="348810512"/>
      </c:barChart>
      <c:catAx>
        <c:axId val="348809952"/>
        <c:scaling>
          <c:orientation val="minMax"/>
        </c:scaling>
        <c:delete val="0"/>
        <c:axPos val="l"/>
        <c:numFmt formatCode="General" sourceLinked="0"/>
        <c:majorTickMark val="out"/>
        <c:minorTickMark val="none"/>
        <c:tickLblPos val="nextTo"/>
        <c:txPr>
          <a:bodyPr/>
          <a:lstStyle/>
          <a:p>
            <a:pPr>
              <a:defRPr lang="fr-FR" b="0">
                <a:latin typeface="Times New Roman" pitchFamily="18" charset="0"/>
                <a:cs typeface="Times New Roman" pitchFamily="18" charset="0"/>
              </a:defRPr>
            </a:pPr>
            <a:endParaRPr lang="fr-FR"/>
          </a:p>
        </c:txPr>
        <c:crossAx val="348810512"/>
        <c:crosses val="autoZero"/>
        <c:auto val="1"/>
        <c:lblAlgn val="ctr"/>
        <c:lblOffset val="100"/>
        <c:noMultiLvlLbl val="0"/>
      </c:catAx>
      <c:valAx>
        <c:axId val="348810512"/>
        <c:scaling>
          <c:orientation val="minMax"/>
        </c:scaling>
        <c:delete val="0"/>
        <c:axPos val="b"/>
        <c:majorGridlines/>
        <c:numFmt formatCode="0" sourceLinked="0"/>
        <c:majorTickMark val="out"/>
        <c:minorTickMark val="none"/>
        <c:tickLblPos val="nextTo"/>
        <c:txPr>
          <a:bodyPr/>
          <a:lstStyle/>
          <a:p>
            <a:pPr>
              <a:defRPr lang="fr-FR" sz="1000" b="0"/>
            </a:pPr>
            <a:endParaRPr lang="fr-FR"/>
          </a:p>
        </c:txPr>
        <c:crossAx val="348809952"/>
        <c:crosses val="autoZero"/>
        <c:crossBetween val="between"/>
        <c:majorUnit val="10"/>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Feuil1!$B$6</c:f>
              <c:strCache>
                <c:ptCount val="1"/>
                <c:pt idx="0">
                  <c:v>Masculin</c:v>
                </c:pt>
              </c:strCache>
            </c:strRef>
          </c:tx>
          <c:spPr>
            <a:ln>
              <a:prstDash val="sysDash"/>
            </a:ln>
          </c:spPr>
          <c:marker>
            <c:symbol val="diamond"/>
            <c:size val="6"/>
          </c:marker>
          <c:dLbls>
            <c:dLbl>
              <c:idx val="0"/>
              <c:layout>
                <c:manualLayout>
                  <c:x val="-4.2031523642732112E-2"/>
                  <c:y val="-6.590621039290250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2691185055458406E-2"/>
                  <c:y val="-6.083650190114494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4010507880910603E-2"/>
                  <c:y val="-6.083650190114494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Feuil1!$C$3:$F$3</c:f>
              <c:numCache>
                <c:formatCode>General</c:formatCode>
                <c:ptCount val="4"/>
                <c:pt idx="0">
                  <c:v>2006</c:v>
                </c:pt>
                <c:pt idx="1">
                  <c:v>2007</c:v>
                </c:pt>
                <c:pt idx="2">
                  <c:v>2010</c:v>
                </c:pt>
                <c:pt idx="3">
                  <c:v>2011</c:v>
                </c:pt>
              </c:numCache>
            </c:numRef>
          </c:cat>
          <c:val>
            <c:numRef>
              <c:f>Feuil1!$C$6:$F$6</c:f>
              <c:numCache>
                <c:formatCode>General</c:formatCode>
                <c:ptCount val="4"/>
                <c:pt idx="0">
                  <c:v>76.5</c:v>
                </c:pt>
                <c:pt idx="1">
                  <c:v>79.3</c:v>
                </c:pt>
                <c:pt idx="2">
                  <c:v>76.5</c:v>
                </c:pt>
                <c:pt idx="3">
                  <c:v>74.900000000000006</c:v>
                </c:pt>
              </c:numCache>
            </c:numRef>
          </c:val>
          <c:smooth val="0"/>
        </c:ser>
        <c:ser>
          <c:idx val="1"/>
          <c:order val="1"/>
          <c:tx>
            <c:strRef>
              <c:f>Feuil1!$B$7</c:f>
              <c:strCache>
                <c:ptCount val="1"/>
                <c:pt idx="0">
                  <c:v>Féminin</c:v>
                </c:pt>
              </c:strCache>
            </c:strRef>
          </c:tx>
          <c:spPr>
            <a:ln>
              <a:prstDash val="dashDot"/>
            </a:ln>
          </c:spPr>
          <c:marker>
            <c:symbol val="square"/>
            <c:size val="5"/>
          </c:marker>
          <c:dLbls>
            <c:dLbl>
              <c:idx val="1"/>
              <c:layout>
                <c:manualLayout>
                  <c:x val="-2.3350846468184552E-2"/>
                  <c:y val="5.57667934093795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0356100408639806E-2"/>
                  <c:y val="4.055766793409452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Feuil1!$C$3:$F$3</c:f>
              <c:numCache>
                <c:formatCode>General</c:formatCode>
                <c:ptCount val="4"/>
                <c:pt idx="0">
                  <c:v>2006</c:v>
                </c:pt>
                <c:pt idx="1">
                  <c:v>2007</c:v>
                </c:pt>
                <c:pt idx="2">
                  <c:v>2010</c:v>
                </c:pt>
                <c:pt idx="3">
                  <c:v>2011</c:v>
                </c:pt>
              </c:numCache>
            </c:numRef>
          </c:cat>
          <c:val>
            <c:numRef>
              <c:f>Feuil1!$C$7:$F$7</c:f>
              <c:numCache>
                <c:formatCode>General</c:formatCode>
                <c:ptCount val="4"/>
                <c:pt idx="0">
                  <c:v>69.2</c:v>
                </c:pt>
                <c:pt idx="1">
                  <c:v>77.099999999999994</c:v>
                </c:pt>
                <c:pt idx="2">
                  <c:v>75.2</c:v>
                </c:pt>
                <c:pt idx="3">
                  <c:v>71.3</c:v>
                </c:pt>
              </c:numCache>
            </c:numRef>
          </c:val>
          <c:smooth val="0"/>
        </c:ser>
        <c:ser>
          <c:idx val="2"/>
          <c:order val="2"/>
          <c:tx>
            <c:strRef>
              <c:f>Feuil1!$B$35</c:f>
              <c:strCache>
                <c:ptCount val="1"/>
                <c:pt idx="0">
                  <c:v>Ensemble</c:v>
                </c:pt>
              </c:strCache>
            </c:strRef>
          </c:tx>
          <c:cat>
            <c:numRef>
              <c:f>Feuil1!$C$3:$F$3</c:f>
              <c:numCache>
                <c:formatCode>General</c:formatCode>
                <c:ptCount val="4"/>
                <c:pt idx="0">
                  <c:v>2006</c:v>
                </c:pt>
                <c:pt idx="1">
                  <c:v>2007</c:v>
                </c:pt>
                <c:pt idx="2">
                  <c:v>2010</c:v>
                </c:pt>
                <c:pt idx="3">
                  <c:v>2011</c:v>
                </c:pt>
              </c:numCache>
            </c:numRef>
          </c:cat>
          <c:val>
            <c:numRef>
              <c:f>Feuil1!$C$35:$F$35</c:f>
              <c:numCache>
                <c:formatCode>General</c:formatCode>
                <c:ptCount val="4"/>
                <c:pt idx="0">
                  <c:v>72.599999999999994</c:v>
                </c:pt>
                <c:pt idx="1">
                  <c:v>78.099999999999994</c:v>
                </c:pt>
                <c:pt idx="2">
                  <c:v>75.8</c:v>
                </c:pt>
                <c:pt idx="3">
                  <c:v>72.900000000000006</c:v>
                </c:pt>
              </c:numCache>
            </c:numRef>
          </c:val>
          <c:smooth val="0"/>
        </c:ser>
        <c:dLbls>
          <c:showLegendKey val="0"/>
          <c:showVal val="0"/>
          <c:showCatName val="0"/>
          <c:showSerName val="0"/>
          <c:showPercent val="0"/>
          <c:showBubbleSize val="0"/>
        </c:dLbls>
        <c:marker val="1"/>
        <c:smooth val="0"/>
        <c:axId val="348813872"/>
        <c:axId val="348814432"/>
      </c:lineChart>
      <c:catAx>
        <c:axId val="348813872"/>
        <c:scaling>
          <c:orientation val="minMax"/>
        </c:scaling>
        <c:delete val="0"/>
        <c:axPos val="b"/>
        <c:numFmt formatCode="General" sourceLinked="1"/>
        <c:majorTickMark val="out"/>
        <c:minorTickMark val="none"/>
        <c:tickLblPos val="nextTo"/>
        <c:txPr>
          <a:bodyPr/>
          <a:lstStyle/>
          <a:p>
            <a:pPr>
              <a:defRPr lang="en-US"/>
            </a:pPr>
            <a:endParaRPr lang="fr-FR"/>
          </a:p>
        </c:txPr>
        <c:crossAx val="348814432"/>
        <c:crosses val="autoZero"/>
        <c:auto val="1"/>
        <c:lblAlgn val="ctr"/>
        <c:lblOffset val="100"/>
        <c:noMultiLvlLbl val="0"/>
      </c:catAx>
      <c:valAx>
        <c:axId val="348814432"/>
        <c:scaling>
          <c:orientation val="minMax"/>
        </c:scaling>
        <c:delete val="0"/>
        <c:axPos val="l"/>
        <c:majorGridlines/>
        <c:numFmt formatCode="General" sourceLinked="1"/>
        <c:majorTickMark val="out"/>
        <c:minorTickMark val="none"/>
        <c:tickLblPos val="nextTo"/>
        <c:txPr>
          <a:bodyPr/>
          <a:lstStyle/>
          <a:p>
            <a:pPr>
              <a:defRPr lang="en-US"/>
            </a:pPr>
            <a:endParaRPr lang="fr-FR"/>
          </a:p>
        </c:txPr>
        <c:crossAx val="348813872"/>
        <c:crosses val="autoZero"/>
        <c:crossBetween val="between"/>
      </c:valAx>
    </c:plotArea>
    <c:legend>
      <c:legendPos val="b"/>
      <c:overlay val="0"/>
      <c:txPr>
        <a:bodyPr/>
        <a:lstStyle/>
        <a:p>
          <a:pPr>
            <a:defRPr lang="en-US"/>
          </a:pPr>
          <a:endParaRPr lang="fr-FR"/>
        </a:p>
      </c:txPr>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Feuil1!$B$3</c:f>
              <c:strCache>
                <c:ptCount val="1"/>
                <c:pt idx="0">
                  <c:v>Hommes</c:v>
                </c:pt>
              </c:strCache>
            </c:strRef>
          </c:tx>
          <c:spPr>
            <a:solidFill>
              <a:srgbClr val="1F497D">
                <a:lumMod val="60000"/>
                <a:lumOff val="40000"/>
                <a:alpha val="39000"/>
              </a:srgbClr>
            </a:solidFill>
          </c:spPr>
          <c:invertIfNegative val="0"/>
          <c:dLbls>
            <c:spPr>
              <a:noFill/>
              <a:ln>
                <a:noFill/>
              </a:ln>
              <a:effectLst/>
            </c:spPr>
            <c:txPr>
              <a:bodyPr/>
              <a:lstStyle/>
              <a:p>
                <a:pPr>
                  <a:defRPr lang="en-US" sz="1100">
                    <a:latin typeface="Times New Roman" pitchFamily="18" charset="0"/>
                    <a:cs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Feuil1!$A$4:$A$8</c:f>
              <c:strCache>
                <c:ptCount val="5"/>
                <c:pt idx="0">
                  <c:v>Aucun</c:v>
                </c:pt>
                <c:pt idx="1">
                  <c:v>Primaire</c:v>
                </c:pt>
                <c:pt idx="2">
                  <c:v>Secondaire 1</c:v>
                </c:pt>
                <c:pt idx="3">
                  <c:v>Secondaire 2</c:v>
                </c:pt>
                <c:pt idx="4">
                  <c:v>Supérieur</c:v>
                </c:pt>
              </c:strCache>
            </c:strRef>
          </c:cat>
          <c:val>
            <c:numRef>
              <c:f>Feuil1!$B$4:$B$8</c:f>
              <c:numCache>
                <c:formatCode>General</c:formatCode>
                <c:ptCount val="5"/>
                <c:pt idx="0">
                  <c:v>54.27</c:v>
                </c:pt>
                <c:pt idx="1">
                  <c:v>23.86</c:v>
                </c:pt>
                <c:pt idx="2">
                  <c:v>11.64</c:v>
                </c:pt>
                <c:pt idx="3">
                  <c:v>5.6099999999999985</c:v>
                </c:pt>
                <c:pt idx="4">
                  <c:v>4.6199999999999966</c:v>
                </c:pt>
              </c:numCache>
            </c:numRef>
          </c:val>
        </c:ser>
        <c:ser>
          <c:idx val="1"/>
          <c:order val="1"/>
          <c:tx>
            <c:strRef>
              <c:f>Feuil1!$C$3</c:f>
              <c:strCache>
                <c:ptCount val="1"/>
                <c:pt idx="0">
                  <c:v>Femmes</c:v>
                </c:pt>
              </c:strCache>
            </c:strRef>
          </c:tx>
          <c:spPr>
            <a:solidFill>
              <a:srgbClr val="4F81BD">
                <a:lumMod val="75000"/>
                <a:alpha val="62000"/>
              </a:srgbClr>
            </a:solidFill>
          </c:spPr>
          <c:invertIfNegative val="0"/>
          <c:dLbls>
            <c:spPr>
              <a:noFill/>
              <a:ln>
                <a:noFill/>
              </a:ln>
              <a:effectLst/>
            </c:spPr>
            <c:txPr>
              <a:bodyPr/>
              <a:lstStyle/>
              <a:p>
                <a:pPr>
                  <a:defRPr lang="en-US">
                    <a:latin typeface="Times New Roman" pitchFamily="18" charset="0"/>
                    <a:cs typeface="Times New Roman"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Feuil1!$A$4:$A$8</c:f>
              <c:strCache>
                <c:ptCount val="5"/>
                <c:pt idx="0">
                  <c:v>Aucun</c:v>
                </c:pt>
                <c:pt idx="1">
                  <c:v>Primaire</c:v>
                </c:pt>
                <c:pt idx="2">
                  <c:v>Secondaire 1</c:v>
                </c:pt>
                <c:pt idx="3">
                  <c:v>Secondaire 2</c:v>
                </c:pt>
                <c:pt idx="4">
                  <c:v>Supérieur</c:v>
                </c:pt>
              </c:strCache>
            </c:strRef>
          </c:cat>
          <c:val>
            <c:numRef>
              <c:f>Feuil1!$C$4:$C$8</c:f>
              <c:numCache>
                <c:formatCode>General</c:formatCode>
                <c:ptCount val="5"/>
                <c:pt idx="0">
                  <c:v>69.910000000000025</c:v>
                </c:pt>
                <c:pt idx="1">
                  <c:v>16.22</c:v>
                </c:pt>
                <c:pt idx="2">
                  <c:v>9.3800000000000008</c:v>
                </c:pt>
                <c:pt idx="3">
                  <c:v>2.73</c:v>
                </c:pt>
                <c:pt idx="4">
                  <c:v>1.75</c:v>
                </c:pt>
              </c:numCache>
            </c:numRef>
          </c:val>
        </c:ser>
        <c:dLbls>
          <c:showLegendKey val="0"/>
          <c:showVal val="1"/>
          <c:showCatName val="0"/>
          <c:showSerName val="0"/>
          <c:showPercent val="0"/>
          <c:showBubbleSize val="0"/>
        </c:dLbls>
        <c:gapWidth val="75"/>
        <c:axId val="303343360"/>
        <c:axId val="303343920"/>
      </c:barChart>
      <c:catAx>
        <c:axId val="303343360"/>
        <c:scaling>
          <c:orientation val="minMax"/>
        </c:scaling>
        <c:delete val="0"/>
        <c:axPos val="b"/>
        <c:numFmt formatCode="General" sourceLinked="0"/>
        <c:majorTickMark val="none"/>
        <c:minorTickMark val="none"/>
        <c:tickLblPos val="nextTo"/>
        <c:txPr>
          <a:bodyPr/>
          <a:lstStyle/>
          <a:p>
            <a:pPr>
              <a:defRPr lang="en-US" sz="1000">
                <a:latin typeface="Times New Roman" pitchFamily="18" charset="0"/>
                <a:cs typeface="Times New Roman" pitchFamily="18" charset="0"/>
              </a:defRPr>
            </a:pPr>
            <a:endParaRPr lang="fr-FR"/>
          </a:p>
        </c:txPr>
        <c:crossAx val="303343920"/>
        <c:crosses val="autoZero"/>
        <c:auto val="1"/>
        <c:lblAlgn val="ctr"/>
        <c:lblOffset val="100"/>
        <c:noMultiLvlLbl val="0"/>
      </c:catAx>
      <c:valAx>
        <c:axId val="303343920"/>
        <c:scaling>
          <c:orientation val="minMax"/>
        </c:scaling>
        <c:delete val="0"/>
        <c:axPos val="l"/>
        <c:numFmt formatCode="General" sourceLinked="1"/>
        <c:majorTickMark val="none"/>
        <c:minorTickMark val="none"/>
        <c:tickLblPos val="nextTo"/>
        <c:txPr>
          <a:bodyPr/>
          <a:lstStyle/>
          <a:p>
            <a:pPr>
              <a:defRPr lang="en-US">
                <a:latin typeface="Times New Roman" pitchFamily="18" charset="0"/>
                <a:cs typeface="Times New Roman" pitchFamily="18" charset="0"/>
              </a:defRPr>
            </a:pPr>
            <a:endParaRPr lang="fr-FR"/>
          </a:p>
        </c:txPr>
        <c:crossAx val="303343360"/>
        <c:crosses val="autoZero"/>
        <c:crossBetween val="between"/>
      </c:valAx>
    </c:plotArea>
    <c:legend>
      <c:legendPos val="b"/>
      <c:overlay val="0"/>
      <c:txPr>
        <a:bodyPr/>
        <a:lstStyle/>
        <a:p>
          <a:pPr>
            <a:defRPr lang="en-US">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Feuil1!$A$50</c:f>
              <c:strCache>
                <c:ptCount val="1"/>
                <c:pt idx="0">
                  <c:v>Pauvreté monétaire</c:v>
                </c:pt>
              </c:strCache>
            </c:strRef>
          </c:tx>
          <c:invertIfNegative val="0"/>
          <c:dLbls>
            <c:spPr>
              <a:noFill/>
              <a:ln>
                <a:noFill/>
              </a:ln>
              <a:effectLst/>
            </c:spPr>
            <c:txPr>
              <a:bodyPr/>
              <a:lstStyle/>
              <a:p>
                <a:pPr>
                  <a:defRPr lang="en-US" sz="105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Feuil1!$B$49:$D$49</c:f>
              <c:numCache>
                <c:formatCode>General</c:formatCode>
                <c:ptCount val="3"/>
                <c:pt idx="0">
                  <c:v>2006</c:v>
                </c:pt>
                <c:pt idx="1">
                  <c:v>2009</c:v>
                </c:pt>
                <c:pt idx="2">
                  <c:v>2011</c:v>
                </c:pt>
              </c:numCache>
            </c:numRef>
          </c:cat>
          <c:val>
            <c:numRef>
              <c:f>Feuil1!$B$50:$D$50</c:f>
              <c:numCache>
                <c:formatCode>General</c:formatCode>
                <c:ptCount val="3"/>
                <c:pt idx="0">
                  <c:v>0.37500000000000488</c:v>
                </c:pt>
                <c:pt idx="1">
                  <c:v>0.35200000000000031</c:v>
                </c:pt>
                <c:pt idx="2">
                  <c:v>0.36200000000000032</c:v>
                </c:pt>
              </c:numCache>
            </c:numRef>
          </c:val>
        </c:ser>
        <c:ser>
          <c:idx val="1"/>
          <c:order val="1"/>
          <c:tx>
            <c:strRef>
              <c:f>Feuil1!$A$51</c:f>
              <c:strCache>
                <c:ptCount val="1"/>
                <c:pt idx="0">
                  <c:v>Pauvreté non monétaire</c:v>
                </c:pt>
              </c:strCache>
            </c:strRef>
          </c:tx>
          <c:spPr>
            <a:solidFill>
              <a:srgbClr val="99CCFF"/>
            </a:solidFill>
          </c:spPr>
          <c:invertIfNegative val="0"/>
          <c:dLbls>
            <c:spPr>
              <a:noFill/>
              <a:ln>
                <a:noFill/>
              </a:ln>
              <a:effectLst/>
            </c:spPr>
            <c:txPr>
              <a:bodyPr/>
              <a:lstStyle/>
              <a:p>
                <a:pPr>
                  <a:defRPr lang="en-US" sz="105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Feuil1!$B$49:$D$49</c:f>
              <c:numCache>
                <c:formatCode>General</c:formatCode>
                <c:ptCount val="3"/>
                <c:pt idx="0">
                  <c:v>2006</c:v>
                </c:pt>
                <c:pt idx="1">
                  <c:v>2009</c:v>
                </c:pt>
                <c:pt idx="2">
                  <c:v>2011</c:v>
                </c:pt>
              </c:numCache>
            </c:numRef>
          </c:cat>
          <c:val>
            <c:numRef>
              <c:f>Feuil1!$B$51:$D$51</c:f>
              <c:numCache>
                <c:formatCode>0.000</c:formatCode>
                <c:ptCount val="3"/>
                <c:pt idx="0">
                  <c:v>0.44077321887016274</c:v>
                </c:pt>
                <c:pt idx="1">
                  <c:v>0.34987118840217635</c:v>
                </c:pt>
                <c:pt idx="2">
                  <c:v>0.29527190327645642</c:v>
                </c:pt>
              </c:numCache>
            </c:numRef>
          </c:val>
        </c:ser>
        <c:dLbls>
          <c:showLegendKey val="0"/>
          <c:showVal val="0"/>
          <c:showCatName val="0"/>
          <c:showSerName val="0"/>
          <c:showPercent val="0"/>
          <c:showBubbleSize val="0"/>
        </c:dLbls>
        <c:gapWidth val="165"/>
        <c:axId val="360819584"/>
        <c:axId val="360820144"/>
      </c:barChart>
      <c:catAx>
        <c:axId val="360819584"/>
        <c:scaling>
          <c:orientation val="minMax"/>
        </c:scaling>
        <c:delete val="0"/>
        <c:axPos val="b"/>
        <c:numFmt formatCode="General" sourceLinked="1"/>
        <c:majorTickMark val="out"/>
        <c:minorTickMark val="none"/>
        <c:tickLblPos val="nextTo"/>
        <c:txPr>
          <a:bodyPr/>
          <a:lstStyle/>
          <a:p>
            <a:pPr>
              <a:defRPr lang="en-US" sz="1100"/>
            </a:pPr>
            <a:endParaRPr lang="fr-FR"/>
          </a:p>
        </c:txPr>
        <c:crossAx val="360820144"/>
        <c:crosses val="autoZero"/>
        <c:auto val="1"/>
        <c:lblAlgn val="ctr"/>
        <c:lblOffset val="100"/>
        <c:noMultiLvlLbl val="0"/>
      </c:catAx>
      <c:valAx>
        <c:axId val="360820144"/>
        <c:scaling>
          <c:orientation val="minMax"/>
          <c:max val="0.5"/>
        </c:scaling>
        <c:delete val="0"/>
        <c:axPos val="l"/>
        <c:numFmt formatCode="#,##0.000" sourceLinked="0"/>
        <c:majorTickMark val="out"/>
        <c:minorTickMark val="none"/>
        <c:tickLblPos val="nextTo"/>
        <c:txPr>
          <a:bodyPr/>
          <a:lstStyle/>
          <a:p>
            <a:pPr>
              <a:defRPr lang="en-US" sz="1100"/>
            </a:pPr>
            <a:endParaRPr lang="fr-FR"/>
          </a:p>
        </c:txPr>
        <c:crossAx val="360819584"/>
        <c:crosses val="autoZero"/>
        <c:crossBetween val="between"/>
        <c:majorUnit val="0.1"/>
      </c:valAx>
    </c:plotArea>
    <c:legend>
      <c:legendPos val="b"/>
      <c:layout>
        <c:manualLayout>
          <c:xMode val="edge"/>
          <c:yMode val="edge"/>
          <c:x val="0.19765838268518671"/>
          <c:y val="0.85758512267880171"/>
          <c:w val="0.60468323462964779"/>
          <c:h val="8.7807368788804616E-2"/>
        </c:manualLayout>
      </c:layout>
      <c:overlay val="0"/>
      <c:txPr>
        <a:bodyPr/>
        <a:lstStyle/>
        <a:p>
          <a:pPr>
            <a:defRPr lang="en-US" sz="1100">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Feuil2!$A$4</c:f>
              <c:strCache>
                <c:ptCount val="1"/>
                <c:pt idx="0">
                  <c:v>2006</c:v>
                </c:pt>
              </c:strCache>
            </c:strRef>
          </c:tx>
          <c:invertIfNegative val="0"/>
          <c:dLbls>
            <c:spPr>
              <a:noFill/>
              <a:ln>
                <a:noFill/>
              </a:ln>
              <a:effectLst/>
            </c:spPr>
            <c:txPr>
              <a:bodyPr/>
              <a:lstStyle/>
              <a:p>
                <a:pPr>
                  <a:defRPr sz="11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Feuil2!$B$3:$E$3</c:f>
              <c:strCache>
                <c:ptCount val="4"/>
                <c:pt idx="0">
                  <c:v>Taux d'accouchement assisté (%)</c:v>
                </c:pt>
                <c:pt idx="1">
                  <c:v>Taux de consultation prénatale (%)</c:v>
                </c:pt>
                <c:pt idx="2">
                  <c:v>Taux d'accès à  l'eau potable (%)</c:v>
                </c:pt>
                <c:pt idx="3">
                  <c:v>Taux d'accès  à  l’électricité (%)</c:v>
                </c:pt>
              </c:strCache>
            </c:strRef>
          </c:cat>
          <c:val>
            <c:numRef>
              <c:f>Feuil2!$B$4:$E$4</c:f>
              <c:numCache>
                <c:formatCode>0</c:formatCode>
                <c:ptCount val="4"/>
                <c:pt idx="0" formatCode="General">
                  <c:v>78</c:v>
                </c:pt>
                <c:pt idx="1">
                  <c:v>88</c:v>
                </c:pt>
                <c:pt idx="2" formatCode="General">
                  <c:v>63.4</c:v>
                </c:pt>
                <c:pt idx="3" formatCode="General">
                  <c:v>34.200000000000003</c:v>
                </c:pt>
              </c:numCache>
            </c:numRef>
          </c:val>
        </c:ser>
        <c:ser>
          <c:idx val="1"/>
          <c:order val="1"/>
          <c:tx>
            <c:strRef>
              <c:f>Feuil2!$A$5</c:f>
              <c:strCache>
                <c:ptCount val="1"/>
                <c:pt idx="0">
                  <c:v>2011</c:v>
                </c:pt>
              </c:strCache>
            </c:strRef>
          </c:tx>
          <c:spPr>
            <a:solidFill>
              <a:srgbClr val="99CCFF"/>
            </a:solidFill>
          </c:spPr>
          <c:invertIfNegative val="0"/>
          <c:dLbls>
            <c:spPr>
              <a:noFill/>
              <a:ln>
                <a:noFill/>
              </a:ln>
              <a:effectLst/>
            </c:spPr>
            <c:txPr>
              <a:bodyPr/>
              <a:lstStyle/>
              <a:p>
                <a:pPr>
                  <a:defRPr sz="11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Feuil2!$B$3:$E$3</c:f>
              <c:strCache>
                <c:ptCount val="4"/>
                <c:pt idx="0">
                  <c:v>Taux d'accouchement assisté (%)</c:v>
                </c:pt>
                <c:pt idx="1">
                  <c:v>Taux de consultation prénatale (%)</c:v>
                </c:pt>
                <c:pt idx="2">
                  <c:v>Taux d'accès à  l'eau potable (%)</c:v>
                </c:pt>
                <c:pt idx="3">
                  <c:v>Taux d'accès  à  l’électricité (%)</c:v>
                </c:pt>
              </c:strCache>
            </c:strRef>
          </c:cat>
          <c:val>
            <c:numRef>
              <c:f>Feuil2!$B$5:$E$5</c:f>
              <c:numCache>
                <c:formatCode>General</c:formatCode>
                <c:ptCount val="4"/>
                <c:pt idx="0">
                  <c:v>87</c:v>
                </c:pt>
                <c:pt idx="1">
                  <c:v>86</c:v>
                </c:pt>
                <c:pt idx="2">
                  <c:v>73.900000000000006</c:v>
                </c:pt>
                <c:pt idx="3">
                  <c:v>41.8</c:v>
                </c:pt>
              </c:numCache>
            </c:numRef>
          </c:val>
        </c:ser>
        <c:dLbls>
          <c:showLegendKey val="0"/>
          <c:showVal val="0"/>
          <c:showCatName val="0"/>
          <c:showSerName val="0"/>
          <c:showPercent val="0"/>
          <c:showBubbleSize val="0"/>
        </c:dLbls>
        <c:gapWidth val="93"/>
        <c:axId val="360419072"/>
        <c:axId val="360419632"/>
      </c:barChart>
      <c:catAx>
        <c:axId val="360419072"/>
        <c:scaling>
          <c:orientation val="minMax"/>
        </c:scaling>
        <c:delete val="0"/>
        <c:axPos val="b"/>
        <c:numFmt formatCode="General" sourceLinked="0"/>
        <c:majorTickMark val="out"/>
        <c:minorTickMark val="none"/>
        <c:tickLblPos val="nextTo"/>
        <c:txPr>
          <a:bodyPr/>
          <a:lstStyle/>
          <a:p>
            <a:pPr>
              <a:defRPr sz="1100"/>
            </a:pPr>
            <a:endParaRPr lang="fr-FR"/>
          </a:p>
        </c:txPr>
        <c:crossAx val="360419632"/>
        <c:crosses val="autoZero"/>
        <c:auto val="1"/>
        <c:lblAlgn val="ctr"/>
        <c:lblOffset val="100"/>
        <c:noMultiLvlLbl val="0"/>
      </c:catAx>
      <c:valAx>
        <c:axId val="360419632"/>
        <c:scaling>
          <c:orientation val="minMax"/>
          <c:max val="100"/>
        </c:scaling>
        <c:delete val="0"/>
        <c:axPos val="l"/>
        <c:numFmt formatCode="#,##0.0" sourceLinked="0"/>
        <c:majorTickMark val="out"/>
        <c:minorTickMark val="none"/>
        <c:tickLblPos val="nextTo"/>
        <c:txPr>
          <a:bodyPr/>
          <a:lstStyle/>
          <a:p>
            <a:pPr>
              <a:defRPr sz="1100"/>
            </a:pPr>
            <a:endParaRPr lang="fr-FR"/>
          </a:p>
        </c:txPr>
        <c:crossAx val="360419072"/>
        <c:crosses val="autoZero"/>
        <c:crossBetween val="between"/>
        <c:majorUnit val="20"/>
      </c:valAx>
    </c:plotArea>
    <c:legend>
      <c:legendPos val="b"/>
      <c:overlay val="0"/>
      <c:txPr>
        <a:bodyPr/>
        <a:lstStyle/>
        <a:p>
          <a:pPr>
            <a:defRPr sz="1100"/>
          </a:pPr>
          <a:endParaRPr lang="fr-FR"/>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Feuil1!$A$79</c:f>
              <c:strCache>
                <c:ptCount val="1"/>
                <c:pt idx="0">
                  <c:v>Urbain</c:v>
                </c:pt>
              </c:strCache>
            </c:strRef>
          </c:tx>
          <c:invertIfNegative val="0"/>
          <c:dLbls>
            <c:spPr>
              <a:noFill/>
              <a:ln>
                <a:noFill/>
              </a:ln>
              <a:effectLst/>
            </c:spPr>
            <c:txPr>
              <a:bodyPr/>
              <a:lstStyle/>
              <a:p>
                <a:pPr>
                  <a:defRPr lang="en-US" sz="105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Feuil1!$B$74:$G$75</c:f>
              <c:multiLvlStrCache>
                <c:ptCount val="6"/>
                <c:lvl>
                  <c:pt idx="0">
                    <c:v>2006</c:v>
                  </c:pt>
                  <c:pt idx="1">
                    <c:v>2009</c:v>
                  </c:pt>
                  <c:pt idx="2">
                    <c:v>2011</c:v>
                  </c:pt>
                  <c:pt idx="3">
                    <c:v>2006</c:v>
                  </c:pt>
                  <c:pt idx="4">
                    <c:v>2009</c:v>
                  </c:pt>
                  <c:pt idx="5">
                    <c:v>2011</c:v>
                  </c:pt>
                </c:lvl>
                <c:lvl>
                  <c:pt idx="0">
                    <c:v>Incidence de la pauvreté monétaire</c:v>
                  </c:pt>
                  <c:pt idx="3">
                    <c:v>Incidence de la pauvreté non monétaire</c:v>
                  </c:pt>
                </c:lvl>
              </c:multiLvlStrCache>
            </c:multiLvlStrRef>
          </c:cat>
          <c:val>
            <c:numRef>
              <c:f>Feuil1!$B$79:$G$79</c:f>
              <c:numCache>
                <c:formatCode>0.000</c:formatCode>
                <c:ptCount val="6"/>
                <c:pt idx="0">
                  <c:v>0.35052827000617981</c:v>
                </c:pt>
                <c:pt idx="1">
                  <c:v>0.29758998751641896</c:v>
                </c:pt>
                <c:pt idx="2">
                  <c:v>0.31350946426392912</c:v>
                </c:pt>
                <c:pt idx="3">
                  <c:v>0.38858669996265405</c:v>
                </c:pt>
                <c:pt idx="4">
                  <c:v>0.29108980298043841</c:v>
                </c:pt>
                <c:pt idx="5">
                  <c:v>0.25346255302429238</c:v>
                </c:pt>
              </c:numCache>
            </c:numRef>
          </c:val>
        </c:ser>
        <c:ser>
          <c:idx val="1"/>
          <c:order val="1"/>
          <c:tx>
            <c:strRef>
              <c:f>Feuil1!$A$80</c:f>
              <c:strCache>
                <c:ptCount val="1"/>
                <c:pt idx="0">
                  <c:v>Rural</c:v>
                </c:pt>
              </c:strCache>
            </c:strRef>
          </c:tx>
          <c:spPr>
            <a:solidFill>
              <a:srgbClr val="99CCFF"/>
            </a:solidFill>
          </c:spPr>
          <c:invertIfNegative val="0"/>
          <c:dLbls>
            <c:spPr>
              <a:noFill/>
              <a:ln>
                <a:noFill/>
              </a:ln>
              <a:effectLst/>
            </c:spPr>
            <c:txPr>
              <a:bodyPr/>
              <a:lstStyle/>
              <a:p>
                <a:pPr>
                  <a:defRPr lang="en-US" sz="105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Feuil1!$B$74:$G$75</c:f>
              <c:multiLvlStrCache>
                <c:ptCount val="6"/>
                <c:lvl>
                  <c:pt idx="0">
                    <c:v>2006</c:v>
                  </c:pt>
                  <c:pt idx="1">
                    <c:v>2009</c:v>
                  </c:pt>
                  <c:pt idx="2">
                    <c:v>2011</c:v>
                  </c:pt>
                  <c:pt idx="3">
                    <c:v>2006</c:v>
                  </c:pt>
                  <c:pt idx="4">
                    <c:v>2009</c:v>
                  </c:pt>
                  <c:pt idx="5">
                    <c:v>2011</c:v>
                  </c:pt>
                </c:lvl>
                <c:lvl>
                  <c:pt idx="0">
                    <c:v>Incidence de la pauvreté monétaire</c:v>
                  </c:pt>
                  <c:pt idx="3">
                    <c:v>Incidence de la pauvreté non monétaire</c:v>
                  </c:pt>
                </c:lvl>
              </c:multiLvlStrCache>
            </c:multiLvlStrRef>
          </c:cat>
          <c:val>
            <c:numRef>
              <c:f>Feuil1!$B$80:$G$80</c:f>
              <c:numCache>
                <c:formatCode>0.000</c:formatCode>
                <c:ptCount val="6"/>
                <c:pt idx="0">
                  <c:v>0.38907647132876799</c:v>
                </c:pt>
                <c:pt idx="1">
                  <c:v>0.38356262445451111</c:v>
                </c:pt>
                <c:pt idx="2">
                  <c:v>0.39686083793642768</c:v>
                </c:pt>
                <c:pt idx="3">
                  <c:v>0.47205838561058538</c:v>
                </c:pt>
                <c:pt idx="4">
                  <c:v>0.38336160779001605</c:v>
                </c:pt>
                <c:pt idx="5">
                  <c:v>0.32540559768678173</c:v>
                </c:pt>
              </c:numCache>
            </c:numRef>
          </c:val>
        </c:ser>
        <c:dLbls>
          <c:showLegendKey val="0"/>
          <c:showVal val="0"/>
          <c:showCatName val="0"/>
          <c:showSerName val="0"/>
          <c:showPercent val="0"/>
          <c:showBubbleSize val="0"/>
        </c:dLbls>
        <c:gapWidth val="33"/>
        <c:axId val="348112000"/>
        <c:axId val="348112560"/>
      </c:barChart>
      <c:catAx>
        <c:axId val="348112000"/>
        <c:scaling>
          <c:orientation val="minMax"/>
        </c:scaling>
        <c:delete val="0"/>
        <c:axPos val="l"/>
        <c:numFmt formatCode="General" sourceLinked="0"/>
        <c:majorTickMark val="out"/>
        <c:minorTickMark val="none"/>
        <c:tickLblPos val="nextTo"/>
        <c:txPr>
          <a:bodyPr/>
          <a:lstStyle/>
          <a:p>
            <a:pPr>
              <a:defRPr lang="en-US" sz="1100">
                <a:latin typeface="Times New Roman" pitchFamily="18" charset="0"/>
                <a:cs typeface="Times New Roman" pitchFamily="18" charset="0"/>
              </a:defRPr>
            </a:pPr>
            <a:endParaRPr lang="fr-FR"/>
          </a:p>
        </c:txPr>
        <c:crossAx val="348112560"/>
        <c:crosses val="autoZero"/>
        <c:auto val="1"/>
        <c:lblAlgn val="ctr"/>
        <c:lblOffset val="100"/>
        <c:noMultiLvlLbl val="0"/>
      </c:catAx>
      <c:valAx>
        <c:axId val="348112560"/>
        <c:scaling>
          <c:orientation val="minMax"/>
        </c:scaling>
        <c:delete val="0"/>
        <c:axPos val="b"/>
        <c:numFmt formatCode="0.000" sourceLinked="1"/>
        <c:majorTickMark val="out"/>
        <c:minorTickMark val="none"/>
        <c:tickLblPos val="nextTo"/>
        <c:txPr>
          <a:bodyPr/>
          <a:lstStyle/>
          <a:p>
            <a:pPr>
              <a:defRPr lang="en-US" sz="1100"/>
            </a:pPr>
            <a:endParaRPr lang="fr-FR"/>
          </a:p>
        </c:txPr>
        <c:crossAx val="348112000"/>
        <c:crosses val="autoZero"/>
        <c:crossBetween val="between"/>
      </c:valAx>
    </c:plotArea>
    <c:legend>
      <c:legendPos val="r"/>
      <c:overlay val="0"/>
      <c:txPr>
        <a:bodyPr/>
        <a:lstStyle/>
        <a:p>
          <a:pPr>
            <a:defRPr lang="en-US" sz="1100">
              <a:latin typeface="Times New Roman" pitchFamily="18" charset="0"/>
              <a:cs typeface="Times New Roman" pitchFamily="18" charset="0"/>
            </a:defRPr>
          </a:pPr>
          <a:endParaRPr lang="fr-FR"/>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Feuil1!$B$27</c:f>
              <c:strCache>
                <c:ptCount val="1"/>
                <c:pt idx="0">
                  <c:v>2006</c:v>
                </c:pt>
              </c:strCache>
            </c:strRef>
          </c:tx>
          <c:invertIfNegative val="0"/>
          <c:dLbls>
            <c:spPr>
              <a:noFill/>
              <a:ln>
                <a:noFill/>
              </a:ln>
              <a:effectLst/>
            </c:spPr>
            <c:txPr>
              <a:bodyPr rot="-5400000"/>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Feuil1!$A$28:$A$40</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Feuil1!$B$28:$B$40</c:f>
              <c:numCache>
                <c:formatCode>General</c:formatCode>
                <c:ptCount val="13"/>
                <c:pt idx="0">
                  <c:v>0.42900000000000038</c:v>
                </c:pt>
                <c:pt idx="1">
                  <c:v>0.32300000000001228</c:v>
                </c:pt>
                <c:pt idx="2">
                  <c:v>0.39600000000001356</c:v>
                </c:pt>
                <c:pt idx="3">
                  <c:v>0.39100000000001289</c:v>
                </c:pt>
                <c:pt idx="4">
                  <c:v>0.36100000000000032</c:v>
                </c:pt>
                <c:pt idx="5">
                  <c:v>0.40500000000000008</c:v>
                </c:pt>
                <c:pt idx="6">
                  <c:v>0.35900000000000032</c:v>
                </c:pt>
                <c:pt idx="7">
                  <c:v>0.30300000000000032</c:v>
                </c:pt>
                <c:pt idx="8">
                  <c:v>0.37200000000000188</c:v>
                </c:pt>
                <c:pt idx="9">
                  <c:v>0.36800000000000038</c:v>
                </c:pt>
                <c:pt idx="10">
                  <c:v>0.40400000000000008</c:v>
                </c:pt>
                <c:pt idx="11">
                  <c:v>0.37600000000000638</c:v>
                </c:pt>
                <c:pt idx="12">
                  <c:v>0.37500000000000488</c:v>
                </c:pt>
              </c:numCache>
            </c:numRef>
          </c:val>
        </c:ser>
        <c:ser>
          <c:idx val="1"/>
          <c:order val="1"/>
          <c:tx>
            <c:strRef>
              <c:f>Feuil1!$C$27</c:f>
              <c:strCache>
                <c:ptCount val="1"/>
                <c:pt idx="0">
                  <c:v>2009</c:v>
                </c:pt>
              </c:strCache>
            </c:strRef>
          </c:tx>
          <c:spPr>
            <a:solidFill>
              <a:srgbClr val="00B0F0"/>
            </a:solidFill>
          </c:spPr>
          <c:invertIfNegative val="0"/>
          <c:dLbls>
            <c:dLbl>
              <c:idx val="0"/>
              <c:layout>
                <c:manualLayout>
                  <c:x val="5.6279615101798421E-4"/>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4649029058754642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7613383730725521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1.5194681861348529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1.291633219196235E-16"/>
                  <c:y val="1.51946818613485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Feuil1!$A$28:$A$40</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Feuil1!$C$28:$C$40</c:f>
              <c:numCache>
                <c:formatCode>General</c:formatCode>
                <c:ptCount val="13"/>
                <c:pt idx="0">
                  <c:v>0.35700000000000032</c:v>
                </c:pt>
                <c:pt idx="1">
                  <c:v>0.36000000000000032</c:v>
                </c:pt>
                <c:pt idx="2">
                  <c:v>0.36900000000000038</c:v>
                </c:pt>
                <c:pt idx="3">
                  <c:v>0.28900000000000031</c:v>
                </c:pt>
                <c:pt idx="4">
                  <c:v>0.442</c:v>
                </c:pt>
                <c:pt idx="5">
                  <c:v>0.46500000000000002</c:v>
                </c:pt>
                <c:pt idx="6">
                  <c:v>0.31300000000000588</c:v>
                </c:pt>
                <c:pt idx="7">
                  <c:v>0.23900000000000021</c:v>
                </c:pt>
                <c:pt idx="8">
                  <c:v>0.46500000000000002</c:v>
                </c:pt>
                <c:pt idx="9">
                  <c:v>0.24300000000000024</c:v>
                </c:pt>
                <c:pt idx="10">
                  <c:v>0.32700000000001278</c:v>
                </c:pt>
                <c:pt idx="11">
                  <c:v>0.41200000000000031</c:v>
                </c:pt>
                <c:pt idx="12">
                  <c:v>0.35200000000000031</c:v>
                </c:pt>
              </c:numCache>
            </c:numRef>
          </c:val>
        </c:ser>
        <c:ser>
          <c:idx val="2"/>
          <c:order val="2"/>
          <c:tx>
            <c:strRef>
              <c:f>Feuil1!$D$27</c:f>
              <c:strCache>
                <c:ptCount val="1"/>
                <c:pt idx="0">
                  <c:v>2011</c:v>
                </c:pt>
              </c:strCache>
            </c:strRef>
          </c:tx>
          <c:spPr>
            <a:solidFill>
              <a:srgbClr val="99CCFF"/>
            </a:solidFill>
          </c:spPr>
          <c:invertIfNegative val="0"/>
          <c:dLbls>
            <c:dLbl>
              <c:idx val="0"/>
              <c:layout>
                <c:manualLayout>
                  <c:x val="4.2262412789480126E-3"/>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3668709726720724E-3"/>
                  <c:y val="3.798670465337161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833661423057977E-3"/>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835048303666723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985422220546081E-3"/>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241345240906292E-3"/>
                  <c:y val="3.7980722495159686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2202776923309015E-4"/>
                  <c:y val="3.7986704653371612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1835048303666723E-3"/>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1985422220546081E-3"/>
                  <c:y val="3.7983713574267718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1985422220546081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5.6279615101798421E-4"/>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3391719157786241E-3"/>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6.357460710365798E-4"/>
                  <c:y val="7.597340930674473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vert="horz"/>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Feuil1!$A$28:$A$40</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Feuil1!$D$28:$D$40</c:f>
              <c:numCache>
                <c:formatCode>General</c:formatCode>
                <c:ptCount val="13"/>
                <c:pt idx="0">
                  <c:v>0.36300000000000032</c:v>
                </c:pt>
                <c:pt idx="1">
                  <c:v>0.39700000000001368</c:v>
                </c:pt>
                <c:pt idx="2">
                  <c:v>0.39000000000001284</c:v>
                </c:pt>
                <c:pt idx="3">
                  <c:v>0.31500000000000788</c:v>
                </c:pt>
                <c:pt idx="4">
                  <c:v>0.46100000000000002</c:v>
                </c:pt>
                <c:pt idx="5">
                  <c:v>0.46600000000000008</c:v>
                </c:pt>
                <c:pt idx="6">
                  <c:v>0.36600000000000038</c:v>
                </c:pt>
                <c:pt idx="7">
                  <c:v>0.25900000000000001</c:v>
                </c:pt>
                <c:pt idx="8">
                  <c:v>0.43500000000000238</c:v>
                </c:pt>
                <c:pt idx="9">
                  <c:v>0.254</c:v>
                </c:pt>
                <c:pt idx="10">
                  <c:v>0.36000000000000032</c:v>
                </c:pt>
                <c:pt idx="11">
                  <c:v>0.41500000000000031</c:v>
                </c:pt>
                <c:pt idx="12">
                  <c:v>0.36200000000000032</c:v>
                </c:pt>
              </c:numCache>
            </c:numRef>
          </c:val>
        </c:ser>
        <c:dLbls>
          <c:showLegendKey val="0"/>
          <c:showVal val="0"/>
          <c:showCatName val="0"/>
          <c:showSerName val="0"/>
          <c:showPercent val="0"/>
          <c:showBubbleSize val="0"/>
        </c:dLbls>
        <c:gapWidth val="46"/>
        <c:axId val="360768288"/>
        <c:axId val="360768848"/>
      </c:barChart>
      <c:catAx>
        <c:axId val="360768288"/>
        <c:scaling>
          <c:orientation val="minMax"/>
        </c:scaling>
        <c:delete val="0"/>
        <c:axPos val="b"/>
        <c:numFmt formatCode="General" sourceLinked="0"/>
        <c:majorTickMark val="out"/>
        <c:minorTickMark val="none"/>
        <c:tickLblPos val="nextTo"/>
        <c:txPr>
          <a:bodyPr rot="5400000" vert="horz"/>
          <a:lstStyle/>
          <a:p>
            <a:pPr>
              <a:defRPr lang="en-US" sz="1100"/>
            </a:pPr>
            <a:endParaRPr lang="fr-FR"/>
          </a:p>
        </c:txPr>
        <c:crossAx val="360768848"/>
        <c:crosses val="autoZero"/>
        <c:auto val="1"/>
        <c:lblAlgn val="ctr"/>
        <c:lblOffset val="100"/>
        <c:noMultiLvlLbl val="0"/>
      </c:catAx>
      <c:valAx>
        <c:axId val="360768848"/>
        <c:scaling>
          <c:orientation val="minMax"/>
          <c:max val="0.60000000000000064"/>
          <c:min val="0"/>
        </c:scaling>
        <c:delete val="0"/>
        <c:axPos val="l"/>
        <c:numFmt formatCode="0.00" sourceLinked="0"/>
        <c:majorTickMark val="out"/>
        <c:minorTickMark val="none"/>
        <c:tickLblPos val="nextTo"/>
        <c:txPr>
          <a:bodyPr/>
          <a:lstStyle/>
          <a:p>
            <a:pPr>
              <a:defRPr lang="en-US" sz="1100"/>
            </a:pPr>
            <a:endParaRPr lang="fr-FR"/>
          </a:p>
        </c:txPr>
        <c:crossAx val="360768288"/>
        <c:crosses val="autoZero"/>
        <c:crossBetween val="between"/>
        <c:majorUnit val="0.2"/>
      </c:valAx>
    </c:plotArea>
    <c:legend>
      <c:legendPos val="b"/>
      <c:overlay val="0"/>
      <c:txPr>
        <a:bodyPr/>
        <a:lstStyle/>
        <a:p>
          <a:pPr>
            <a:defRPr lang="en-US"/>
          </a:pPr>
          <a:endParaRPr lang="fr-FR"/>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Feuil1!$E$27</c:f>
              <c:strCache>
                <c:ptCount val="1"/>
                <c:pt idx="0">
                  <c:v>2006</c:v>
                </c:pt>
              </c:strCache>
            </c:strRef>
          </c:tx>
          <c:invertIfNegative val="0"/>
          <c:dLbls>
            <c:spPr>
              <a:noFill/>
              <a:ln>
                <a:noFill/>
              </a:ln>
              <a:effectLst/>
            </c:spPr>
            <c:txPr>
              <a:bodyPr rot="-5400000"/>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Feuil1!$A$28:$A$40</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Feuil1!$E$28:$E$40</c:f>
              <c:numCache>
                <c:formatCode>0.000</c:formatCode>
                <c:ptCount val="13"/>
                <c:pt idx="0">
                  <c:v>0.49437332153321273</c:v>
                </c:pt>
                <c:pt idx="1">
                  <c:v>0.75266987085344905</c:v>
                </c:pt>
                <c:pt idx="2">
                  <c:v>0.37030634284019481</c:v>
                </c:pt>
                <c:pt idx="3">
                  <c:v>0.49010869860649131</c:v>
                </c:pt>
                <c:pt idx="4">
                  <c:v>0.40446534752845781</c:v>
                </c:pt>
                <c:pt idx="5">
                  <c:v>0.46039834618568432</c:v>
                </c:pt>
                <c:pt idx="6">
                  <c:v>0.47990018129350287</c:v>
                </c:pt>
                <c:pt idx="7">
                  <c:v>0.30521300435067167</c:v>
                </c:pt>
                <c:pt idx="8">
                  <c:v>0.60255682468414362</c:v>
                </c:pt>
                <c:pt idx="9">
                  <c:v>0.2676166296005249</c:v>
                </c:pt>
                <c:pt idx="10">
                  <c:v>0.47100737690926892</c:v>
                </c:pt>
                <c:pt idx="11">
                  <c:v>0.42522186040878296</c:v>
                </c:pt>
                <c:pt idx="12">
                  <c:v>0.44077321887016274</c:v>
                </c:pt>
              </c:numCache>
            </c:numRef>
          </c:val>
        </c:ser>
        <c:ser>
          <c:idx val="1"/>
          <c:order val="1"/>
          <c:tx>
            <c:strRef>
              <c:f>Feuil1!$F$27</c:f>
              <c:strCache>
                <c:ptCount val="1"/>
                <c:pt idx="0">
                  <c:v>2009</c:v>
                </c:pt>
              </c:strCache>
            </c:strRef>
          </c:tx>
          <c:spPr>
            <a:solidFill>
              <a:srgbClr val="00B0F0"/>
            </a:solidFill>
          </c:spPr>
          <c:invertIfNegative val="0"/>
          <c:dLbls>
            <c:dLbl>
              <c:idx val="0"/>
              <c:layout>
                <c:manualLayout>
                  <c:x val="5.6279615101798421E-4"/>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4649029058754642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7.597340930674473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7.5973409306744561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0"/>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7613383730725521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1.5194681861348529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1.2916332191961835E-16"/>
                  <c:y val="1.51946818613485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Feuil1!$A$28:$A$40</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Feuil1!$F$28:$F$40</c:f>
              <c:numCache>
                <c:formatCode>0.000</c:formatCode>
                <c:ptCount val="13"/>
                <c:pt idx="0">
                  <c:v>0.42500123381614685</c:v>
                </c:pt>
                <c:pt idx="1">
                  <c:v>0.74324870109560004</c:v>
                </c:pt>
                <c:pt idx="2">
                  <c:v>0.28670611977577232</c:v>
                </c:pt>
                <c:pt idx="3">
                  <c:v>0.35973677039147384</c:v>
                </c:pt>
                <c:pt idx="4">
                  <c:v>0.23987281322479237</c:v>
                </c:pt>
                <c:pt idx="5">
                  <c:v>0.41567450761796576</c:v>
                </c:pt>
                <c:pt idx="6">
                  <c:v>0.22735850512981415</c:v>
                </c:pt>
                <c:pt idx="7">
                  <c:v>0.1927378922700882</c:v>
                </c:pt>
                <c:pt idx="8">
                  <c:v>0.51907086372375488</c:v>
                </c:pt>
                <c:pt idx="9">
                  <c:v>0.20756578445435078</c:v>
                </c:pt>
                <c:pt idx="10">
                  <c:v>0.30026000738143932</c:v>
                </c:pt>
                <c:pt idx="11">
                  <c:v>0.38646987080575945</c:v>
                </c:pt>
                <c:pt idx="12">
                  <c:v>0.3498711884021759</c:v>
                </c:pt>
              </c:numCache>
            </c:numRef>
          </c:val>
        </c:ser>
        <c:ser>
          <c:idx val="2"/>
          <c:order val="2"/>
          <c:tx>
            <c:strRef>
              <c:f>Feuil1!$G$27</c:f>
              <c:strCache>
                <c:ptCount val="1"/>
                <c:pt idx="0">
                  <c:v>2011</c:v>
                </c:pt>
              </c:strCache>
            </c:strRef>
          </c:tx>
          <c:spPr>
            <a:solidFill>
              <a:srgbClr val="99CCFF"/>
            </a:solidFill>
          </c:spPr>
          <c:invertIfNegative val="0"/>
          <c:dLbls>
            <c:dLbl>
              <c:idx val="0"/>
              <c:layout>
                <c:manualLayout>
                  <c:x val="4.2262412789480126E-3"/>
                  <c:y val="7.59734093067445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3668709726720724E-3"/>
                  <c:y val="3.798670465337161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833661423057509E-3"/>
                  <c:y val="7.597340930674456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83504830366625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985422220546066E-3"/>
                  <c:y val="0"/>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241345240906292E-3"/>
                  <c:y val="3.7980722495159201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2202776923308018E-4"/>
                  <c:y val="3.7986704653371612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183504830366625E-3"/>
                  <c:y val="7.5973409306744561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1.1985422220546066E-3"/>
                  <c:y val="3.798371357426702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1985422220546066E-3"/>
                  <c:y val="1.139601139601144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5.6279615101798421E-4"/>
                  <c:y val="7.5973409306744561E-3"/>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1.3391719157786241E-3"/>
                  <c:y val="7.5973409306744561E-3"/>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6.357460710365798E-4"/>
                  <c:y val="7.597340930674456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vert="horz"/>
              <a:lstStyle/>
              <a:p>
                <a:pPr>
                  <a:defRPr lang="en-US" sz="700"/>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Feuil1!$A$28:$A$40</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Feuil1!$G$28:$G$40</c:f>
              <c:numCache>
                <c:formatCode>0.000</c:formatCode>
                <c:ptCount val="13"/>
                <c:pt idx="0">
                  <c:v>0.4110272228717804</c:v>
                </c:pt>
                <c:pt idx="1">
                  <c:v>0.58151990175243184</c:v>
                </c:pt>
                <c:pt idx="2">
                  <c:v>0.23340342938899994</c:v>
                </c:pt>
                <c:pt idx="3">
                  <c:v>0.29257151484490496</c:v>
                </c:pt>
                <c:pt idx="4">
                  <c:v>0.22009947896003723</c:v>
                </c:pt>
                <c:pt idx="5">
                  <c:v>0.36731430888177191</c:v>
                </c:pt>
                <c:pt idx="6">
                  <c:v>0.23377507925033569</c:v>
                </c:pt>
                <c:pt idx="7">
                  <c:v>0.18882359564304352</c:v>
                </c:pt>
                <c:pt idx="8">
                  <c:v>0.40856620669365895</c:v>
                </c:pt>
                <c:pt idx="9">
                  <c:v>0.19529429078103008</c:v>
                </c:pt>
                <c:pt idx="10">
                  <c:v>0.27414834499359125</c:v>
                </c:pt>
                <c:pt idx="11">
                  <c:v>0.26841878890992765</c:v>
                </c:pt>
                <c:pt idx="12">
                  <c:v>0.29527190327645642</c:v>
                </c:pt>
              </c:numCache>
            </c:numRef>
          </c:val>
        </c:ser>
        <c:dLbls>
          <c:showLegendKey val="0"/>
          <c:showVal val="0"/>
          <c:showCatName val="0"/>
          <c:showSerName val="0"/>
          <c:showPercent val="0"/>
          <c:showBubbleSize val="0"/>
        </c:dLbls>
        <c:gapWidth val="46"/>
        <c:axId val="361101152"/>
        <c:axId val="361101712"/>
      </c:barChart>
      <c:catAx>
        <c:axId val="361101152"/>
        <c:scaling>
          <c:orientation val="minMax"/>
        </c:scaling>
        <c:delete val="0"/>
        <c:axPos val="b"/>
        <c:numFmt formatCode="General" sourceLinked="0"/>
        <c:majorTickMark val="out"/>
        <c:minorTickMark val="none"/>
        <c:tickLblPos val="nextTo"/>
        <c:txPr>
          <a:bodyPr rot="5400000" vert="horz"/>
          <a:lstStyle/>
          <a:p>
            <a:pPr>
              <a:defRPr lang="en-US" sz="1100"/>
            </a:pPr>
            <a:endParaRPr lang="fr-FR"/>
          </a:p>
        </c:txPr>
        <c:crossAx val="361101712"/>
        <c:crosses val="autoZero"/>
        <c:auto val="1"/>
        <c:lblAlgn val="ctr"/>
        <c:lblOffset val="100"/>
        <c:noMultiLvlLbl val="0"/>
      </c:catAx>
      <c:valAx>
        <c:axId val="361101712"/>
        <c:scaling>
          <c:orientation val="minMax"/>
          <c:max val="0.9"/>
          <c:min val="0"/>
        </c:scaling>
        <c:delete val="0"/>
        <c:axPos val="l"/>
        <c:numFmt formatCode="0.00" sourceLinked="0"/>
        <c:majorTickMark val="out"/>
        <c:minorTickMark val="none"/>
        <c:tickLblPos val="nextTo"/>
        <c:txPr>
          <a:bodyPr/>
          <a:lstStyle/>
          <a:p>
            <a:pPr>
              <a:defRPr lang="en-US" sz="1100"/>
            </a:pPr>
            <a:endParaRPr lang="fr-FR"/>
          </a:p>
        </c:txPr>
        <c:crossAx val="361101152"/>
        <c:crosses val="autoZero"/>
        <c:crossBetween val="between"/>
        <c:majorUnit val="0.2"/>
      </c:valAx>
    </c:plotArea>
    <c:legend>
      <c:legendPos val="b"/>
      <c:overlay val="0"/>
      <c:txPr>
        <a:bodyPr/>
        <a:lstStyle/>
        <a:p>
          <a:pPr>
            <a:defRPr lang="en-US"/>
          </a:pPr>
          <a:endParaRPr lang="fr-FR"/>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Feuil3!$J$5</c:f>
              <c:strCache>
                <c:ptCount val="1"/>
                <c:pt idx="0">
                  <c:v>Homme</c:v>
                </c:pt>
              </c:strCache>
            </c:strRef>
          </c:tx>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Feuil3!$K$3:$P$4</c:f>
              <c:multiLvlStrCache>
                <c:ptCount val="6"/>
                <c:lvl>
                  <c:pt idx="0">
                    <c:v>2006</c:v>
                  </c:pt>
                  <c:pt idx="1">
                    <c:v>2009</c:v>
                  </c:pt>
                  <c:pt idx="2">
                    <c:v>2011</c:v>
                  </c:pt>
                  <c:pt idx="3">
                    <c:v>2006</c:v>
                  </c:pt>
                  <c:pt idx="4">
                    <c:v>2009</c:v>
                  </c:pt>
                  <c:pt idx="5">
                    <c:v>2011</c:v>
                  </c:pt>
                </c:lvl>
                <c:lvl>
                  <c:pt idx="0">
                    <c:v>Pauvreté monétaire</c:v>
                  </c:pt>
                  <c:pt idx="3">
                    <c:v>Pauvreté non monétaire</c:v>
                  </c:pt>
                </c:lvl>
              </c:multiLvlStrCache>
            </c:multiLvlStrRef>
          </c:cat>
          <c:val>
            <c:numRef>
              <c:f>Feuil3!$K$5:$P$5</c:f>
              <c:numCache>
                <c:formatCode>0.000</c:formatCode>
                <c:ptCount val="6"/>
                <c:pt idx="0">
                  <c:v>0.37686830759050705</c:v>
                </c:pt>
                <c:pt idx="1">
                  <c:v>0.36169689893723739</c:v>
                </c:pt>
                <c:pt idx="2">
                  <c:v>0.37956038117411289</c:v>
                </c:pt>
                <c:pt idx="3">
                  <c:v>0.43212419748307668</c:v>
                </c:pt>
                <c:pt idx="4">
                  <c:v>0.33335524797441896</c:v>
                </c:pt>
                <c:pt idx="5">
                  <c:v>0.27653059363366445</c:v>
                </c:pt>
              </c:numCache>
            </c:numRef>
          </c:val>
        </c:ser>
        <c:ser>
          <c:idx val="1"/>
          <c:order val="1"/>
          <c:tx>
            <c:strRef>
              <c:f>Feuil3!$J$6</c:f>
              <c:strCache>
                <c:ptCount val="1"/>
                <c:pt idx="0">
                  <c:v>Femme</c:v>
                </c:pt>
              </c:strCache>
            </c:strRef>
          </c:tx>
          <c:spPr>
            <a:solidFill>
              <a:srgbClr val="99CCFF"/>
            </a:solidFill>
          </c:spPr>
          <c:invertIfNegative val="0"/>
          <c:dLbls>
            <c:spPr>
              <a:noFill/>
              <a:ln>
                <a:noFill/>
              </a:ln>
              <a:effectLst/>
            </c:spPr>
            <c:txPr>
              <a:bodyPr/>
              <a:lstStyle/>
              <a:p>
                <a:pPr>
                  <a:defRPr lang="en-US"/>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Feuil3!$K$3:$P$4</c:f>
              <c:multiLvlStrCache>
                <c:ptCount val="6"/>
                <c:lvl>
                  <c:pt idx="0">
                    <c:v>2006</c:v>
                  </c:pt>
                  <c:pt idx="1">
                    <c:v>2009</c:v>
                  </c:pt>
                  <c:pt idx="2">
                    <c:v>2011</c:v>
                  </c:pt>
                  <c:pt idx="3">
                    <c:v>2006</c:v>
                  </c:pt>
                  <c:pt idx="4">
                    <c:v>2009</c:v>
                  </c:pt>
                  <c:pt idx="5">
                    <c:v>2011</c:v>
                  </c:pt>
                </c:lvl>
                <c:lvl>
                  <c:pt idx="0">
                    <c:v>Pauvreté monétaire</c:v>
                  </c:pt>
                  <c:pt idx="3">
                    <c:v>Pauvreté non monétaire</c:v>
                  </c:pt>
                </c:lvl>
              </c:multiLvlStrCache>
            </c:multiLvlStrRef>
          </c:cat>
          <c:val>
            <c:numRef>
              <c:f>Feuil3!$K$6:$P$6</c:f>
              <c:numCache>
                <c:formatCode>0.000</c:formatCode>
                <c:ptCount val="6"/>
                <c:pt idx="0">
                  <c:v>0.36436429619791494</c:v>
                </c:pt>
                <c:pt idx="1">
                  <c:v>0.30391195416451638</c:v>
                </c:pt>
                <c:pt idx="2">
                  <c:v>0.2759117484092713</c:v>
                </c:pt>
                <c:pt idx="3">
                  <c:v>0.48494949936868675</c:v>
                </c:pt>
                <c:pt idx="4">
                  <c:v>0.43387365341187784</c:v>
                </c:pt>
                <c:pt idx="5">
                  <c:v>0.38682720065116882</c:v>
                </c:pt>
              </c:numCache>
            </c:numRef>
          </c:val>
        </c:ser>
        <c:dLbls>
          <c:showLegendKey val="0"/>
          <c:showVal val="0"/>
          <c:showCatName val="0"/>
          <c:showSerName val="0"/>
          <c:showPercent val="0"/>
          <c:showBubbleSize val="0"/>
        </c:dLbls>
        <c:gapWidth val="44"/>
        <c:axId val="348273744"/>
        <c:axId val="348274304"/>
      </c:barChart>
      <c:catAx>
        <c:axId val="348273744"/>
        <c:scaling>
          <c:orientation val="minMax"/>
        </c:scaling>
        <c:delete val="0"/>
        <c:axPos val="b"/>
        <c:numFmt formatCode="General" sourceLinked="0"/>
        <c:majorTickMark val="out"/>
        <c:minorTickMark val="none"/>
        <c:tickLblPos val="nextTo"/>
        <c:txPr>
          <a:bodyPr/>
          <a:lstStyle/>
          <a:p>
            <a:pPr>
              <a:defRPr lang="en-US"/>
            </a:pPr>
            <a:endParaRPr lang="fr-FR"/>
          </a:p>
        </c:txPr>
        <c:crossAx val="348274304"/>
        <c:crosses val="autoZero"/>
        <c:auto val="1"/>
        <c:lblAlgn val="ctr"/>
        <c:lblOffset val="100"/>
        <c:noMultiLvlLbl val="0"/>
      </c:catAx>
      <c:valAx>
        <c:axId val="348274304"/>
        <c:scaling>
          <c:orientation val="minMax"/>
          <c:max val="0.5"/>
          <c:min val="0"/>
        </c:scaling>
        <c:delete val="0"/>
        <c:axPos val="l"/>
        <c:numFmt formatCode="0.000" sourceLinked="0"/>
        <c:majorTickMark val="out"/>
        <c:minorTickMark val="none"/>
        <c:tickLblPos val="nextTo"/>
        <c:txPr>
          <a:bodyPr/>
          <a:lstStyle/>
          <a:p>
            <a:pPr>
              <a:defRPr lang="en-US"/>
            </a:pPr>
            <a:endParaRPr lang="fr-FR"/>
          </a:p>
        </c:txPr>
        <c:crossAx val="348273744"/>
        <c:crosses val="autoZero"/>
        <c:crossBetween val="between"/>
        <c:majorUnit val="0.1"/>
      </c:valAx>
    </c:plotArea>
    <c:legend>
      <c:legendPos val="b"/>
      <c:overlay val="0"/>
      <c:txPr>
        <a:bodyPr/>
        <a:lstStyle/>
        <a:p>
          <a:pPr>
            <a:defRPr lang="en-US"/>
          </a:pPr>
          <a:endParaRPr lang="fr-FR"/>
        </a:p>
      </c:txPr>
    </c:legend>
    <c:plotVisOnly val="1"/>
    <c:dispBlanksAs val="gap"/>
    <c:showDLblsOverMax val="0"/>
  </c:chart>
  <c:txPr>
    <a:bodyPr/>
    <a:lstStyle/>
    <a:p>
      <a:pPr>
        <a:defRPr>
          <a:latin typeface="Times New Roman" pitchFamily="18" charset="0"/>
          <a:cs typeface="Times New Roman" pitchFamily="18" charset="0"/>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004830817616705E-2"/>
          <c:y val="5.8868078923856912E-2"/>
          <c:w val="0.85091336290387365"/>
          <c:h val="0.6412179257020123"/>
        </c:manualLayout>
      </c:layout>
      <c:barChart>
        <c:barDir val="col"/>
        <c:grouping val="clustered"/>
        <c:varyColors val="0"/>
        <c:ser>
          <c:idx val="0"/>
          <c:order val="0"/>
          <c:tx>
            <c:strRef>
              <c:f>Sheet2!$A$4</c:f>
              <c:strCache>
                <c:ptCount val="1"/>
                <c:pt idx="0">
                  <c:v>Pauvreté extrême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Sheet2!$B$3:$D$3</c:f>
              <c:numCache>
                <c:formatCode>General</c:formatCode>
                <c:ptCount val="3"/>
                <c:pt idx="0">
                  <c:v>2006</c:v>
                </c:pt>
                <c:pt idx="1">
                  <c:v>2009</c:v>
                </c:pt>
                <c:pt idx="2">
                  <c:v>2011</c:v>
                </c:pt>
              </c:numCache>
            </c:numRef>
          </c:cat>
          <c:val>
            <c:numRef>
              <c:f>Sheet2!$B$4:$D$4</c:f>
              <c:numCache>
                <c:formatCode>0.0</c:formatCode>
                <c:ptCount val="3"/>
                <c:pt idx="0">
                  <c:v>61.730000000000011</c:v>
                </c:pt>
                <c:pt idx="1">
                  <c:v>45.89</c:v>
                </c:pt>
                <c:pt idx="2">
                  <c:v>50.88</c:v>
                </c:pt>
              </c:numCache>
            </c:numRef>
          </c:val>
        </c:ser>
        <c:dLbls>
          <c:showLegendKey val="0"/>
          <c:showVal val="1"/>
          <c:showCatName val="0"/>
          <c:showSerName val="0"/>
          <c:showPercent val="0"/>
          <c:showBubbleSize val="0"/>
        </c:dLbls>
        <c:gapWidth val="208"/>
        <c:overlap val="-77"/>
        <c:axId val="348276544"/>
        <c:axId val="296784800"/>
      </c:barChart>
      <c:catAx>
        <c:axId val="348276544"/>
        <c:scaling>
          <c:orientation val="minMax"/>
        </c:scaling>
        <c:delete val="0"/>
        <c:axPos val="b"/>
        <c:numFmt formatCode="General" sourceLinked="1"/>
        <c:majorTickMark val="none"/>
        <c:minorTickMark val="none"/>
        <c:tickLblPos val="nextTo"/>
        <c:txPr>
          <a:bodyPr/>
          <a:lstStyle/>
          <a:p>
            <a:pPr>
              <a:defRPr sz="1100"/>
            </a:pPr>
            <a:endParaRPr lang="fr-FR"/>
          </a:p>
        </c:txPr>
        <c:crossAx val="296784800"/>
        <c:crosses val="autoZero"/>
        <c:auto val="1"/>
        <c:lblAlgn val="ctr"/>
        <c:lblOffset val="100"/>
        <c:noMultiLvlLbl val="0"/>
      </c:catAx>
      <c:valAx>
        <c:axId val="296784800"/>
        <c:scaling>
          <c:orientation val="minMax"/>
        </c:scaling>
        <c:delete val="0"/>
        <c:axPos val="l"/>
        <c:numFmt formatCode="0.0" sourceLinked="1"/>
        <c:majorTickMark val="none"/>
        <c:minorTickMark val="none"/>
        <c:tickLblPos val="nextTo"/>
        <c:crossAx val="348276544"/>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934294-0343-CD4E-BF50-E56245FBCC77}" type="doc">
      <dgm:prSet loTypeId="urn:microsoft.com/office/officeart/2005/8/layout/orgChart1" loCatId="hierarchy" qsTypeId="urn:microsoft.com/office/officeart/2005/8/quickstyle/simple4" qsCatId="simple" csTypeId="urn:microsoft.com/office/officeart/2005/8/colors/accent1_2" csCatId="accent1" phldr="1"/>
      <dgm:spPr/>
      <dgm:t>
        <a:bodyPr/>
        <a:lstStyle/>
        <a:p>
          <a:endParaRPr lang="fr-FR"/>
        </a:p>
      </dgm:t>
    </dgm:pt>
    <dgm:pt modelId="{5D8D2962-22DD-1640-9016-F6749127E584}">
      <dgm:prSet phldrT="[Texte]"/>
      <dgm:spPr/>
      <dgm:t>
        <a:bodyPr/>
        <a:lstStyle/>
        <a:p>
          <a:pPr algn="ctr"/>
          <a:r>
            <a:rPr lang="fr-FR"/>
            <a:t>Comite d'orientation</a:t>
          </a:r>
        </a:p>
      </dgm:t>
    </dgm:pt>
    <dgm:pt modelId="{72E75A62-9AE0-FA4E-A2C5-F01169F224F9}" type="parTrans" cxnId="{5A5874EB-FF87-BB41-BD55-86E70A4CB1E2}">
      <dgm:prSet/>
      <dgm:spPr/>
      <dgm:t>
        <a:bodyPr/>
        <a:lstStyle/>
        <a:p>
          <a:pPr algn="ctr"/>
          <a:endParaRPr lang="fr-FR"/>
        </a:p>
      </dgm:t>
    </dgm:pt>
    <dgm:pt modelId="{DD237459-1699-D04F-B3B6-A578E507E7C1}" type="sibTrans" cxnId="{5A5874EB-FF87-BB41-BD55-86E70A4CB1E2}">
      <dgm:prSet/>
      <dgm:spPr/>
      <dgm:t>
        <a:bodyPr/>
        <a:lstStyle/>
        <a:p>
          <a:pPr algn="ctr"/>
          <a:endParaRPr lang="fr-FR"/>
        </a:p>
      </dgm:t>
    </dgm:pt>
    <dgm:pt modelId="{FD0FFB86-D774-B842-B8A7-2F6345044E7F}" type="asst">
      <dgm:prSet phldrT="[Texte]"/>
      <dgm:spPr/>
      <dgm:t>
        <a:bodyPr/>
        <a:lstStyle/>
        <a:p>
          <a:pPr algn="ctr"/>
          <a:r>
            <a:rPr lang="fr-FR"/>
            <a:t>Comité de pilotage</a:t>
          </a:r>
        </a:p>
      </dgm:t>
    </dgm:pt>
    <dgm:pt modelId="{8D527D30-5D5F-DC49-B04C-7FBD98036FA3}" type="parTrans" cxnId="{6125D8AD-8040-A54A-9D02-B29505587CF1}">
      <dgm:prSet/>
      <dgm:spPr/>
      <dgm:t>
        <a:bodyPr/>
        <a:lstStyle/>
        <a:p>
          <a:pPr algn="ctr"/>
          <a:endParaRPr lang="fr-FR"/>
        </a:p>
      </dgm:t>
    </dgm:pt>
    <dgm:pt modelId="{276EBD9C-4DA4-1445-8A0C-5BF98F368305}" type="sibTrans" cxnId="{6125D8AD-8040-A54A-9D02-B29505587CF1}">
      <dgm:prSet/>
      <dgm:spPr/>
      <dgm:t>
        <a:bodyPr/>
        <a:lstStyle/>
        <a:p>
          <a:pPr algn="ctr"/>
          <a:endParaRPr lang="fr-FR"/>
        </a:p>
      </dgm:t>
    </dgm:pt>
    <dgm:pt modelId="{090A64C0-7B5C-8345-B5F9-0114A39795BA}">
      <dgm:prSet phldrT="[Texte]"/>
      <dgm:spPr/>
      <dgm:t>
        <a:bodyPr/>
        <a:lstStyle/>
        <a:p>
          <a:pPr algn="ctr"/>
          <a:r>
            <a:rPr lang="fr-FR"/>
            <a:t>Groupe sectoriel et technique</a:t>
          </a:r>
        </a:p>
      </dgm:t>
    </dgm:pt>
    <dgm:pt modelId="{FC240F90-9F80-D74B-A75F-39BE23869A4F}" type="parTrans" cxnId="{1C6FEF9B-0667-7843-A168-D4EBDE8223B8}">
      <dgm:prSet/>
      <dgm:spPr/>
      <dgm:t>
        <a:bodyPr/>
        <a:lstStyle/>
        <a:p>
          <a:pPr algn="ctr"/>
          <a:endParaRPr lang="fr-FR"/>
        </a:p>
      </dgm:t>
    </dgm:pt>
    <dgm:pt modelId="{198B8374-F950-0948-BDC2-C46575F3792C}" type="sibTrans" cxnId="{1C6FEF9B-0667-7843-A168-D4EBDE8223B8}">
      <dgm:prSet/>
      <dgm:spPr/>
      <dgm:t>
        <a:bodyPr/>
        <a:lstStyle/>
        <a:p>
          <a:pPr algn="ctr"/>
          <a:endParaRPr lang="fr-FR"/>
        </a:p>
      </dgm:t>
    </dgm:pt>
    <dgm:pt modelId="{AF0A34B0-F898-6546-9C12-055E5BC7BF83}">
      <dgm:prSet phldrT="[Texte]"/>
      <dgm:spPr/>
      <dgm:t>
        <a:bodyPr/>
        <a:lstStyle/>
        <a:p>
          <a:pPr algn="ctr"/>
          <a:r>
            <a:rPr lang="fr-FR"/>
            <a:t>Groupe sectoriel et technique</a:t>
          </a:r>
        </a:p>
      </dgm:t>
    </dgm:pt>
    <dgm:pt modelId="{64A6B11F-52D9-5C46-BCE1-8209783FA555}" type="parTrans" cxnId="{4118F4E7-423D-6F41-AB69-9C120657A430}">
      <dgm:prSet/>
      <dgm:spPr/>
      <dgm:t>
        <a:bodyPr/>
        <a:lstStyle/>
        <a:p>
          <a:pPr algn="ctr"/>
          <a:endParaRPr lang="fr-FR"/>
        </a:p>
      </dgm:t>
    </dgm:pt>
    <dgm:pt modelId="{F40094FF-73FE-FA45-848E-67A511E2CDBF}" type="sibTrans" cxnId="{4118F4E7-423D-6F41-AB69-9C120657A430}">
      <dgm:prSet/>
      <dgm:spPr/>
      <dgm:t>
        <a:bodyPr/>
        <a:lstStyle/>
        <a:p>
          <a:pPr algn="ctr"/>
          <a:endParaRPr lang="fr-FR"/>
        </a:p>
      </dgm:t>
    </dgm:pt>
    <dgm:pt modelId="{76005FE8-9083-F54E-AB5A-D73753EEE133}">
      <dgm:prSet phldrT="[Texte]"/>
      <dgm:spPr/>
      <dgm:t>
        <a:bodyPr/>
        <a:lstStyle/>
        <a:p>
          <a:pPr algn="ctr"/>
          <a:r>
            <a:rPr lang="fr-FR"/>
            <a:t>Groupe sectoriel et technique</a:t>
          </a:r>
        </a:p>
      </dgm:t>
    </dgm:pt>
    <dgm:pt modelId="{782875DD-3457-2E4E-A0B8-73F8EA3A2E1D}" type="parTrans" cxnId="{F1ECBBBF-9B53-EC46-B933-64D5E86A66C4}">
      <dgm:prSet/>
      <dgm:spPr/>
      <dgm:t>
        <a:bodyPr/>
        <a:lstStyle/>
        <a:p>
          <a:pPr algn="ctr"/>
          <a:endParaRPr lang="fr-FR"/>
        </a:p>
      </dgm:t>
    </dgm:pt>
    <dgm:pt modelId="{075B019F-97AD-3649-AFAB-943E2D7269EF}" type="sibTrans" cxnId="{F1ECBBBF-9B53-EC46-B933-64D5E86A66C4}">
      <dgm:prSet/>
      <dgm:spPr/>
      <dgm:t>
        <a:bodyPr/>
        <a:lstStyle/>
        <a:p>
          <a:pPr algn="ctr"/>
          <a:endParaRPr lang="fr-FR"/>
        </a:p>
      </dgm:t>
    </dgm:pt>
    <dgm:pt modelId="{2365490E-9702-6C4A-ACD1-B20EA0F102F5}">
      <dgm:prSet/>
      <dgm:spPr/>
      <dgm:t>
        <a:bodyPr/>
        <a:lstStyle/>
        <a:p>
          <a:pPr algn="ctr"/>
          <a:r>
            <a:rPr lang="fr-FR"/>
            <a:t>CDS/CCS</a:t>
          </a:r>
        </a:p>
      </dgm:t>
    </dgm:pt>
    <dgm:pt modelId="{40ED6A0E-10BA-5942-B3A1-720C87C5C10A}" type="parTrans" cxnId="{3400713A-7456-C340-B00B-A6FE6F040C7C}">
      <dgm:prSet/>
      <dgm:spPr/>
      <dgm:t>
        <a:bodyPr/>
        <a:lstStyle/>
        <a:p>
          <a:pPr algn="ctr"/>
          <a:endParaRPr lang="fr-FR"/>
        </a:p>
      </dgm:t>
    </dgm:pt>
    <dgm:pt modelId="{5221830F-8E45-B846-8ECC-4D18D37AB589}" type="sibTrans" cxnId="{3400713A-7456-C340-B00B-A6FE6F040C7C}">
      <dgm:prSet/>
      <dgm:spPr/>
      <dgm:t>
        <a:bodyPr/>
        <a:lstStyle/>
        <a:p>
          <a:pPr algn="ctr"/>
          <a:endParaRPr lang="fr-FR"/>
        </a:p>
      </dgm:t>
    </dgm:pt>
    <dgm:pt modelId="{B8F9A279-BAA7-5640-908C-62136B2E2227}" type="pres">
      <dgm:prSet presAssocID="{F2934294-0343-CD4E-BF50-E56245FBCC77}" presName="hierChild1" presStyleCnt="0">
        <dgm:presLayoutVars>
          <dgm:orgChart val="1"/>
          <dgm:chPref val="1"/>
          <dgm:dir/>
          <dgm:animOne val="branch"/>
          <dgm:animLvl val="lvl"/>
          <dgm:resizeHandles/>
        </dgm:presLayoutVars>
      </dgm:prSet>
      <dgm:spPr/>
      <dgm:t>
        <a:bodyPr/>
        <a:lstStyle/>
        <a:p>
          <a:endParaRPr lang="fr-FR"/>
        </a:p>
      </dgm:t>
    </dgm:pt>
    <dgm:pt modelId="{C6DC7206-3455-4D4B-AC7F-1DA900315117}" type="pres">
      <dgm:prSet presAssocID="{5D8D2962-22DD-1640-9016-F6749127E584}" presName="hierRoot1" presStyleCnt="0">
        <dgm:presLayoutVars>
          <dgm:hierBranch val="init"/>
        </dgm:presLayoutVars>
      </dgm:prSet>
      <dgm:spPr/>
    </dgm:pt>
    <dgm:pt modelId="{975BEC3C-846B-F242-B936-91F152F5C199}" type="pres">
      <dgm:prSet presAssocID="{5D8D2962-22DD-1640-9016-F6749127E584}" presName="rootComposite1" presStyleCnt="0"/>
      <dgm:spPr/>
    </dgm:pt>
    <dgm:pt modelId="{452144F0-8E66-B549-BB3F-7018985675F2}" type="pres">
      <dgm:prSet presAssocID="{5D8D2962-22DD-1640-9016-F6749127E584}" presName="rootText1" presStyleLbl="node0" presStyleIdx="0" presStyleCnt="2">
        <dgm:presLayoutVars>
          <dgm:chPref val="3"/>
        </dgm:presLayoutVars>
      </dgm:prSet>
      <dgm:spPr/>
      <dgm:t>
        <a:bodyPr/>
        <a:lstStyle/>
        <a:p>
          <a:endParaRPr lang="fr-FR"/>
        </a:p>
      </dgm:t>
    </dgm:pt>
    <dgm:pt modelId="{F7342F69-E8C5-1F48-A813-15325A7ED050}" type="pres">
      <dgm:prSet presAssocID="{5D8D2962-22DD-1640-9016-F6749127E584}" presName="rootConnector1" presStyleLbl="node1" presStyleIdx="0" presStyleCnt="0"/>
      <dgm:spPr/>
      <dgm:t>
        <a:bodyPr/>
        <a:lstStyle/>
        <a:p>
          <a:endParaRPr lang="fr-FR"/>
        </a:p>
      </dgm:t>
    </dgm:pt>
    <dgm:pt modelId="{CE974701-3417-1A4F-A867-A33C5310A4F6}" type="pres">
      <dgm:prSet presAssocID="{5D8D2962-22DD-1640-9016-F6749127E584}" presName="hierChild2" presStyleCnt="0"/>
      <dgm:spPr/>
    </dgm:pt>
    <dgm:pt modelId="{C97F3BAA-9782-9D43-863D-38FEE2CDAAF5}" type="pres">
      <dgm:prSet presAssocID="{FC240F90-9F80-D74B-A75F-39BE23869A4F}" presName="Name37" presStyleLbl="parChTrans1D2" presStyleIdx="0" presStyleCnt="4"/>
      <dgm:spPr/>
      <dgm:t>
        <a:bodyPr/>
        <a:lstStyle/>
        <a:p>
          <a:endParaRPr lang="fr-FR"/>
        </a:p>
      </dgm:t>
    </dgm:pt>
    <dgm:pt modelId="{016E7B5D-BCA6-8F46-8788-983C2531FE78}" type="pres">
      <dgm:prSet presAssocID="{090A64C0-7B5C-8345-B5F9-0114A39795BA}" presName="hierRoot2" presStyleCnt="0">
        <dgm:presLayoutVars>
          <dgm:hierBranch val="init"/>
        </dgm:presLayoutVars>
      </dgm:prSet>
      <dgm:spPr/>
    </dgm:pt>
    <dgm:pt modelId="{8588E772-6DDD-7E45-9409-8701FFDC0A42}" type="pres">
      <dgm:prSet presAssocID="{090A64C0-7B5C-8345-B5F9-0114A39795BA}" presName="rootComposite" presStyleCnt="0"/>
      <dgm:spPr/>
    </dgm:pt>
    <dgm:pt modelId="{D231D7E7-B98E-B746-A285-BA25A6EA91AA}" type="pres">
      <dgm:prSet presAssocID="{090A64C0-7B5C-8345-B5F9-0114A39795BA}" presName="rootText" presStyleLbl="node2" presStyleIdx="0" presStyleCnt="3">
        <dgm:presLayoutVars>
          <dgm:chPref val="3"/>
        </dgm:presLayoutVars>
      </dgm:prSet>
      <dgm:spPr/>
      <dgm:t>
        <a:bodyPr/>
        <a:lstStyle/>
        <a:p>
          <a:endParaRPr lang="fr-FR"/>
        </a:p>
      </dgm:t>
    </dgm:pt>
    <dgm:pt modelId="{7BE1C6E1-0ED9-7B44-B6AC-A36F9CCB0D25}" type="pres">
      <dgm:prSet presAssocID="{090A64C0-7B5C-8345-B5F9-0114A39795BA}" presName="rootConnector" presStyleLbl="node2" presStyleIdx="0" presStyleCnt="3"/>
      <dgm:spPr/>
      <dgm:t>
        <a:bodyPr/>
        <a:lstStyle/>
        <a:p>
          <a:endParaRPr lang="fr-FR"/>
        </a:p>
      </dgm:t>
    </dgm:pt>
    <dgm:pt modelId="{CEB6535F-6732-F943-BB7D-4341C1564842}" type="pres">
      <dgm:prSet presAssocID="{090A64C0-7B5C-8345-B5F9-0114A39795BA}" presName="hierChild4" presStyleCnt="0"/>
      <dgm:spPr/>
    </dgm:pt>
    <dgm:pt modelId="{0D8D2ED6-E196-1442-88E2-BFACE19AEE76}" type="pres">
      <dgm:prSet presAssocID="{090A64C0-7B5C-8345-B5F9-0114A39795BA}" presName="hierChild5" presStyleCnt="0"/>
      <dgm:spPr/>
    </dgm:pt>
    <dgm:pt modelId="{4A21C2B1-589D-7244-970B-60498D7862B5}" type="pres">
      <dgm:prSet presAssocID="{64A6B11F-52D9-5C46-BCE1-8209783FA555}" presName="Name37" presStyleLbl="parChTrans1D2" presStyleIdx="1" presStyleCnt="4"/>
      <dgm:spPr/>
      <dgm:t>
        <a:bodyPr/>
        <a:lstStyle/>
        <a:p>
          <a:endParaRPr lang="fr-FR"/>
        </a:p>
      </dgm:t>
    </dgm:pt>
    <dgm:pt modelId="{C40C48B5-6081-3E42-8041-483192254459}" type="pres">
      <dgm:prSet presAssocID="{AF0A34B0-F898-6546-9C12-055E5BC7BF83}" presName="hierRoot2" presStyleCnt="0">
        <dgm:presLayoutVars>
          <dgm:hierBranch val="init"/>
        </dgm:presLayoutVars>
      </dgm:prSet>
      <dgm:spPr/>
    </dgm:pt>
    <dgm:pt modelId="{CDAF6837-642B-1D47-9C13-AF85F4B8675D}" type="pres">
      <dgm:prSet presAssocID="{AF0A34B0-F898-6546-9C12-055E5BC7BF83}" presName="rootComposite" presStyleCnt="0"/>
      <dgm:spPr/>
    </dgm:pt>
    <dgm:pt modelId="{289B0CA1-BD28-EF40-A874-8081FBA6C652}" type="pres">
      <dgm:prSet presAssocID="{AF0A34B0-F898-6546-9C12-055E5BC7BF83}" presName="rootText" presStyleLbl="node2" presStyleIdx="1" presStyleCnt="3">
        <dgm:presLayoutVars>
          <dgm:chPref val="3"/>
        </dgm:presLayoutVars>
      </dgm:prSet>
      <dgm:spPr/>
      <dgm:t>
        <a:bodyPr/>
        <a:lstStyle/>
        <a:p>
          <a:endParaRPr lang="fr-FR"/>
        </a:p>
      </dgm:t>
    </dgm:pt>
    <dgm:pt modelId="{DE5F2792-5BE1-A349-88FC-EB7EF44B78CA}" type="pres">
      <dgm:prSet presAssocID="{AF0A34B0-F898-6546-9C12-055E5BC7BF83}" presName="rootConnector" presStyleLbl="node2" presStyleIdx="1" presStyleCnt="3"/>
      <dgm:spPr/>
      <dgm:t>
        <a:bodyPr/>
        <a:lstStyle/>
        <a:p>
          <a:endParaRPr lang="fr-FR"/>
        </a:p>
      </dgm:t>
    </dgm:pt>
    <dgm:pt modelId="{6F4A5024-C61E-E442-89DA-1483F649B2CF}" type="pres">
      <dgm:prSet presAssocID="{AF0A34B0-F898-6546-9C12-055E5BC7BF83}" presName="hierChild4" presStyleCnt="0"/>
      <dgm:spPr/>
    </dgm:pt>
    <dgm:pt modelId="{5D0972B2-AEC2-0C40-93AB-A21BA40AABA6}" type="pres">
      <dgm:prSet presAssocID="{AF0A34B0-F898-6546-9C12-055E5BC7BF83}" presName="hierChild5" presStyleCnt="0"/>
      <dgm:spPr/>
    </dgm:pt>
    <dgm:pt modelId="{ABCEA2CD-C432-814B-B709-90771D842F51}" type="pres">
      <dgm:prSet presAssocID="{782875DD-3457-2E4E-A0B8-73F8EA3A2E1D}" presName="Name37" presStyleLbl="parChTrans1D2" presStyleIdx="2" presStyleCnt="4"/>
      <dgm:spPr/>
      <dgm:t>
        <a:bodyPr/>
        <a:lstStyle/>
        <a:p>
          <a:endParaRPr lang="fr-FR"/>
        </a:p>
      </dgm:t>
    </dgm:pt>
    <dgm:pt modelId="{99540938-9A9F-D64F-8497-B226061546DA}" type="pres">
      <dgm:prSet presAssocID="{76005FE8-9083-F54E-AB5A-D73753EEE133}" presName="hierRoot2" presStyleCnt="0">
        <dgm:presLayoutVars>
          <dgm:hierBranch val="init"/>
        </dgm:presLayoutVars>
      </dgm:prSet>
      <dgm:spPr/>
    </dgm:pt>
    <dgm:pt modelId="{C4E65268-D923-3F49-A557-1ADB57A8D5DD}" type="pres">
      <dgm:prSet presAssocID="{76005FE8-9083-F54E-AB5A-D73753EEE133}" presName="rootComposite" presStyleCnt="0"/>
      <dgm:spPr/>
    </dgm:pt>
    <dgm:pt modelId="{231045EE-D6E1-3C42-AED5-7E07A282E3FD}" type="pres">
      <dgm:prSet presAssocID="{76005FE8-9083-F54E-AB5A-D73753EEE133}" presName="rootText" presStyleLbl="node2" presStyleIdx="2" presStyleCnt="3">
        <dgm:presLayoutVars>
          <dgm:chPref val="3"/>
        </dgm:presLayoutVars>
      </dgm:prSet>
      <dgm:spPr/>
      <dgm:t>
        <a:bodyPr/>
        <a:lstStyle/>
        <a:p>
          <a:endParaRPr lang="fr-FR"/>
        </a:p>
      </dgm:t>
    </dgm:pt>
    <dgm:pt modelId="{A44C628F-D1FD-D746-A703-296084EF1F3B}" type="pres">
      <dgm:prSet presAssocID="{76005FE8-9083-F54E-AB5A-D73753EEE133}" presName="rootConnector" presStyleLbl="node2" presStyleIdx="2" presStyleCnt="3"/>
      <dgm:spPr/>
      <dgm:t>
        <a:bodyPr/>
        <a:lstStyle/>
        <a:p>
          <a:endParaRPr lang="fr-FR"/>
        </a:p>
      </dgm:t>
    </dgm:pt>
    <dgm:pt modelId="{983AC355-FC9C-044B-8B05-2B489483B965}" type="pres">
      <dgm:prSet presAssocID="{76005FE8-9083-F54E-AB5A-D73753EEE133}" presName="hierChild4" presStyleCnt="0"/>
      <dgm:spPr/>
    </dgm:pt>
    <dgm:pt modelId="{8C3451F8-B0F6-C042-BE1E-07BCFEAC645E}" type="pres">
      <dgm:prSet presAssocID="{76005FE8-9083-F54E-AB5A-D73753EEE133}" presName="hierChild5" presStyleCnt="0"/>
      <dgm:spPr/>
    </dgm:pt>
    <dgm:pt modelId="{CF9987E0-7B50-6B40-88F0-517B6C3FDAC8}" type="pres">
      <dgm:prSet presAssocID="{5D8D2962-22DD-1640-9016-F6749127E584}" presName="hierChild3" presStyleCnt="0"/>
      <dgm:spPr/>
    </dgm:pt>
    <dgm:pt modelId="{3EB61ADC-3862-1048-AB41-AF92FB82AEBC}" type="pres">
      <dgm:prSet presAssocID="{8D527D30-5D5F-DC49-B04C-7FBD98036FA3}" presName="Name111" presStyleLbl="parChTrans1D2" presStyleIdx="3" presStyleCnt="4"/>
      <dgm:spPr/>
      <dgm:t>
        <a:bodyPr/>
        <a:lstStyle/>
        <a:p>
          <a:endParaRPr lang="fr-FR"/>
        </a:p>
      </dgm:t>
    </dgm:pt>
    <dgm:pt modelId="{445EB693-D4A6-0C44-B0DF-1D5C3E239261}" type="pres">
      <dgm:prSet presAssocID="{FD0FFB86-D774-B842-B8A7-2F6345044E7F}" presName="hierRoot3" presStyleCnt="0">
        <dgm:presLayoutVars>
          <dgm:hierBranch val="init"/>
        </dgm:presLayoutVars>
      </dgm:prSet>
      <dgm:spPr/>
    </dgm:pt>
    <dgm:pt modelId="{81402518-C43F-8D47-ADB5-835FB9694760}" type="pres">
      <dgm:prSet presAssocID="{FD0FFB86-D774-B842-B8A7-2F6345044E7F}" presName="rootComposite3" presStyleCnt="0"/>
      <dgm:spPr/>
    </dgm:pt>
    <dgm:pt modelId="{7DA9569D-4933-9C42-A4C5-6C07067A28DA}" type="pres">
      <dgm:prSet presAssocID="{FD0FFB86-D774-B842-B8A7-2F6345044E7F}" presName="rootText3" presStyleLbl="asst1" presStyleIdx="0" presStyleCnt="1">
        <dgm:presLayoutVars>
          <dgm:chPref val="3"/>
        </dgm:presLayoutVars>
      </dgm:prSet>
      <dgm:spPr/>
      <dgm:t>
        <a:bodyPr/>
        <a:lstStyle/>
        <a:p>
          <a:endParaRPr lang="fr-FR"/>
        </a:p>
      </dgm:t>
    </dgm:pt>
    <dgm:pt modelId="{EC501FEF-7166-1C43-B098-883EEC251D99}" type="pres">
      <dgm:prSet presAssocID="{FD0FFB86-D774-B842-B8A7-2F6345044E7F}" presName="rootConnector3" presStyleLbl="asst1" presStyleIdx="0" presStyleCnt="1"/>
      <dgm:spPr/>
      <dgm:t>
        <a:bodyPr/>
        <a:lstStyle/>
        <a:p>
          <a:endParaRPr lang="fr-FR"/>
        </a:p>
      </dgm:t>
    </dgm:pt>
    <dgm:pt modelId="{100956C1-2552-CF40-B96C-5643D387A139}" type="pres">
      <dgm:prSet presAssocID="{FD0FFB86-D774-B842-B8A7-2F6345044E7F}" presName="hierChild6" presStyleCnt="0"/>
      <dgm:spPr/>
    </dgm:pt>
    <dgm:pt modelId="{A7AAAA2B-7B1E-1E46-8817-5A01FF2B0C60}" type="pres">
      <dgm:prSet presAssocID="{FD0FFB86-D774-B842-B8A7-2F6345044E7F}" presName="hierChild7" presStyleCnt="0"/>
      <dgm:spPr/>
    </dgm:pt>
    <dgm:pt modelId="{C960A148-AF06-E04F-809C-E89B12009594}" type="pres">
      <dgm:prSet presAssocID="{2365490E-9702-6C4A-ACD1-B20EA0F102F5}" presName="hierRoot1" presStyleCnt="0">
        <dgm:presLayoutVars>
          <dgm:hierBranch val="init"/>
        </dgm:presLayoutVars>
      </dgm:prSet>
      <dgm:spPr/>
    </dgm:pt>
    <dgm:pt modelId="{F4AC27B6-1698-0C4A-AAE7-4D12ECDABE90}" type="pres">
      <dgm:prSet presAssocID="{2365490E-9702-6C4A-ACD1-B20EA0F102F5}" presName="rootComposite1" presStyleCnt="0"/>
      <dgm:spPr/>
    </dgm:pt>
    <dgm:pt modelId="{CBD34B2F-5E97-1848-9C59-1B1FF7A044E2}" type="pres">
      <dgm:prSet presAssocID="{2365490E-9702-6C4A-ACD1-B20EA0F102F5}" presName="rootText1" presStyleLbl="node0" presStyleIdx="1" presStyleCnt="2" custScaleX="198547" custLinFactX="-66768" custLinFactY="200000" custLinFactNeighborX="-100000" custLinFactNeighborY="220648">
        <dgm:presLayoutVars>
          <dgm:chPref val="3"/>
        </dgm:presLayoutVars>
      </dgm:prSet>
      <dgm:spPr/>
      <dgm:t>
        <a:bodyPr/>
        <a:lstStyle/>
        <a:p>
          <a:endParaRPr lang="fr-FR"/>
        </a:p>
      </dgm:t>
    </dgm:pt>
    <dgm:pt modelId="{F8631262-1DCD-5D4F-B250-8E442CCE208A}" type="pres">
      <dgm:prSet presAssocID="{2365490E-9702-6C4A-ACD1-B20EA0F102F5}" presName="rootConnector1" presStyleLbl="node1" presStyleIdx="0" presStyleCnt="0"/>
      <dgm:spPr/>
      <dgm:t>
        <a:bodyPr/>
        <a:lstStyle/>
        <a:p>
          <a:endParaRPr lang="fr-FR"/>
        </a:p>
      </dgm:t>
    </dgm:pt>
    <dgm:pt modelId="{BC933BDF-ECF5-F14D-B72D-829F9532366C}" type="pres">
      <dgm:prSet presAssocID="{2365490E-9702-6C4A-ACD1-B20EA0F102F5}" presName="hierChild2" presStyleCnt="0"/>
      <dgm:spPr/>
    </dgm:pt>
    <dgm:pt modelId="{916572B5-1FE2-7144-AFED-647C981ED275}" type="pres">
      <dgm:prSet presAssocID="{2365490E-9702-6C4A-ACD1-B20EA0F102F5}" presName="hierChild3" presStyleCnt="0"/>
      <dgm:spPr/>
    </dgm:pt>
  </dgm:ptLst>
  <dgm:cxnLst>
    <dgm:cxn modelId="{6125D8AD-8040-A54A-9D02-B29505587CF1}" srcId="{5D8D2962-22DD-1640-9016-F6749127E584}" destId="{FD0FFB86-D774-B842-B8A7-2F6345044E7F}" srcOrd="0" destOrd="0" parTransId="{8D527D30-5D5F-DC49-B04C-7FBD98036FA3}" sibTransId="{276EBD9C-4DA4-1445-8A0C-5BF98F368305}"/>
    <dgm:cxn modelId="{FC801DA1-A542-4A6E-89AC-92C7F52487B3}" type="presOf" srcId="{5D8D2962-22DD-1640-9016-F6749127E584}" destId="{F7342F69-E8C5-1F48-A813-15325A7ED050}" srcOrd="1" destOrd="0" presId="urn:microsoft.com/office/officeart/2005/8/layout/orgChart1"/>
    <dgm:cxn modelId="{859BED1A-D778-4874-AA3E-4F97DFE5D57A}" type="presOf" srcId="{FD0FFB86-D774-B842-B8A7-2F6345044E7F}" destId="{EC501FEF-7166-1C43-B098-883EEC251D99}" srcOrd="1" destOrd="0" presId="urn:microsoft.com/office/officeart/2005/8/layout/orgChart1"/>
    <dgm:cxn modelId="{43D3912F-7F94-4E51-88E3-134C65EA90EA}" type="presOf" srcId="{AF0A34B0-F898-6546-9C12-055E5BC7BF83}" destId="{DE5F2792-5BE1-A349-88FC-EB7EF44B78CA}" srcOrd="1" destOrd="0" presId="urn:microsoft.com/office/officeart/2005/8/layout/orgChart1"/>
    <dgm:cxn modelId="{4118F4E7-423D-6F41-AB69-9C120657A430}" srcId="{5D8D2962-22DD-1640-9016-F6749127E584}" destId="{AF0A34B0-F898-6546-9C12-055E5BC7BF83}" srcOrd="2" destOrd="0" parTransId="{64A6B11F-52D9-5C46-BCE1-8209783FA555}" sibTransId="{F40094FF-73FE-FA45-848E-67A511E2CDBF}"/>
    <dgm:cxn modelId="{9FFDD8C4-890D-4A24-ADEC-20862C63A3DF}" type="presOf" srcId="{FC240F90-9F80-D74B-A75F-39BE23869A4F}" destId="{C97F3BAA-9782-9D43-863D-38FEE2CDAAF5}" srcOrd="0" destOrd="0" presId="urn:microsoft.com/office/officeart/2005/8/layout/orgChart1"/>
    <dgm:cxn modelId="{E5BC373C-E501-4E2F-A17F-666E6514A911}" type="presOf" srcId="{5D8D2962-22DD-1640-9016-F6749127E584}" destId="{452144F0-8E66-B549-BB3F-7018985675F2}" srcOrd="0" destOrd="0" presId="urn:microsoft.com/office/officeart/2005/8/layout/orgChart1"/>
    <dgm:cxn modelId="{89C969E2-6360-4E36-A1BD-D37F9306619A}" type="presOf" srcId="{76005FE8-9083-F54E-AB5A-D73753EEE133}" destId="{A44C628F-D1FD-D746-A703-296084EF1F3B}" srcOrd="1" destOrd="0" presId="urn:microsoft.com/office/officeart/2005/8/layout/orgChart1"/>
    <dgm:cxn modelId="{CFD26C3D-4FC6-46A7-9F4C-808750F77D3D}" type="presOf" srcId="{AF0A34B0-F898-6546-9C12-055E5BC7BF83}" destId="{289B0CA1-BD28-EF40-A874-8081FBA6C652}" srcOrd="0" destOrd="0" presId="urn:microsoft.com/office/officeart/2005/8/layout/orgChart1"/>
    <dgm:cxn modelId="{595A6F26-615B-4DCC-97B6-9DA335DB2E48}" type="presOf" srcId="{2365490E-9702-6C4A-ACD1-B20EA0F102F5}" destId="{CBD34B2F-5E97-1848-9C59-1B1FF7A044E2}" srcOrd="0" destOrd="0" presId="urn:microsoft.com/office/officeart/2005/8/layout/orgChart1"/>
    <dgm:cxn modelId="{1C6FEF9B-0667-7843-A168-D4EBDE8223B8}" srcId="{5D8D2962-22DD-1640-9016-F6749127E584}" destId="{090A64C0-7B5C-8345-B5F9-0114A39795BA}" srcOrd="1" destOrd="0" parTransId="{FC240F90-9F80-D74B-A75F-39BE23869A4F}" sibTransId="{198B8374-F950-0948-BDC2-C46575F3792C}"/>
    <dgm:cxn modelId="{C33C5980-6D47-44DC-930B-C9790B48B594}" type="presOf" srcId="{64A6B11F-52D9-5C46-BCE1-8209783FA555}" destId="{4A21C2B1-589D-7244-970B-60498D7862B5}" srcOrd="0" destOrd="0" presId="urn:microsoft.com/office/officeart/2005/8/layout/orgChart1"/>
    <dgm:cxn modelId="{11F8EFB5-8322-4BAF-90D8-D290F33D33F2}" type="presOf" srcId="{F2934294-0343-CD4E-BF50-E56245FBCC77}" destId="{B8F9A279-BAA7-5640-908C-62136B2E2227}" srcOrd="0" destOrd="0" presId="urn:microsoft.com/office/officeart/2005/8/layout/orgChart1"/>
    <dgm:cxn modelId="{4A6B5E7F-E24B-4096-A725-12D203CCF661}" type="presOf" srcId="{76005FE8-9083-F54E-AB5A-D73753EEE133}" destId="{231045EE-D6E1-3C42-AED5-7E07A282E3FD}" srcOrd="0" destOrd="0" presId="urn:microsoft.com/office/officeart/2005/8/layout/orgChart1"/>
    <dgm:cxn modelId="{00B2C65A-3C6B-4CAA-A502-583BDF1DA976}" type="presOf" srcId="{8D527D30-5D5F-DC49-B04C-7FBD98036FA3}" destId="{3EB61ADC-3862-1048-AB41-AF92FB82AEBC}" srcOrd="0" destOrd="0" presId="urn:microsoft.com/office/officeart/2005/8/layout/orgChart1"/>
    <dgm:cxn modelId="{3400713A-7456-C340-B00B-A6FE6F040C7C}" srcId="{F2934294-0343-CD4E-BF50-E56245FBCC77}" destId="{2365490E-9702-6C4A-ACD1-B20EA0F102F5}" srcOrd="1" destOrd="0" parTransId="{40ED6A0E-10BA-5942-B3A1-720C87C5C10A}" sibTransId="{5221830F-8E45-B846-8ECC-4D18D37AB589}"/>
    <dgm:cxn modelId="{F1ECBBBF-9B53-EC46-B933-64D5E86A66C4}" srcId="{5D8D2962-22DD-1640-9016-F6749127E584}" destId="{76005FE8-9083-F54E-AB5A-D73753EEE133}" srcOrd="3" destOrd="0" parTransId="{782875DD-3457-2E4E-A0B8-73F8EA3A2E1D}" sibTransId="{075B019F-97AD-3649-AFAB-943E2D7269EF}"/>
    <dgm:cxn modelId="{5A5874EB-FF87-BB41-BD55-86E70A4CB1E2}" srcId="{F2934294-0343-CD4E-BF50-E56245FBCC77}" destId="{5D8D2962-22DD-1640-9016-F6749127E584}" srcOrd="0" destOrd="0" parTransId="{72E75A62-9AE0-FA4E-A2C5-F01169F224F9}" sibTransId="{DD237459-1699-D04F-B3B6-A578E507E7C1}"/>
    <dgm:cxn modelId="{9BF43271-A1A8-4935-9A94-730B443BBD9D}" type="presOf" srcId="{FD0FFB86-D774-B842-B8A7-2F6345044E7F}" destId="{7DA9569D-4933-9C42-A4C5-6C07067A28DA}" srcOrd="0" destOrd="0" presId="urn:microsoft.com/office/officeart/2005/8/layout/orgChart1"/>
    <dgm:cxn modelId="{07F0F836-2E6B-4345-8878-CAE15526EAA2}" type="presOf" srcId="{2365490E-9702-6C4A-ACD1-B20EA0F102F5}" destId="{F8631262-1DCD-5D4F-B250-8E442CCE208A}" srcOrd="1" destOrd="0" presId="urn:microsoft.com/office/officeart/2005/8/layout/orgChart1"/>
    <dgm:cxn modelId="{A2574CC8-7874-4A88-A4BA-194499D0EDCE}" type="presOf" srcId="{090A64C0-7B5C-8345-B5F9-0114A39795BA}" destId="{7BE1C6E1-0ED9-7B44-B6AC-A36F9CCB0D25}" srcOrd="1" destOrd="0" presId="urn:microsoft.com/office/officeart/2005/8/layout/orgChart1"/>
    <dgm:cxn modelId="{94B605E6-888D-4BF5-B9FB-96AC6A5F9615}" type="presOf" srcId="{090A64C0-7B5C-8345-B5F9-0114A39795BA}" destId="{D231D7E7-B98E-B746-A285-BA25A6EA91AA}" srcOrd="0" destOrd="0" presId="urn:microsoft.com/office/officeart/2005/8/layout/orgChart1"/>
    <dgm:cxn modelId="{56DCCFD6-8A9A-426B-A1BC-1385592186EA}" type="presOf" srcId="{782875DD-3457-2E4E-A0B8-73F8EA3A2E1D}" destId="{ABCEA2CD-C432-814B-B709-90771D842F51}" srcOrd="0" destOrd="0" presId="urn:microsoft.com/office/officeart/2005/8/layout/orgChart1"/>
    <dgm:cxn modelId="{956F7EE0-B82D-42C2-BFD8-B1EE5A7F7E1C}" type="presParOf" srcId="{B8F9A279-BAA7-5640-908C-62136B2E2227}" destId="{C6DC7206-3455-4D4B-AC7F-1DA900315117}" srcOrd="0" destOrd="0" presId="urn:microsoft.com/office/officeart/2005/8/layout/orgChart1"/>
    <dgm:cxn modelId="{BCA114CC-5BC6-4BD6-A698-B2C36325DBBE}" type="presParOf" srcId="{C6DC7206-3455-4D4B-AC7F-1DA900315117}" destId="{975BEC3C-846B-F242-B936-91F152F5C199}" srcOrd="0" destOrd="0" presId="urn:microsoft.com/office/officeart/2005/8/layout/orgChart1"/>
    <dgm:cxn modelId="{E957D652-7584-4B6C-9C51-A766B8BF43EF}" type="presParOf" srcId="{975BEC3C-846B-F242-B936-91F152F5C199}" destId="{452144F0-8E66-B549-BB3F-7018985675F2}" srcOrd="0" destOrd="0" presId="urn:microsoft.com/office/officeart/2005/8/layout/orgChart1"/>
    <dgm:cxn modelId="{46D46A5C-B933-41A5-97C0-D83962C6145B}" type="presParOf" srcId="{975BEC3C-846B-F242-B936-91F152F5C199}" destId="{F7342F69-E8C5-1F48-A813-15325A7ED050}" srcOrd="1" destOrd="0" presId="urn:microsoft.com/office/officeart/2005/8/layout/orgChart1"/>
    <dgm:cxn modelId="{299ECE2C-AD0A-4887-A87D-376453C6E9A4}" type="presParOf" srcId="{C6DC7206-3455-4D4B-AC7F-1DA900315117}" destId="{CE974701-3417-1A4F-A867-A33C5310A4F6}" srcOrd="1" destOrd="0" presId="urn:microsoft.com/office/officeart/2005/8/layout/orgChart1"/>
    <dgm:cxn modelId="{F4D3135A-D5F3-4F6C-9BBD-0900FCA2D4AC}" type="presParOf" srcId="{CE974701-3417-1A4F-A867-A33C5310A4F6}" destId="{C97F3BAA-9782-9D43-863D-38FEE2CDAAF5}" srcOrd="0" destOrd="0" presId="urn:microsoft.com/office/officeart/2005/8/layout/orgChart1"/>
    <dgm:cxn modelId="{DDBDD6DF-77C1-4D56-9F61-501BC4BB3F9B}" type="presParOf" srcId="{CE974701-3417-1A4F-A867-A33C5310A4F6}" destId="{016E7B5D-BCA6-8F46-8788-983C2531FE78}" srcOrd="1" destOrd="0" presId="urn:microsoft.com/office/officeart/2005/8/layout/orgChart1"/>
    <dgm:cxn modelId="{98B482DF-0CF2-487A-A932-FE9D2F08E50F}" type="presParOf" srcId="{016E7B5D-BCA6-8F46-8788-983C2531FE78}" destId="{8588E772-6DDD-7E45-9409-8701FFDC0A42}" srcOrd="0" destOrd="0" presId="urn:microsoft.com/office/officeart/2005/8/layout/orgChart1"/>
    <dgm:cxn modelId="{CDCD3ECB-A16D-43A5-A641-90900CDB33E2}" type="presParOf" srcId="{8588E772-6DDD-7E45-9409-8701FFDC0A42}" destId="{D231D7E7-B98E-B746-A285-BA25A6EA91AA}" srcOrd="0" destOrd="0" presId="urn:microsoft.com/office/officeart/2005/8/layout/orgChart1"/>
    <dgm:cxn modelId="{110AAA72-C6AA-4FF4-A479-F405DC318CC8}" type="presParOf" srcId="{8588E772-6DDD-7E45-9409-8701FFDC0A42}" destId="{7BE1C6E1-0ED9-7B44-B6AC-A36F9CCB0D25}" srcOrd="1" destOrd="0" presId="urn:microsoft.com/office/officeart/2005/8/layout/orgChart1"/>
    <dgm:cxn modelId="{B6A45E92-B7B8-41C8-8359-A9C992152742}" type="presParOf" srcId="{016E7B5D-BCA6-8F46-8788-983C2531FE78}" destId="{CEB6535F-6732-F943-BB7D-4341C1564842}" srcOrd="1" destOrd="0" presId="urn:microsoft.com/office/officeart/2005/8/layout/orgChart1"/>
    <dgm:cxn modelId="{2A18BC33-412F-4FE7-991E-B2737BEFD776}" type="presParOf" srcId="{016E7B5D-BCA6-8F46-8788-983C2531FE78}" destId="{0D8D2ED6-E196-1442-88E2-BFACE19AEE76}" srcOrd="2" destOrd="0" presId="urn:microsoft.com/office/officeart/2005/8/layout/orgChart1"/>
    <dgm:cxn modelId="{C9490B93-4FBC-4757-9D2E-04DBE440BC67}" type="presParOf" srcId="{CE974701-3417-1A4F-A867-A33C5310A4F6}" destId="{4A21C2B1-589D-7244-970B-60498D7862B5}" srcOrd="2" destOrd="0" presId="urn:microsoft.com/office/officeart/2005/8/layout/orgChart1"/>
    <dgm:cxn modelId="{8E5D167C-A29A-4584-9D0D-E4E664426891}" type="presParOf" srcId="{CE974701-3417-1A4F-A867-A33C5310A4F6}" destId="{C40C48B5-6081-3E42-8041-483192254459}" srcOrd="3" destOrd="0" presId="urn:microsoft.com/office/officeart/2005/8/layout/orgChart1"/>
    <dgm:cxn modelId="{87157989-C248-4D57-A0F4-A7BD472264FD}" type="presParOf" srcId="{C40C48B5-6081-3E42-8041-483192254459}" destId="{CDAF6837-642B-1D47-9C13-AF85F4B8675D}" srcOrd="0" destOrd="0" presId="urn:microsoft.com/office/officeart/2005/8/layout/orgChart1"/>
    <dgm:cxn modelId="{2DF7BB16-6CEA-4415-9633-3A5B11FDCF32}" type="presParOf" srcId="{CDAF6837-642B-1D47-9C13-AF85F4B8675D}" destId="{289B0CA1-BD28-EF40-A874-8081FBA6C652}" srcOrd="0" destOrd="0" presId="urn:microsoft.com/office/officeart/2005/8/layout/orgChart1"/>
    <dgm:cxn modelId="{B92BEDDD-0E3D-4B6B-987B-CA8A722A9FEA}" type="presParOf" srcId="{CDAF6837-642B-1D47-9C13-AF85F4B8675D}" destId="{DE5F2792-5BE1-A349-88FC-EB7EF44B78CA}" srcOrd="1" destOrd="0" presId="urn:microsoft.com/office/officeart/2005/8/layout/orgChart1"/>
    <dgm:cxn modelId="{993C1CC2-B0F9-434D-8C16-BE36514E99EF}" type="presParOf" srcId="{C40C48B5-6081-3E42-8041-483192254459}" destId="{6F4A5024-C61E-E442-89DA-1483F649B2CF}" srcOrd="1" destOrd="0" presId="urn:microsoft.com/office/officeart/2005/8/layout/orgChart1"/>
    <dgm:cxn modelId="{9AD17343-3D9F-4113-8659-61739DBA136B}" type="presParOf" srcId="{C40C48B5-6081-3E42-8041-483192254459}" destId="{5D0972B2-AEC2-0C40-93AB-A21BA40AABA6}" srcOrd="2" destOrd="0" presId="urn:microsoft.com/office/officeart/2005/8/layout/orgChart1"/>
    <dgm:cxn modelId="{36799E95-90CF-4055-8057-1CEF675D52DF}" type="presParOf" srcId="{CE974701-3417-1A4F-A867-A33C5310A4F6}" destId="{ABCEA2CD-C432-814B-B709-90771D842F51}" srcOrd="4" destOrd="0" presId="urn:microsoft.com/office/officeart/2005/8/layout/orgChart1"/>
    <dgm:cxn modelId="{F9D9903F-F3F0-4E26-B71B-F4A8957E8FEB}" type="presParOf" srcId="{CE974701-3417-1A4F-A867-A33C5310A4F6}" destId="{99540938-9A9F-D64F-8497-B226061546DA}" srcOrd="5" destOrd="0" presId="urn:microsoft.com/office/officeart/2005/8/layout/orgChart1"/>
    <dgm:cxn modelId="{91AA01B4-DAF2-42B3-96C4-4C4F050E44DD}" type="presParOf" srcId="{99540938-9A9F-D64F-8497-B226061546DA}" destId="{C4E65268-D923-3F49-A557-1ADB57A8D5DD}" srcOrd="0" destOrd="0" presId="urn:microsoft.com/office/officeart/2005/8/layout/orgChart1"/>
    <dgm:cxn modelId="{6B027C58-B699-4AA6-B8BC-A71669097F7E}" type="presParOf" srcId="{C4E65268-D923-3F49-A557-1ADB57A8D5DD}" destId="{231045EE-D6E1-3C42-AED5-7E07A282E3FD}" srcOrd="0" destOrd="0" presId="urn:microsoft.com/office/officeart/2005/8/layout/orgChart1"/>
    <dgm:cxn modelId="{52AF9FA2-4790-45F7-A935-2061C34624EA}" type="presParOf" srcId="{C4E65268-D923-3F49-A557-1ADB57A8D5DD}" destId="{A44C628F-D1FD-D746-A703-296084EF1F3B}" srcOrd="1" destOrd="0" presId="urn:microsoft.com/office/officeart/2005/8/layout/orgChart1"/>
    <dgm:cxn modelId="{724C964D-6313-49AF-9CC6-5655A0D3A070}" type="presParOf" srcId="{99540938-9A9F-D64F-8497-B226061546DA}" destId="{983AC355-FC9C-044B-8B05-2B489483B965}" srcOrd="1" destOrd="0" presId="urn:microsoft.com/office/officeart/2005/8/layout/orgChart1"/>
    <dgm:cxn modelId="{0CAF2769-E57F-40DF-8214-2A686AEDC62D}" type="presParOf" srcId="{99540938-9A9F-D64F-8497-B226061546DA}" destId="{8C3451F8-B0F6-C042-BE1E-07BCFEAC645E}" srcOrd="2" destOrd="0" presId="urn:microsoft.com/office/officeart/2005/8/layout/orgChart1"/>
    <dgm:cxn modelId="{CFF9DC1C-7E79-4A42-9879-17DBD0C18B88}" type="presParOf" srcId="{C6DC7206-3455-4D4B-AC7F-1DA900315117}" destId="{CF9987E0-7B50-6B40-88F0-517B6C3FDAC8}" srcOrd="2" destOrd="0" presId="urn:microsoft.com/office/officeart/2005/8/layout/orgChart1"/>
    <dgm:cxn modelId="{9EC1EE72-4D8D-4F58-8E3E-2D80C1E7E690}" type="presParOf" srcId="{CF9987E0-7B50-6B40-88F0-517B6C3FDAC8}" destId="{3EB61ADC-3862-1048-AB41-AF92FB82AEBC}" srcOrd="0" destOrd="0" presId="urn:microsoft.com/office/officeart/2005/8/layout/orgChart1"/>
    <dgm:cxn modelId="{BF0A0B28-01B5-4706-BFF4-F82A2499964B}" type="presParOf" srcId="{CF9987E0-7B50-6B40-88F0-517B6C3FDAC8}" destId="{445EB693-D4A6-0C44-B0DF-1D5C3E239261}" srcOrd="1" destOrd="0" presId="urn:microsoft.com/office/officeart/2005/8/layout/orgChart1"/>
    <dgm:cxn modelId="{E6594375-4419-4EB6-9667-8E6BCA43B1ED}" type="presParOf" srcId="{445EB693-D4A6-0C44-B0DF-1D5C3E239261}" destId="{81402518-C43F-8D47-ADB5-835FB9694760}" srcOrd="0" destOrd="0" presId="urn:microsoft.com/office/officeart/2005/8/layout/orgChart1"/>
    <dgm:cxn modelId="{4C6E317D-EB6D-4A63-8BA7-82919832E3D4}" type="presParOf" srcId="{81402518-C43F-8D47-ADB5-835FB9694760}" destId="{7DA9569D-4933-9C42-A4C5-6C07067A28DA}" srcOrd="0" destOrd="0" presId="urn:microsoft.com/office/officeart/2005/8/layout/orgChart1"/>
    <dgm:cxn modelId="{D75FC115-CD5C-4585-B955-2FD5F64D90CB}" type="presParOf" srcId="{81402518-C43F-8D47-ADB5-835FB9694760}" destId="{EC501FEF-7166-1C43-B098-883EEC251D99}" srcOrd="1" destOrd="0" presId="urn:microsoft.com/office/officeart/2005/8/layout/orgChart1"/>
    <dgm:cxn modelId="{7F8361B7-D87F-430A-8450-C2492822999A}" type="presParOf" srcId="{445EB693-D4A6-0C44-B0DF-1D5C3E239261}" destId="{100956C1-2552-CF40-B96C-5643D387A139}" srcOrd="1" destOrd="0" presId="urn:microsoft.com/office/officeart/2005/8/layout/orgChart1"/>
    <dgm:cxn modelId="{867997DE-4118-4814-81A7-FC661CEBE76B}" type="presParOf" srcId="{445EB693-D4A6-0C44-B0DF-1D5C3E239261}" destId="{A7AAAA2B-7B1E-1E46-8817-5A01FF2B0C60}" srcOrd="2" destOrd="0" presId="urn:microsoft.com/office/officeart/2005/8/layout/orgChart1"/>
    <dgm:cxn modelId="{6FCF81E2-0C76-4E74-82BD-AC2AC8886F67}" type="presParOf" srcId="{B8F9A279-BAA7-5640-908C-62136B2E2227}" destId="{C960A148-AF06-E04F-809C-E89B12009594}" srcOrd="1" destOrd="0" presId="urn:microsoft.com/office/officeart/2005/8/layout/orgChart1"/>
    <dgm:cxn modelId="{93CF876D-6ACA-440F-9916-20C08FC0C5B3}" type="presParOf" srcId="{C960A148-AF06-E04F-809C-E89B12009594}" destId="{F4AC27B6-1698-0C4A-AAE7-4D12ECDABE90}" srcOrd="0" destOrd="0" presId="urn:microsoft.com/office/officeart/2005/8/layout/orgChart1"/>
    <dgm:cxn modelId="{7FADA88E-7EB7-4319-A6CB-0734D39CA240}" type="presParOf" srcId="{F4AC27B6-1698-0C4A-AAE7-4D12ECDABE90}" destId="{CBD34B2F-5E97-1848-9C59-1B1FF7A044E2}" srcOrd="0" destOrd="0" presId="urn:microsoft.com/office/officeart/2005/8/layout/orgChart1"/>
    <dgm:cxn modelId="{CECEB6E3-203A-4673-8C02-C46073D35EEB}" type="presParOf" srcId="{F4AC27B6-1698-0C4A-AAE7-4D12ECDABE90}" destId="{F8631262-1DCD-5D4F-B250-8E442CCE208A}" srcOrd="1" destOrd="0" presId="urn:microsoft.com/office/officeart/2005/8/layout/orgChart1"/>
    <dgm:cxn modelId="{857215E7-454F-4945-8E45-BD617166F6AD}" type="presParOf" srcId="{C960A148-AF06-E04F-809C-E89B12009594}" destId="{BC933BDF-ECF5-F14D-B72D-829F9532366C}" srcOrd="1" destOrd="0" presId="urn:microsoft.com/office/officeart/2005/8/layout/orgChart1"/>
    <dgm:cxn modelId="{539C87BD-7C18-4184-9B4B-70C526D7D99E}" type="presParOf" srcId="{C960A148-AF06-E04F-809C-E89B12009594}" destId="{916572B5-1FE2-7144-AFED-647C981ED275}" srcOrd="2" destOrd="0" presId="urn:microsoft.com/office/officeart/2005/8/layout/orgChar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B61ADC-3862-1048-AB41-AF92FB82AEBC}">
      <dsp:nvSpPr>
        <dsp:cNvPr id="0" name=""/>
        <dsp:cNvSpPr/>
      </dsp:nvSpPr>
      <dsp:spPr>
        <a:xfrm>
          <a:off x="2205585" y="1561777"/>
          <a:ext cx="144077" cy="631194"/>
        </a:xfrm>
        <a:custGeom>
          <a:avLst/>
          <a:gdLst/>
          <a:ahLst/>
          <a:cxnLst/>
          <a:rect l="0" t="0" r="0" b="0"/>
          <a:pathLst>
            <a:path>
              <a:moveTo>
                <a:pt x="144077" y="0"/>
              </a:moveTo>
              <a:lnTo>
                <a:pt x="144077" y="631194"/>
              </a:lnTo>
              <a:lnTo>
                <a:pt x="0" y="63119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BCEA2CD-C432-814B-B709-90771D842F51}">
      <dsp:nvSpPr>
        <dsp:cNvPr id="0" name=""/>
        <dsp:cNvSpPr/>
      </dsp:nvSpPr>
      <dsp:spPr>
        <a:xfrm>
          <a:off x="2349662" y="1561777"/>
          <a:ext cx="1660316" cy="1262389"/>
        </a:xfrm>
        <a:custGeom>
          <a:avLst/>
          <a:gdLst/>
          <a:ahLst/>
          <a:cxnLst/>
          <a:rect l="0" t="0" r="0" b="0"/>
          <a:pathLst>
            <a:path>
              <a:moveTo>
                <a:pt x="0" y="0"/>
              </a:moveTo>
              <a:lnTo>
                <a:pt x="0" y="1118312"/>
              </a:lnTo>
              <a:lnTo>
                <a:pt x="1660316" y="1118312"/>
              </a:lnTo>
              <a:lnTo>
                <a:pt x="1660316" y="126238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A21C2B1-589D-7244-970B-60498D7862B5}">
      <dsp:nvSpPr>
        <dsp:cNvPr id="0" name=""/>
        <dsp:cNvSpPr/>
      </dsp:nvSpPr>
      <dsp:spPr>
        <a:xfrm>
          <a:off x="2303942" y="1561777"/>
          <a:ext cx="91440" cy="1262389"/>
        </a:xfrm>
        <a:custGeom>
          <a:avLst/>
          <a:gdLst/>
          <a:ahLst/>
          <a:cxnLst/>
          <a:rect l="0" t="0" r="0" b="0"/>
          <a:pathLst>
            <a:path>
              <a:moveTo>
                <a:pt x="45720" y="0"/>
              </a:moveTo>
              <a:lnTo>
                <a:pt x="45720" y="126238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97F3BAA-9782-9D43-863D-38FEE2CDAAF5}">
      <dsp:nvSpPr>
        <dsp:cNvPr id="0" name=""/>
        <dsp:cNvSpPr/>
      </dsp:nvSpPr>
      <dsp:spPr>
        <a:xfrm>
          <a:off x="689346" y="1561777"/>
          <a:ext cx="1660316" cy="1262389"/>
        </a:xfrm>
        <a:custGeom>
          <a:avLst/>
          <a:gdLst/>
          <a:ahLst/>
          <a:cxnLst/>
          <a:rect l="0" t="0" r="0" b="0"/>
          <a:pathLst>
            <a:path>
              <a:moveTo>
                <a:pt x="1660316" y="0"/>
              </a:moveTo>
              <a:lnTo>
                <a:pt x="1660316" y="1118312"/>
              </a:lnTo>
              <a:lnTo>
                <a:pt x="0" y="1118312"/>
              </a:lnTo>
              <a:lnTo>
                <a:pt x="0" y="126238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52144F0-8E66-B549-BB3F-7018985675F2}">
      <dsp:nvSpPr>
        <dsp:cNvPr id="0" name=""/>
        <dsp:cNvSpPr/>
      </dsp:nvSpPr>
      <dsp:spPr>
        <a:xfrm>
          <a:off x="1663581" y="875696"/>
          <a:ext cx="1372162" cy="68608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fr-FR" sz="1500" kern="1200"/>
            <a:t>Comite d'orientation</a:t>
          </a:r>
        </a:p>
      </dsp:txBody>
      <dsp:txXfrm>
        <a:off x="1663581" y="875696"/>
        <a:ext cx="1372162" cy="686081"/>
      </dsp:txXfrm>
    </dsp:sp>
    <dsp:sp modelId="{D231D7E7-B98E-B746-A285-BA25A6EA91AA}">
      <dsp:nvSpPr>
        <dsp:cNvPr id="0" name=""/>
        <dsp:cNvSpPr/>
      </dsp:nvSpPr>
      <dsp:spPr>
        <a:xfrm>
          <a:off x="3264" y="2824167"/>
          <a:ext cx="1372162" cy="68608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fr-FR" sz="1500" kern="1200"/>
            <a:t>Groupe sectoriel et technique</a:t>
          </a:r>
        </a:p>
      </dsp:txBody>
      <dsp:txXfrm>
        <a:off x="3264" y="2824167"/>
        <a:ext cx="1372162" cy="686081"/>
      </dsp:txXfrm>
    </dsp:sp>
    <dsp:sp modelId="{289B0CA1-BD28-EF40-A874-8081FBA6C652}">
      <dsp:nvSpPr>
        <dsp:cNvPr id="0" name=""/>
        <dsp:cNvSpPr/>
      </dsp:nvSpPr>
      <dsp:spPr>
        <a:xfrm>
          <a:off x="1663581" y="2824167"/>
          <a:ext cx="1372162" cy="68608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fr-FR" sz="1500" kern="1200"/>
            <a:t>Groupe sectoriel et technique</a:t>
          </a:r>
        </a:p>
      </dsp:txBody>
      <dsp:txXfrm>
        <a:off x="1663581" y="2824167"/>
        <a:ext cx="1372162" cy="686081"/>
      </dsp:txXfrm>
    </dsp:sp>
    <dsp:sp modelId="{231045EE-D6E1-3C42-AED5-7E07A282E3FD}">
      <dsp:nvSpPr>
        <dsp:cNvPr id="0" name=""/>
        <dsp:cNvSpPr/>
      </dsp:nvSpPr>
      <dsp:spPr>
        <a:xfrm>
          <a:off x="3323897" y="2824167"/>
          <a:ext cx="1372162" cy="68608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fr-FR" sz="1500" kern="1200"/>
            <a:t>Groupe sectoriel et technique</a:t>
          </a:r>
        </a:p>
      </dsp:txBody>
      <dsp:txXfrm>
        <a:off x="3323897" y="2824167"/>
        <a:ext cx="1372162" cy="686081"/>
      </dsp:txXfrm>
    </dsp:sp>
    <dsp:sp modelId="{7DA9569D-4933-9C42-A4C5-6C07067A28DA}">
      <dsp:nvSpPr>
        <dsp:cNvPr id="0" name=""/>
        <dsp:cNvSpPr/>
      </dsp:nvSpPr>
      <dsp:spPr>
        <a:xfrm>
          <a:off x="833423" y="1849931"/>
          <a:ext cx="1372162" cy="68608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fr-FR" sz="1500" kern="1200"/>
            <a:t>Comité de pilotage</a:t>
          </a:r>
        </a:p>
      </dsp:txBody>
      <dsp:txXfrm>
        <a:off x="833423" y="1849931"/>
        <a:ext cx="1372162" cy="686081"/>
      </dsp:txXfrm>
    </dsp:sp>
    <dsp:sp modelId="{CBD34B2F-5E97-1848-9C59-1B1FF7A044E2}">
      <dsp:nvSpPr>
        <dsp:cNvPr id="0" name=""/>
        <dsp:cNvSpPr/>
      </dsp:nvSpPr>
      <dsp:spPr>
        <a:xfrm>
          <a:off x="1035570" y="3699863"/>
          <a:ext cx="2724387" cy="68608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fr-FR" sz="1500" kern="1200"/>
            <a:t>CDS/CCS</a:t>
          </a:r>
        </a:p>
      </dsp:txBody>
      <dsp:txXfrm>
        <a:off x="1035570" y="3699863"/>
        <a:ext cx="2724387" cy="6860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0.02199</cdr:x>
      <cdr:y>0.24419</cdr:y>
    </cdr:from>
    <cdr:to>
      <cdr:x>0.97942</cdr:x>
      <cdr:y>0.24419</cdr:y>
    </cdr:to>
    <cdr:sp macro="" textlink="">
      <cdr:nvSpPr>
        <cdr:cNvPr id="5" name="Connecteur droit 4"/>
        <cdr:cNvSpPr/>
      </cdr:nvSpPr>
      <cdr:spPr>
        <a:xfrm xmlns:a="http://schemas.openxmlformats.org/drawingml/2006/main">
          <a:off x="129807" y="669851"/>
          <a:ext cx="5652000" cy="0"/>
        </a:xfrm>
        <a:prstGeom xmlns:a="http://schemas.openxmlformats.org/drawingml/2006/main" prst="line">
          <a:avLst/>
        </a:prstGeom>
        <a:ln xmlns:a="http://schemas.openxmlformats.org/drawingml/2006/main" w="22225">
          <a:solidFill>
            <a:srgbClr val="C0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fr-FR"/>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8405F-3CB0-48CF-AA67-3803FD63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BM.29.04.2013_MD2</Template>
  <TotalTime>0</TotalTime>
  <Pages>3</Pages>
  <Words>82891</Words>
  <Characters>455906</Characters>
  <Application>Microsoft Office Word</Application>
  <DocSecurity>0</DocSecurity>
  <Lines>3799</Lines>
  <Paragraphs>1075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537722</CharactersWithSpaces>
  <SharedDoc>false</SharedDoc>
  <HLinks>
    <vt:vector size="978" baseType="variant">
      <vt:variant>
        <vt:i4>2162736</vt:i4>
      </vt:variant>
      <vt:variant>
        <vt:i4>1122</vt:i4>
      </vt:variant>
      <vt:variant>
        <vt:i4>0</vt:i4>
      </vt:variant>
      <vt:variant>
        <vt:i4>5</vt:i4>
      </vt:variant>
      <vt:variant>
        <vt:lpwstr>http://www.pep-net.org/NEW-PEP/Group/PMMA/pmma-train/files/l-dynamique-de-la pauvrete-oduro.pdf</vt:lpwstr>
      </vt:variant>
      <vt:variant>
        <vt:lpwstr/>
      </vt:variant>
      <vt:variant>
        <vt:i4>3604539</vt:i4>
      </vt:variant>
      <vt:variant>
        <vt:i4>1119</vt:i4>
      </vt:variant>
      <vt:variant>
        <vt:i4>0</vt:i4>
      </vt:variant>
      <vt:variant>
        <vt:i4>5</vt:i4>
      </vt:variant>
      <vt:variant>
        <vt:lpwstr>http://ssrn.com/abstrat=895181</vt:lpwstr>
      </vt:variant>
      <vt:variant>
        <vt:lpwstr/>
      </vt:variant>
      <vt:variant>
        <vt:i4>5767211</vt:i4>
      </vt:variant>
      <vt:variant>
        <vt:i4>984</vt:i4>
      </vt:variant>
      <vt:variant>
        <vt:i4>0</vt:i4>
      </vt:variant>
      <vt:variant>
        <vt:i4>5</vt:i4>
      </vt:variant>
      <vt:variant>
        <vt:lpwstr>../../../Analyse_pauv_Chap2/Resultats_estsmclim_chap2version apresBM.xlsx</vt:lpwstr>
      </vt:variant>
      <vt:variant>
        <vt:lpwstr>RANGE!_ftn1</vt:lpwstr>
      </vt:variant>
      <vt:variant>
        <vt:i4>1048629</vt:i4>
      </vt:variant>
      <vt:variant>
        <vt:i4>918</vt:i4>
      </vt:variant>
      <vt:variant>
        <vt:i4>0</vt:i4>
      </vt:variant>
      <vt:variant>
        <vt:i4>5</vt:i4>
      </vt:variant>
      <vt:variant>
        <vt:lpwstr/>
      </vt:variant>
      <vt:variant>
        <vt:lpwstr>_Toc344716320</vt:lpwstr>
      </vt:variant>
      <vt:variant>
        <vt:i4>1376311</vt:i4>
      </vt:variant>
      <vt:variant>
        <vt:i4>906</vt:i4>
      </vt:variant>
      <vt:variant>
        <vt:i4>0</vt:i4>
      </vt:variant>
      <vt:variant>
        <vt:i4>5</vt:i4>
      </vt:variant>
      <vt:variant>
        <vt:lpwstr/>
      </vt:variant>
      <vt:variant>
        <vt:lpwstr>_Toc344672724</vt:lpwstr>
      </vt:variant>
      <vt:variant>
        <vt:i4>1376311</vt:i4>
      </vt:variant>
      <vt:variant>
        <vt:i4>903</vt:i4>
      </vt:variant>
      <vt:variant>
        <vt:i4>0</vt:i4>
      </vt:variant>
      <vt:variant>
        <vt:i4>5</vt:i4>
      </vt:variant>
      <vt:variant>
        <vt:lpwstr/>
      </vt:variant>
      <vt:variant>
        <vt:lpwstr>_Toc344672723</vt:lpwstr>
      </vt:variant>
      <vt:variant>
        <vt:i4>1441847</vt:i4>
      </vt:variant>
      <vt:variant>
        <vt:i4>900</vt:i4>
      </vt:variant>
      <vt:variant>
        <vt:i4>0</vt:i4>
      </vt:variant>
      <vt:variant>
        <vt:i4>5</vt:i4>
      </vt:variant>
      <vt:variant>
        <vt:lpwstr/>
      </vt:variant>
      <vt:variant>
        <vt:lpwstr>_Toc344672717</vt:lpwstr>
      </vt:variant>
      <vt:variant>
        <vt:i4>1441847</vt:i4>
      </vt:variant>
      <vt:variant>
        <vt:i4>897</vt:i4>
      </vt:variant>
      <vt:variant>
        <vt:i4>0</vt:i4>
      </vt:variant>
      <vt:variant>
        <vt:i4>5</vt:i4>
      </vt:variant>
      <vt:variant>
        <vt:lpwstr/>
      </vt:variant>
      <vt:variant>
        <vt:lpwstr>_Toc344672716</vt:lpwstr>
      </vt:variant>
      <vt:variant>
        <vt:i4>1245232</vt:i4>
      </vt:variant>
      <vt:variant>
        <vt:i4>890</vt:i4>
      </vt:variant>
      <vt:variant>
        <vt:i4>0</vt:i4>
      </vt:variant>
      <vt:variant>
        <vt:i4>5</vt:i4>
      </vt:variant>
      <vt:variant>
        <vt:lpwstr/>
      </vt:variant>
      <vt:variant>
        <vt:lpwstr>_Toc344674022</vt:lpwstr>
      </vt:variant>
      <vt:variant>
        <vt:i4>1507383</vt:i4>
      </vt:variant>
      <vt:variant>
        <vt:i4>885</vt:i4>
      </vt:variant>
      <vt:variant>
        <vt:i4>0</vt:i4>
      </vt:variant>
      <vt:variant>
        <vt:i4>5</vt:i4>
      </vt:variant>
      <vt:variant>
        <vt:lpwstr/>
      </vt:variant>
      <vt:variant>
        <vt:lpwstr>_Toc344672707</vt:lpwstr>
      </vt:variant>
      <vt:variant>
        <vt:i4>1507383</vt:i4>
      </vt:variant>
      <vt:variant>
        <vt:i4>882</vt:i4>
      </vt:variant>
      <vt:variant>
        <vt:i4>0</vt:i4>
      </vt:variant>
      <vt:variant>
        <vt:i4>5</vt:i4>
      </vt:variant>
      <vt:variant>
        <vt:lpwstr/>
      </vt:variant>
      <vt:variant>
        <vt:lpwstr>_Toc344672706</vt:lpwstr>
      </vt:variant>
      <vt:variant>
        <vt:i4>1245241</vt:i4>
      </vt:variant>
      <vt:variant>
        <vt:i4>875</vt:i4>
      </vt:variant>
      <vt:variant>
        <vt:i4>0</vt:i4>
      </vt:variant>
      <vt:variant>
        <vt:i4>5</vt:i4>
      </vt:variant>
      <vt:variant>
        <vt:lpwstr/>
      </vt:variant>
      <vt:variant>
        <vt:lpwstr>_Toc344673959</vt:lpwstr>
      </vt:variant>
      <vt:variant>
        <vt:i4>1245241</vt:i4>
      </vt:variant>
      <vt:variant>
        <vt:i4>869</vt:i4>
      </vt:variant>
      <vt:variant>
        <vt:i4>0</vt:i4>
      </vt:variant>
      <vt:variant>
        <vt:i4>5</vt:i4>
      </vt:variant>
      <vt:variant>
        <vt:lpwstr/>
      </vt:variant>
      <vt:variant>
        <vt:lpwstr>_Toc344673958</vt:lpwstr>
      </vt:variant>
      <vt:variant>
        <vt:i4>1245241</vt:i4>
      </vt:variant>
      <vt:variant>
        <vt:i4>863</vt:i4>
      </vt:variant>
      <vt:variant>
        <vt:i4>0</vt:i4>
      </vt:variant>
      <vt:variant>
        <vt:i4>5</vt:i4>
      </vt:variant>
      <vt:variant>
        <vt:lpwstr/>
      </vt:variant>
      <vt:variant>
        <vt:lpwstr>_Toc344673957</vt:lpwstr>
      </vt:variant>
      <vt:variant>
        <vt:i4>1245241</vt:i4>
      </vt:variant>
      <vt:variant>
        <vt:i4>857</vt:i4>
      </vt:variant>
      <vt:variant>
        <vt:i4>0</vt:i4>
      </vt:variant>
      <vt:variant>
        <vt:i4>5</vt:i4>
      </vt:variant>
      <vt:variant>
        <vt:lpwstr/>
      </vt:variant>
      <vt:variant>
        <vt:lpwstr>_Toc344673956</vt:lpwstr>
      </vt:variant>
      <vt:variant>
        <vt:i4>1245241</vt:i4>
      </vt:variant>
      <vt:variant>
        <vt:i4>851</vt:i4>
      </vt:variant>
      <vt:variant>
        <vt:i4>0</vt:i4>
      </vt:variant>
      <vt:variant>
        <vt:i4>5</vt:i4>
      </vt:variant>
      <vt:variant>
        <vt:lpwstr/>
      </vt:variant>
      <vt:variant>
        <vt:lpwstr>_Toc344673955</vt:lpwstr>
      </vt:variant>
      <vt:variant>
        <vt:i4>1507383</vt:i4>
      </vt:variant>
      <vt:variant>
        <vt:i4>846</vt:i4>
      </vt:variant>
      <vt:variant>
        <vt:i4>0</vt:i4>
      </vt:variant>
      <vt:variant>
        <vt:i4>5</vt:i4>
      </vt:variant>
      <vt:variant>
        <vt:lpwstr/>
      </vt:variant>
      <vt:variant>
        <vt:lpwstr>_Toc344672700</vt:lpwstr>
      </vt:variant>
      <vt:variant>
        <vt:i4>1966134</vt:i4>
      </vt:variant>
      <vt:variant>
        <vt:i4>843</vt:i4>
      </vt:variant>
      <vt:variant>
        <vt:i4>0</vt:i4>
      </vt:variant>
      <vt:variant>
        <vt:i4>5</vt:i4>
      </vt:variant>
      <vt:variant>
        <vt:lpwstr/>
      </vt:variant>
      <vt:variant>
        <vt:lpwstr>_Toc344672699</vt:lpwstr>
      </vt:variant>
      <vt:variant>
        <vt:i4>1376308</vt:i4>
      </vt:variant>
      <vt:variant>
        <vt:i4>836</vt:i4>
      </vt:variant>
      <vt:variant>
        <vt:i4>0</vt:i4>
      </vt:variant>
      <vt:variant>
        <vt:i4>5</vt:i4>
      </vt:variant>
      <vt:variant>
        <vt:lpwstr/>
      </vt:variant>
      <vt:variant>
        <vt:lpwstr>_Toc344704356</vt:lpwstr>
      </vt:variant>
      <vt:variant>
        <vt:i4>1310772</vt:i4>
      </vt:variant>
      <vt:variant>
        <vt:i4>827</vt:i4>
      </vt:variant>
      <vt:variant>
        <vt:i4>0</vt:i4>
      </vt:variant>
      <vt:variant>
        <vt:i4>5</vt:i4>
      </vt:variant>
      <vt:variant>
        <vt:lpwstr/>
      </vt:variant>
      <vt:variant>
        <vt:lpwstr>_Toc344704344</vt:lpwstr>
      </vt:variant>
      <vt:variant>
        <vt:i4>1310772</vt:i4>
      </vt:variant>
      <vt:variant>
        <vt:i4>821</vt:i4>
      </vt:variant>
      <vt:variant>
        <vt:i4>0</vt:i4>
      </vt:variant>
      <vt:variant>
        <vt:i4>5</vt:i4>
      </vt:variant>
      <vt:variant>
        <vt:lpwstr/>
      </vt:variant>
      <vt:variant>
        <vt:lpwstr>_Toc344704343</vt:lpwstr>
      </vt:variant>
      <vt:variant>
        <vt:i4>1310772</vt:i4>
      </vt:variant>
      <vt:variant>
        <vt:i4>815</vt:i4>
      </vt:variant>
      <vt:variant>
        <vt:i4>0</vt:i4>
      </vt:variant>
      <vt:variant>
        <vt:i4>5</vt:i4>
      </vt:variant>
      <vt:variant>
        <vt:lpwstr/>
      </vt:variant>
      <vt:variant>
        <vt:lpwstr>_Toc344704342</vt:lpwstr>
      </vt:variant>
      <vt:variant>
        <vt:i4>1310772</vt:i4>
      </vt:variant>
      <vt:variant>
        <vt:i4>809</vt:i4>
      </vt:variant>
      <vt:variant>
        <vt:i4>0</vt:i4>
      </vt:variant>
      <vt:variant>
        <vt:i4>5</vt:i4>
      </vt:variant>
      <vt:variant>
        <vt:lpwstr/>
      </vt:variant>
      <vt:variant>
        <vt:lpwstr>_Toc344704341</vt:lpwstr>
      </vt:variant>
      <vt:variant>
        <vt:i4>1310772</vt:i4>
      </vt:variant>
      <vt:variant>
        <vt:i4>803</vt:i4>
      </vt:variant>
      <vt:variant>
        <vt:i4>0</vt:i4>
      </vt:variant>
      <vt:variant>
        <vt:i4>5</vt:i4>
      </vt:variant>
      <vt:variant>
        <vt:lpwstr/>
      </vt:variant>
      <vt:variant>
        <vt:lpwstr>_Toc344704340</vt:lpwstr>
      </vt:variant>
      <vt:variant>
        <vt:i4>1966134</vt:i4>
      </vt:variant>
      <vt:variant>
        <vt:i4>798</vt:i4>
      </vt:variant>
      <vt:variant>
        <vt:i4>0</vt:i4>
      </vt:variant>
      <vt:variant>
        <vt:i4>5</vt:i4>
      </vt:variant>
      <vt:variant>
        <vt:lpwstr/>
      </vt:variant>
      <vt:variant>
        <vt:lpwstr>_Toc344672698</vt:lpwstr>
      </vt:variant>
      <vt:variant>
        <vt:i4>1966134</vt:i4>
      </vt:variant>
      <vt:variant>
        <vt:i4>795</vt:i4>
      </vt:variant>
      <vt:variant>
        <vt:i4>0</vt:i4>
      </vt:variant>
      <vt:variant>
        <vt:i4>5</vt:i4>
      </vt:variant>
      <vt:variant>
        <vt:lpwstr/>
      </vt:variant>
      <vt:variant>
        <vt:lpwstr>_Toc344672697</vt:lpwstr>
      </vt:variant>
      <vt:variant>
        <vt:i4>1966136</vt:i4>
      </vt:variant>
      <vt:variant>
        <vt:i4>788</vt:i4>
      </vt:variant>
      <vt:variant>
        <vt:i4>0</vt:i4>
      </vt:variant>
      <vt:variant>
        <vt:i4>5</vt:i4>
      </vt:variant>
      <vt:variant>
        <vt:lpwstr/>
      </vt:variant>
      <vt:variant>
        <vt:lpwstr>_Toc344673888</vt:lpwstr>
      </vt:variant>
      <vt:variant>
        <vt:i4>1966136</vt:i4>
      </vt:variant>
      <vt:variant>
        <vt:i4>782</vt:i4>
      </vt:variant>
      <vt:variant>
        <vt:i4>0</vt:i4>
      </vt:variant>
      <vt:variant>
        <vt:i4>5</vt:i4>
      </vt:variant>
      <vt:variant>
        <vt:lpwstr/>
      </vt:variant>
      <vt:variant>
        <vt:lpwstr>_Toc344673887</vt:lpwstr>
      </vt:variant>
      <vt:variant>
        <vt:i4>1966136</vt:i4>
      </vt:variant>
      <vt:variant>
        <vt:i4>776</vt:i4>
      </vt:variant>
      <vt:variant>
        <vt:i4>0</vt:i4>
      </vt:variant>
      <vt:variant>
        <vt:i4>5</vt:i4>
      </vt:variant>
      <vt:variant>
        <vt:lpwstr/>
      </vt:variant>
      <vt:variant>
        <vt:lpwstr>_Toc344673886</vt:lpwstr>
      </vt:variant>
      <vt:variant>
        <vt:i4>1966136</vt:i4>
      </vt:variant>
      <vt:variant>
        <vt:i4>770</vt:i4>
      </vt:variant>
      <vt:variant>
        <vt:i4>0</vt:i4>
      </vt:variant>
      <vt:variant>
        <vt:i4>5</vt:i4>
      </vt:variant>
      <vt:variant>
        <vt:lpwstr/>
      </vt:variant>
      <vt:variant>
        <vt:lpwstr>_Toc344673885</vt:lpwstr>
      </vt:variant>
      <vt:variant>
        <vt:i4>1966136</vt:i4>
      </vt:variant>
      <vt:variant>
        <vt:i4>764</vt:i4>
      </vt:variant>
      <vt:variant>
        <vt:i4>0</vt:i4>
      </vt:variant>
      <vt:variant>
        <vt:i4>5</vt:i4>
      </vt:variant>
      <vt:variant>
        <vt:lpwstr/>
      </vt:variant>
      <vt:variant>
        <vt:lpwstr>_Toc344673884</vt:lpwstr>
      </vt:variant>
      <vt:variant>
        <vt:i4>1966136</vt:i4>
      </vt:variant>
      <vt:variant>
        <vt:i4>758</vt:i4>
      </vt:variant>
      <vt:variant>
        <vt:i4>0</vt:i4>
      </vt:variant>
      <vt:variant>
        <vt:i4>5</vt:i4>
      </vt:variant>
      <vt:variant>
        <vt:lpwstr/>
      </vt:variant>
      <vt:variant>
        <vt:lpwstr>_Toc344673883</vt:lpwstr>
      </vt:variant>
      <vt:variant>
        <vt:i4>1966134</vt:i4>
      </vt:variant>
      <vt:variant>
        <vt:i4>753</vt:i4>
      </vt:variant>
      <vt:variant>
        <vt:i4>0</vt:i4>
      </vt:variant>
      <vt:variant>
        <vt:i4>5</vt:i4>
      </vt:variant>
      <vt:variant>
        <vt:lpwstr/>
      </vt:variant>
      <vt:variant>
        <vt:lpwstr>_Toc344672692</vt:lpwstr>
      </vt:variant>
      <vt:variant>
        <vt:i4>1966134</vt:i4>
      </vt:variant>
      <vt:variant>
        <vt:i4>750</vt:i4>
      </vt:variant>
      <vt:variant>
        <vt:i4>0</vt:i4>
      </vt:variant>
      <vt:variant>
        <vt:i4>5</vt:i4>
      </vt:variant>
      <vt:variant>
        <vt:lpwstr/>
      </vt:variant>
      <vt:variant>
        <vt:lpwstr>_Toc344672691</vt:lpwstr>
      </vt:variant>
      <vt:variant>
        <vt:i4>1376306</vt:i4>
      </vt:variant>
      <vt:variant>
        <vt:i4>743</vt:i4>
      </vt:variant>
      <vt:variant>
        <vt:i4>0</vt:i4>
      </vt:variant>
      <vt:variant>
        <vt:i4>5</vt:i4>
      </vt:variant>
      <vt:variant>
        <vt:lpwstr/>
      </vt:variant>
      <vt:variant>
        <vt:lpwstr>_Toc344674240</vt:lpwstr>
      </vt:variant>
      <vt:variant>
        <vt:i4>1179698</vt:i4>
      </vt:variant>
      <vt:variant>
        <vt:i4>737</vt:i4>
      </vt:variant>
      <vt:variant>
        <vt:i4>0</vt:i4>
      </vt:variant>
      <vt:variant>
        <vt:i4>5</vt:i4>
      </vt:variant>
      <vt:variant>
        <vt:lpwstr/>
      </vt:variant>
      <vt:variant>
        <vt:lpwstr>_Toc344674239</vt:lpwstr>
      </vt:variant>
      <vt:variant>
        <vt:i4>1310776</vt:i4>
      </vt:variant>
      <vt:variant>
        <vt:i4>728</vt:i4>
      </vt:variant>
      <vt:variant>
        <vt:i4>0</vt:i4>
      </vt:variant>
      <vt:variant>
        <vt:i4>5</vt:i4>
      </vt:variant>
      <vt:variant>
        <vt:lpwstr/>
      </vt:variant>
      <vt:variant>
        <vt:lpwstr>_Toc344673828</vt:lpwstr>
      </vt:variant>
      <vt:variant>
        <vt:i4>1310776</vt:i4>
      </vt:variant>
      <vt:variant>
        <vt:i4>722</vt:i4>
      </vt:variant>
      <vt:variant>
        <vt:i4>0</vt:i4>
      </vt:variant>
      <vt:variant>
        <vt:i4>5</vt:i4>
      </vt:variant>
      <vt:variant>
        <vt:lpwstr/>
      </vt:variant>
      <vt:variant>
        <vt:lpwstr>_Toc344673827</vt:lpwstr>
      </vt:variant>
      <vt:variant>
        <vt:i4>1310776</vt:i4>
      </vt:variant>
      <vt:variant>
        <vt:i4>716</vt:i4>
      </vt:variant>
      <vt:variant>
        <vt:i4>0</vt:i4>
      </vt:variant>
      <vt:variant>
        <vt:i4>5</vt:i4>
      </vt:variant>
      <vt:variant>
        <vt:lpwstr/>
      </vt:variant>
      <vt:variant>
        <vt:lpwstr>_Toc344673826</vt:lpwstr>
      </vt:variant>
      <vt:variant>
        <vt:i4>1310776</vt:i4>
      </vt:variant>
      <vt:variant>
        <vt:i4>710</vt:i4>
      </vt:variant>
      <vt:variant>
        <vt:i4>0</vt:i4>
      </vt:variant>
      <vt:variant>
        <vt:i4>5</vt:i4>
      </vt:variant>
      <vt:variant>
        <vt:lpwstr/>
      </vt:variant>
      <vt:variant>
        <vt:lpwstr>_Toc344673825</vt:lpwstr>
      </vt:variant>
      <vt:variant>
        <vt:i4>1310776</vt:i4>
      </vt:variant>
      <vt:variant>
        <vt:i4>704</vt:i4>
      </vt:variant>
      <vt:variant>
        <vt:i4>0</vt:i4>
      </vt:variant>
      <vt:variant>
        <vt:i4>5</vt:i4>
      </vt:variant>
      <vt:variant>
        <vt:lpwstr/>
      </vt:variant>
      <vt:variant>
        <vt:lpwstr>_Toc344673824</vt:lpwstr>
      </vt:variant>
      <vt:variant>
        <vt:i4>1310776</vt:i4>
      </vt:variant>
      <vt:variant>
        <vt:i4>698</vt:i4>
      </vt:variant>
      <vt:variant>
        <vt:i4>0</vt:i4>
      </vt:variant>
      <vt:variant>
        <vt:i4>5</vt:i4>
      </vt:variant>
      <vt:variant>
        <vt:lpwstr/>
      </vt:variant>
      <vt:variant>
        <vt:lpwstr>_Toc344673823</vt:lpwstr>
      </vt:variant>
      <vt:variant>
        <vt:i4>1310776</vt:i4>
      </vt:variant>
      <vt:variant>
        <vt:i4>692</vt:i4>
      </vt:variant>
      <vt:variant>
        <vt:i4>0</vt:i4>
      </vt:variant>
      <vt:variant>
        <vt:i4>5</vt:i4>
      </vt:variant>
      <vt:variant>
        <vt:lpwstr/>
      </vt:variant>
      <vt:variant>
        <vt:lpwstr>_Toc344673822</vt:lpwstr>
      </vt:variant>
      <vt:variant>
        <vt:i4>1310776</vt:i4>
      </vt:variant>
      <vt:variant>
        <vt:i4>686</vt:i4>
      </vt:variant>
      <vt:variant>
        <vt:i4>0</vt:i4>
      </vt:variant>
      <vt:variant>
        <vt:i4>5</vt:i4>
      </vt:variant>
      <vt:variant>
        <vt:lpwstr/>
      </vt:variant>
      <vt:variant>
        <vt:lpwstr>_Toc344673821</vt:lpwstr>
      </vt:variant>
      <vt:variant>
        <vt:i4>1310776</vt:i4>
      </vt:variant>
      <vt:variant>
        <vt:i4>680</vt:i4>
      </vt:variant>
      <vt:variant>
        <vt:i4>0</vt:i4>
      </vt:variant>
      <vt:variant>
        <vt:i4>5</vt:i4>
      </vt:variant>
      <vt:variant>
        <vt:lpwstr/>
      </vt:variant>
      <vt:variant>
        <vt:lpwstr>_Toc344673820</vt:lpwstr>
      </vt:variant>
      <vt:variant>
        <vt:i4>2031670</vt:i4>
      </vt:variant>
      <vt:variant>
        <vt:i4>675</vt:i4>
      </vt:variant>
      <vt:variant>
        <vt:i4>0</vt:i4>
      </vt:variant>
      <vt:variant>
        <vt:i4>5</vt:i4>
      </vt:variant>
      <vt:variant>
        <vt:lpwstr/>
      </vt:variant>
      <vt:variant>
        <vt:lpwstr>_Toc344672685</vt:lpwstr>
      </vt:variant>
      <vt:variant>
        <vt:i4>2031670</vt:i4>
      </vt:variant>
      <vt:variant>
        <vt:i4>672</vt:i4>
      </vt:variant>
      <vt:variant>
        <vt:i4>0</vt:i4>
      </vt:variant>
      <vt:variant>
        <vt:i4>5</vt:i4>
      </vt:variant>
      <vt:variant>
        <vt:lpwstr/>
      </vt:variant>
      <vt:variant>
        <vt:lpwstr>_Toc344672684</vt:lpwstr>
      </vt:variant>
      <vt:variant>
        <vt:i4>1376311</vt:i4>
      </vt:variant>
      <vt:variant>
        <vt:i4>669</vt:i4>
      </vt:variant>
      <vt:variant>
        <vt:i4>0</vt:i4>
      </vt:variant>
      <vt:variant>
        <vt:i4>5</vt:i4>
      </vt:variant>
      <vt:variant>
        <vt:lpwstr/>
      </vt:variant>
      <vt:variant>
        <vt:lpwstr>_Toc344672724</vt:lpwstr>
      </vt:variant>
      <vt:variant>
        <vt:i4>1376311</vt:i4>
      </vt:variant>
      <vt:variant>
        <vt:i4>666</vt:i4>
      </vt:variant>
      <vt:variant>
        <vt:i4>0</vt:i4>
      </vt:variant>
      <vt:variant>
        <vt:i4>5</vt:i4>
      </vt:variant>
      <vt:variant>
        <vt:lpwstr/>
      </vt:variant>
      <vt:variant>
        <vt:lpwstr>_Toc344672723</vt:lpwstr>
      </vt:variant>
      <vt:variant>
        <vt:i4>1441847</vt:i4>
      </vt:variant>
      <vt:variant>
        <vt:i4>663</vt:i4>
      </vt:variant>
      <vt:variant>
        <vt:i4>0</vt:i4>
      </vt:variant>
      <vt:variant>
        <vt:i4>5</vt:i4>
      </vt:variant>
      <vt:variant>
        <vt:lpwstr/>
      </vt:variant>
      <vt:variant>
        <vt:lpwstr>_Toc344672717</vt:lpwstr>
      </vt:variant>
      <vt:variant>
        <vt:i4>1441847</vt:i4>
      </vt:variant>
      <vt:variant>
        <vt:i4>660</vt:i4>
      </vt:variant>
      <vt:variant>
        <vt:i4>0</vt:i4>
      </vt:variant>
      <vt:variant>
        <vt:i4>5</vt:i4>
      </vt:variant>
      <vt:variant>
        <vt:lpwstr/>
      </vt:variant>
      <vt:variant>
        <vt:lpwstr>_Toc344672716</vt:lpwstr>
      </vt:variant>
      <vt:variant>
        <vt:i4>1179700</vt:i4>
      </vt:variant>
      <vt:variant>
        <vt:i4>653</vt:i4>
      </vt:variant>
      <vt:variant>
        <vt:i4>0</vt:i4>
      </vt:variant>
      <vt:variant>
        <vt:i4>5</vt:i4>
      </vt:variant>
      <vt:variant>
        <vt:lpwstr/>
      </vt:variant>
      <vt:variant>
        <vt:lpwstr>_Toc344673444</vt:lpwstr>
      </vt:variant>
      <vt:variant>
        <vt:i4>1179700</vt:i4>
      </vt:variant>
      <vt:variant>
        <vt:i4>647</vt:i4>
      </vt:variant>
      <vt:variant>
        <vt:i4>0</vt:i4>
      </vt:variant>
      <vt:variant>
        <vt:i4>5</vt:i4>
      </vt:variant>
      <vt:variant>
        <vt:lpwstr/>
      </vt:variant>
      <vt:variant>
        <vt:lpwstr>_Toc344673443</vt:lpwstr>
      </vt:variant>
      <vt:variant>
        <vt:i4>1179700</vt:i4>
      </vt:variant>
      <vt:variant>
        <vt:i4>641</vt:i4>
      </vt:variant>
      <vt:variant>
        <vt:i4>0</vt:i4>
      </vt:variant>
      <vt:variant>
        <vt:i4>5</vt:i4>
      </vt:variant>
      <vt:variant>
        <vt:lpwstr/>
      </vt:variant>
      <vt:variant>
        <vt:lpwstr>_Toc344673442</vt:lpwstr>
      </vt:variant>
      <vt:variant>
        <vt:i4>1179700</vt:i4>
      </vt:variant>
      <vt:variant>
        <vt:i4>635</vt:i4>
      </vt:variant>
      <vt:variant>
        <vt:i4>0</vt:i4>
      </vt:variant>
      <vt:variant>
        <vt:i4>5</vt:i4>
      </vt:variant>
      <vt:variant>
        <vt:lpwstr/>
      </vt:variant>
      <vt:variant>
        <vt:lpwstr>_Toc344673441</vt:lpwstr>
      </vt:variant>
      <vt:variant>
        <vt:i4>1179700</vt:i4>
      </vt:variant>
      <vt:variant>
        <vt:i4>629</vt:i4>
      </vt:variant>
      <vt:variant>
        <vt:i4>0</vt:i4>
      </vt:variant>
      <vt:variant>
        <vt:i4>5</vt:i4>
      </vt:variant>
      <vt:variant>
        <vt:lpwstr/>
      </vt:variant>
      <vt:variant>
        <vt:lpwstr>_Toc344673440</vt:lpwstr>
      </vt:variant>
      <vt:variant>
        <vt:i4>1376308</vt:i4>
      </vt:variant>
      <vt:variant>
        <vt:i4>623</vt:i4>
      </vt:variant>
      <vt:variant>
        <vt:i4>0</vt:i4>
      </vt:variant>
      <vt:variant>
        <vt:i4>5</vt:i4>
      </vt:variant>
      <vt:variant>
        <vt:lpwstr/>
      </vt:variant>
      <vt:variant>
        <vt:lpwstr>_Toc344673439</vt:lpwstr>
      </vt:variant>
      <vt:variant>
        <vt:i4>1376308</vt:i4>
      </vt:variant>
      <vt:variant>
        <vt:i4>617</vt:i4>
      </vt:variant>
      <vt:variant>
        <vt:i4>0</vt:i4>
      </vt:variant>
      <vt:variant>
        <vt:i4>5</vt:i4>
      </vt:variant>
      <vt:variant>
        <vt:lpwstr/>
      </vt:variant>
      <vt:variant>
        <vt:lpwstr>_Toc344673438</vt:lpwstr>
      </vt:variant>
      <vt:variant>
        <vt:i4>1376308</vt:i4>
      </vt:variant>
      <vt:variant>
        <vt:i4>611</vt:i4>
      </vt:variant>
      <vt:variant>
        <vt:i4>0</vt:i4>
      </vt:variant>
      <vt:variant>
        <vt:i4>5</vt:i4>
      </vt:variant>
      <vt:variant>
        <vt:lpwstr/>
      </vt:variant>
      <vt:variant>
        <vt:lpwstr>_Toc344673437</vt:lpwstr>
      </vt:variant>
      <vt:variant>
        <vt:i4>1376308</vt:i4>
      </vt:variant>
      <vt:variant>
        <vt:i4>605</vt:i4>
      </vt:variant>
      <vt:variant>
        <vt:i4>0</vt:i4>
      </vt:variant>
      <vt:variant>
        <vt:i4>5</vt:i4>
      </vt:variant>
      <vt:variant>
        <vt:lpwstr/>
      </vt:variant>
      <vt:variant>
        <vt:lpwstr>_Toc344673436</vt:lpwstr>
      </vt:variant>
      <vt:variant>
        <vt:i4>1376308</vt:i4>
      </vt:variant>
      <vt:variant>
        <vt:i4>599</vt:i4>
      </vt:variant>
      <vt:variant>
        <vt:i4>0</vt:i4>
      </vt:variant>
      <vt:variant>
        <vt:i4>5</vt:i4>
      </vt:variant>
      <vt:variant>
        <vt:lpwstr/>
      </vt:variant>
      <vt:variant>
        <vt:lpwstr>_Toc344673435</vt:lpwstr>
      </vt:variant>
      <vt:variant>
        <vt:i4>1376308</vt:i4>
      </vt:variant>
      <vt:variant>
        <vt:i4>593</vt:i4>
      </vt:variant>
      <vt:variant>
        <vt:i4>0</vt:i4>
      </vt:variant>
      <vt:variant>
        <vt:i4>5</vt:i4>
      </vt:variant>
      <vt:variant>
        <vt:lpwstr/>
      </vt:variant>
      <vt:variant>
        <vt:lpwstr>_Toc344673434</vt:lpwstr>
      </vt:variant>
      <vt:variant>
        <vt:i4>1376308</vt:i4>
      </vt:variant>
      <vt:variant>
        <vt:i4>587</vt:i4>
      </vt:variant>
      <vt:variant>
        <vt:i4>0</vt:i4>
      </vt:variant>
      <vt:variant>
        <vt:i4>5</vt:i4>
      </vt:variant>
      <vt:variant>
        <vt:lpwstr/>
      </vt:variant>
      <vt:variant>
        <vt:lpwstr>_Toc344673433</vt:lpwstr>
      </vt:variant>
      <vt:variant>
        <vt:i4>1376308</vt:i4>
      </vt:variant>
      <vt:variant>
        <vt:i4>581</vt:i4>
      </vt:variant>
      <vt:variant>
        <vt:i4>0</vt:i4>
      </vt:variant>
      <vt:variant>
        <vt:i4>5</vt:i4>
      </vt:variant>
      <vt:variant>
        <vt:lpwstr/>
      </vt:variant>
      <vt:variant>
        <vt:lpwstr>_Toc344673432</vt:lpwstr>
      </vt:variant>
      <vt:variant>
        <vt:i4>1376308</vt:i4>
      </vt:variant>
      <vt:variant>
        <vt:i4>575</vt:i4>
      </vt:variant>
      <vt:variant>
        <vt:i4>0</vt:i4>
      </vt:variant>
      <vt:variant>
        <vt:i4>5</vt:i4>
      </vt:variant>
      <vt:variant>
        <vt:lpwstr/>
      </vt:variant>
      <vt:variant>
        <vt:lpwstr>_Toc344673431</vt:lpwstr>
      </vt:variant>
      <vt:variant>
        <vt:i4>1376308</vt:i4>
      </vt:variant>
      <vt:variant>
        <vt:i4>569</vt:i4>
      </vt:variant>
      <vt:variant>
        <vt:i4>0</vt:i4>
      </vt:variant>
      <vt:variant>
        <vt:i4>5</vt:i4>
      </vt:variant>
      <vt:variant>
        <vt:lpwstr/>
      </vt:variant>
      <vt:variant>
        <vt:lpwstr>_Toc344673430</vt:lpwstr>
      </vt:variant>
      <vt:variant>
        <vt:i4>1310772</vt:i4>
      </vt:variant>
      <vt:variant>
        <vt:i4>563</vt:i4>
      </vt:variant>
      <vt:variant>
        <vt:i4>0</vt:i4>
      </vt:variant>
      <vt:variant>
        <vt:i4>5</vt:i4>
      </vt:variant>
      <vt:variant>
        <vt:lpwstr/>
      </vt:variant>
      <vt:variant>
        <vt:lpwstr>_Toc344673429</vt:lpwstr>
      </vt:variant>
      <vt:variant>
        <vt:i4>1310772</vt:i4>
      </vt:variant>
      <vt:variant>
        <vt:i4>557</vt:i4>
      </vt:variant>
      <vt:variant>
        <vt:i4>0</vt:i4>
      </vt:variant>
      <vt:variant>
        <vt:i4>5</vt:i4>
      </vt:variant>
      <vt:variant>
        <vt:lpwstr/>
      </vt:variant>
      <vt:variant>
        <vt:lpwstr>_Toc344673428</vt:lpwstr>
      </vt:variant>
      <vt:variant>
        <vt:i4>1310772</vt:i4>
      </vt:variant>
      <vt:variant>
        <vt:i4>551</vt:i4>
      </vt:variant>
      <vt:variant>
        <vt:i4>0</vt:i4>
      </vt:variant>
      <vt:variant>
        <vt:i4>5</vt:i4>
      </vt:variant>
      <vt:variant>
        <vt:lpwstr/>
      </vt:variant>
      <vt:variant>
        <vt:lpwstr>_Toc344673427</vt:lpwstr>
      </vt:variant>
      <vt:variant>
        <vt:i4>1310772</vt:i4>
      </vt:variant>
      <vt:variant>
        <vt:i4>545</vt:i4>
      </vt:variant>
      <vt:variant>
        <vt:i4>0</vt:i4>
      </vt:variant>
      <vt:variant>
        <vt:i4>5</vt:i4>
      </vt:variant>
      <vt:variant>
        <vt:lpwstr/>
      </vt:variant>
      <vt:variant>
        <vt:lpwstr>_Toc344673426</vt:lpwstr>
      </vt:variant>
      <vt:variant>
        <vt:i4>1507383</vt:i4>
      </vt:variant>
      <vt:variant>
        <vt:i4>540</vt:i4>
      </vt:variant>
      <vt:variant>
        <vt:i4>0</vt:i4>
      </vt:variant>
      <vt:variant>
        <vt:i4>5</vt:i4>
      </vt:variant>
      <vt:variant>
        <vt:lpwstr/>
      </vt:variant>
      <vt:variant>
        <vt:lpwstr>_Toc344672707</vt:lpwstr>
      </vt:variant>
      <vt:variant>
        <vt:i4>1507383</vt:i4>
      </vt:variant>
      <vt:variant>
        <vt:i4>537</vt:i4>
      </vt:variant>
      <vt:variant>
        <vt:i4>0</vt:i4>
      </vt:variant>
      <vt:variant>
        <vt:i4>5</vt:i4>
      </vt:variant>
      <vt:variant>
        <vt:lpwstr/>
      </vt:variant>
      <vt:variant>
        <vt:lpwstr>_Toc344672706</vt:lpwstr>
      </vt:variant>
      <vt:variant>
        <vt:i4>1638463</vt:i4>
      </vt:variant>
      <vt:variant>
        <vt:i4>530</vt:i4>
      </vt:variant>
      <vt:variant>
        <vt:i4>0</vt:i4>
      </vt:variant>
      <vt:variant>
        <vt:i4>5</vt:i4>
      </vt:variant>
      <vt:variant>
        <vt:lpwstr/>
      </vt:variant>
      <vt:variant>
        <vt:lpwstr>_Toc344704892</vt:lpwstr>
      </vt:variant>
      <vt:variant>
        <vt:i4>1638463</vt:i4>
      </vt:variant>
      <vt:variant>
        <vt:i4>524</vt:i4>
      </vt:variant>
      <vt:variant>
        <vt:i4>0</vt:i4>
      </vt:variant>
      <vt:variant>
        <vt:i4>5</vt:i4>
      </vt:variant>
      <vt:variant>
        <vt:lpwstr/>
      </vt:variant>
      <vt:variant>
        <vt:lpwstr>_Toc344704891</vt:lpwstr>
      </vt:variant>
      <vt:variant>
        <vt:i4>1638463</vt:i4>
      </vt:variant>
      <vt:variant>
        <vt:i4>518</vt:i4>
      </vt:variant>
      <vt:variant>
        <vt:i4>0</vt:i4>
      </vt:variant>
      <vt:variant>
        <vt:i4>5</vt:i4>
      </vt:variant>
      <vt:variant>
        <vt:lpwstr/>
      </vt:variant>
      <vt:variant>
        <vt:lpwstr>_Toc344704890</vt:lpwstr>
      </vt:variant>
      <vt:variant>
        <vt:i4>1572927</vt:i4>
      </vt:variant>
      <vt:variant>
        <vt:i4>512</vt:i4>
      </vt:variant>
      <vt:variant>
        <vt:i4>0</vt:i4>
      </vt:variant>
      <vt:variant>
        <vt:i4>5</vt:i4>
      </vt:variant>
      <vt:variant>
        <vt:lpwstr/>
      </vt:variant>
      <vt:variant>
        <vt:lpwstr>_Toc344704889</vt:lpwstr>
      </vt:variant>
      <vt:variant>
        <vt:i4>1572927</vt:i4>
      </vt:variant>
      <vt:variant>
        <vt:i4>506</vt:i4>
      </vt:variant>
      <vt:variant>
        <vt:i4>0</vt:i4>
      </vt:variant>
      <vt:variant>
        <vt:i4>5</vt:i4>
      </vt:variant>
      <vt:variant>
        <vt:lpwstr/>
      </vt:variant>
      <vt:variant>
        <vt:lpwstr>_Toc344704888</vt:lpwstr>
      </vt:variant>
      <vt:variant>
        <vt:i4>1507383</vt:i4>
      </vt:variant>
      <vt:variant>
        <vt:i4>501</vt:i4>
      </vt:variant>
      <vt:variant>
        <vt:i4>0</vt:i4>
      </vt:variant>
      <vt:variant>
        <vt:i4>5</vt:i4>
      </vt:variant>
      <vt:variant>
        <vt:lpwstr/>
      </vt:variant>
      <vt:variant>
        <vt:lpwstr>_Toc344672700</vt:lpwstr>
      </vt:variant>
      <vt:variant>
        <vt:i4>1966134</vt:i4>
      </vt:variant>
      <vt:variant>
        <vt:i4>498</vt:i4>
      </vt:variant>
      <vt:variant>
        <vt:i4>0</vt:i4>
      </vt:variant>
      <vt:variant>
        <vt:i4>5</vt:i4>
      </vt:variant>
      <vt:variant>
        <vt:lpwstr/>
      </vt:variant>
      <vt:variant>
        <vt:lpwstr>_Toc344672699</vt:lpwstr>
      </vt:variant>
      <vt:variant>
        <vt:i4>1507383</vt:i4>
      </vt:variant>
      <vt:variant>
        <vt:i4>491</vt:i4>
      </vt:variant>
      <vt:variant>
        <vt:i4>0</vt:i4>
      </vt:variant>
      <vt:variant>
        <vt:i4>5</vt:i4>
      </vt:variant>
      <vt:variant>
        <vt:lpwstr/>
      </vt:variant>
      <vt:variant>
        <vt:lpwstr>_Toc344716157</vt:lpwstr>
      </vt:variant>
      <vt:variant>
        <vt:i4>1507383</vt:i4>
      </vt:variant>
      <vt:variant>
        <vt:i4>485</vt:i4>
      </vt:variant>
      <vt:variant>
        <vt:i4>0</vt:i4>
      </vt:variant>
      <vt:variant>
        <vt:i4>5</vt:i4>
      </vt:variant>
      <vt:variant>
        <vt:lpwstr/>
      </vt:variant>
      <vt:variant>
        <vt:lpwstr>_Toc344716156</vt:lpwstr>
      </vt:variant>
      <vt:variant>
        <vt:i4>1966134</vt:i4>
      </vt:variant>
      <vt:variant>
        <vt:i4>480</vt:i4>
      </vt:variant>
      <vt:variant>
        <vt:i4>0</vt:i4>
      </vt:variant>
      <vt:variant>
        <vt:i4>5</vt:i4>
      </vt:variant>
      <vt:variant>
        <vt:lpwstr/>
      </vt:variant>
      <vt:variant>
        <vt:lpwstr>_Toc344672698</vt:lpwstr>
      </vt:variant>
      <vt:variant>
        <vt:i4>1966134</vt:i4>
      </vt:variant>
      <vt:variant>
        <vt:i4>477</vt:i4>
      </vt:variant>
      <vt:variant>
        <vt:i4>0</vt:i4>
      </vt:variant>
      <vt:variant>
        <vt:i4>5</vt:i4>
      </vt:variant>
      <vt:variant>
        <vt:lpwstr/>
      </vt:variant>
      <vt:variant>
        <vt:lpwstr>_Toc344672697</vt:lpwstr>
      </vt:variant>
      <vt:variant>
        <vt:i4>1376306</vt:i4>
      </vt:variant>
      <vt:variant>
        <vt:i4>470</vt:i4>
      </vt:variant>
      <vt:variant>
        <vt:i4>0</vt:i4>
      </vt:variant>
      <vt:variant>
        <vt:i4>5</vt:i4>
      </vt:variant>
      <vt:variant>
        <vt:lpwstr/>
      </vt:variant>
      <vt:variant>
        <vt:lpwstr>_Toc344673239</vt:lpwstr>
      </vt:variant>
      <vt:variant>
        <vt:i4>1376306</vt:i4>
      </vt:variant>
      <vt:variant>
        <vt:i4>464</vt:i4>
      </vt:variant>
      <vt:variant>
        <vt:i4>0</vt:i4>
      </vt:variant>
      <vt:variant>
        <vt:i4>5</vt:i4>
      </vt:variant>
      <vt:variant>
        <vt:lpwstr/>
      </vt:variant>
      <vt:variant>
        <vt:lpwstr>_Toc344673238</vt:lpwstr>
      </vt:variant>
      <vt:variant>
        <vt:i4>1376306</vt:i4>
      </vt:variant>
      <vt:variant>
        <vt:i4>458</vt:i4>
      </vt:variant>
      <vt:variant>
        <vt:i4>0</vt:i4>
      </vt:variant>
      <vt:variant>
        <vt:i4>5</vt:i4>
      </vt:variant>
      <vt:variant>
        <vt:lpwstr/>
      </vt:variant>
      <vt:variant>
        <vt:lpwstr>_Toc344673237</vt:lpwstr>
      </vt:variant>
      <vt:variant>
        <vt:i4>1376306</vt:i4>
      </vt:variant>
      <vt:variant>
        <vt:i4>452</vt:i4>
      </vt:variant>
      <vt:variant>
        <vt:i4>0</vt:i4>
      </vt:variant>
      <vt:variant>
        <vt:i4>5</vt:i4>
      </vt:variant>
      <vt:variant>
        <vt:lpwstr/>
      </vt:variant>
      <vt:variant>
        <vt:lpwstr>_Toc344673236</vt:lpwstr>
      </vt:variant>
      <vt:variant>
        <vt:i4>1376306</vt:i4>
      </vt:variant>
      <vt:variant>
        <vt:i4>446</vt:i4>
      </vt:variant>
      <vt:variant>
        <vt:i4>0</vt:i4>
      </vt:variant>
      <vt:variant>
        <vt:i4>5</vt:i4>
      </vt:variant>
      <vt:variant>
        <vt:lpwstr/>
      </vt:variant>
      <vt:variant>
        <vt:lpwstr>_Toc344673235</vt:lpwstr>
      </vt:variant>
      <vt:variant>
        <vt:i4>1376306</vt:i4>
      </vt:variant>
      <vt:variant>
        <vt:i4>440</vt:i4>
      </vt:variant>
      <vt:variant>
        <vt:i4>0</vt:i4>
      </vt:variant>
      <vt:variant>
        <vt:i4>5</vt:i4>
      </vt:variant>
      <vt:variant>
        <vt:lpwstr/>
      </vt:variant>
      <vt:variant>
        <vt:lpwstr>_Toc344673234</vt:lpwstr>
      </vt:variant>
      <vt:variant>
        <vt:i4>1376306</vt:i4>
      </vt:variant>
      <vt:variant>
        <vt:i4>434</vt:i4>
      </vt:variant>
      <vt:variant>
        <vt:i4>0</vt:i4>
      </vt:variant>
      <vt:variant>
        <vt:i4>5</vt:i4>
      </vt:variant>
      <vt:variant>
        <vt:lpwstr/>
      </vt:variant>
      <vt:variant>
        <vt:lpwstr>_Toc344673233</vt:lpwstr>
      </vt:variant>
      <vt:variant>
        <vt:i4>1966134</vt:i4>
      </vt:variant>
      <vt:variant>
        <vt:i4>429</vt:i4>
      </vt:variant>
      <vt:variant>
        <vt:i4>0</vt:i4>
      </vt:variant>
      <vt:variant>
        <vt:i4>5</vt:i4>
      </vt:variant>
      <vt:variant>
        <vt:lpwstr/>
      </vt:variant>
      <vt:variant>
        <vt:lpwstr>_Toc344672692</vt:lpwstr>
      </vt:variant>
      <vt:variant>
        <vt:i4>1966134</vt:i4>
      </vt:variant>
      <vt:variant>
        <vt:i4>426</vt:i4>
      </vt:variant>
      <vt:variant>
        <vt:i4>0</vt:i4>
      </vt:variant>
      <vt:variant>
        <vt:i4>5</vt:i4>
      </vt:variant>
      <vt:variant>
        <vt:lpwstr/>
      </vt:variant>
      <vt:variant>
        <vt:lpwstr>_Toc344672691</vt:lpwstr>
      </vt:variant>
      <vt:variant>
        <vt:i4>1966129</vt:i4>
      </vt:variant>
      <vt:variant>
        <vt:i4>419</vt:i4>
      </vt:variant>
      <vt:variant>
        <vt:i4>0</vt:i4>
      </vt:variant>
      <vt:variant>
        <vt:i4>5</vt:i4>
      </vt:variant>
      <vt:variant>
        <vt:lpwstr/>
      </vt:variant>
      <vt:variant>
        <vt:lpwstr>_Toc344673182</vt:lpwstr>
      </vt:variant>
      <vt:variant>
        <vt:i4>1966129</vt:i4>
      </vt:variant>
      <vt:variant>
        <vt:i4>413</vt:i4>
      </vt:variant>
      <vt:variant>
        <vt:i4>0</vt:i4>
      </vt:variant>
      <vt:variant>
        <vt:i4>5</vt:i4>
      </vt:variant>
      <vt:variant>
        <vt:lpwstr/>
      </vt:variant>
      <vt:variant>
        <vt:lpwstr>_Toc344673181</vt:lpwstr>
      </vt:variant>
      <vt:variant>
        <vt:i4>1966129</vt:i4>
      </vt:variant>
      <vt:variant>
        <vt:i4>407</vt:i4>
      </vt:variant>
      <vt:variant>
        <vt:i4>0</vt:i4>
      </vt:variant>
      <vt:variant>
        <vt:i4>5</vt:i4>
      </vt:variant>
      <vt:variant>
        <vt:lpwstr/>
      </vt:variant>
      <vt:variant>
        <vt:lpwstr>_Toc344673180</vt:lpwstr>
      </vt:variant>
      <vt:variant>
        <vt:i4>1114161</vt:i4>
      </vt:variant>
      <vt:variant>
        <vt:i4>401</vt:i4>
      </vt:variant>
      <vt:variant>
        <vt:i4>0</vt:i4>
      </vt:variant>
      <vt:variant>
        <vt:i4>5</vt:i4>
      </vt:variant>
      <vt:variant>
        <vt:lpwstr/>
      </vt:variant>
      <vt:variant>
        <vt:lpwstr>_Toc344673179</vt:lpwstr>
      </vt:variant>
      <vt:variant>
        <vt:i4>1114161</vt:i4>
      </vt:variant>
      <vt:variant>
        <vt:i4>395</vt:i4>
      </vt:variant>
      <vt:variant>
        <vt:i4>0</vt:i4>
      </vt:variant>
      <vt:variant>
        <vt:i4>5</vt:i4>
      </vt:variant>
      <vt:variant>
        <vt:lpwstr/>
      </vt:variant>
      <vt:variant>
        <vt:lpwstr>_Toc344673178</vt:lpwstr>
      </vt:variant>
      <vt:variant>
        <vt:i4>2031670</vt:i4>
      </vt:variant>
      <vt:variant>
        <vt:i4>390</vt:i4>
      </vt:variant>
      <vt:variant>
        <vt:i4>0</vt:i4>
      </vt:variant>
      <vt:variant>
        <vt:i4>5</vt:i4>
      </vt:variant>
      <vt:variant>
        <vt:lpwstr/>
      </vt:variant>
      <vt:variant>
        <vt:lpwstr>_Toc344672685</vt:lpwstr>
      </vt:variant>
      <vt:variant>
        <vt:i4>2031670</vt:i4>
      </vt:variant>
      <vt:variant>
        <vt:i4>387</vt:i4>
      </vt:variant>
      <vt:variant>
        <vt:i4>0</vt:i4>
      </vt:variant>
      <vt:variant>
        <vt:i4>5</vt:i4>
      </vt:variant>
      <vt:variant>
        <vt:lpwstr/>
      </vt:variant>
      <vt:variant>
        <vt:lpwstr>_Toc344672684</vt:lpwstr>
      </vt:variant>
      <vt:variant>
        <vt:i4>1966128</vt:i4>
      </vt:variant>
      <vt:variant>
        <vt:i4>380</vt:i4>
      </vt:variant>
      <vt:variant>
        <vt:i4>0</vt:i4>
      </vt:variant>
      <vt:variant>
        <vt:i4>5</vt:i4>
      </vt:variant>
      <vt:variant>
        <vt:lpwstr/>
      </vt:variant>
      <vt:variant>
        <vt:lpwstr>_Toc344673085</vt:lpwstr>
      </vt:variant>
      <vt:variant>
        <vt:i4>1966128</vt:i4>
      </vt:variant>
      <vt:variant>
        <vt:i4>374</vt:i4>
      </vt:variant>
      <vt:variant>
        <vt:i4>0</vt:i4>
      </vt:variant>
      <vt:variant>
        <vt:i4>5</vt:i4>
      </vt:variant>
      <vt:variant>
        <vt:lpwstr/>
      </vt:variant>
      <vt:variant>
        <vt:lpwstr>_Toc344673084</vt:lpwstr>
      </vt:variant>
      <vt:variant>
        <vt:i4>1966128</vt:i4>
      </vt:variant>
      <vt:variant>
        <vt:i4>368</vt:i4>
      </vt:variant>
      <vt:variant>
        <vt:i4>0</vt:i4>
      </vt:variant>
      <vt:variant>
        <vt:i4>5</vt:i4>
      </vt:variant>
      <vt:variant>
        <vt:lpwstr/>
      </vt:variant>
      <vt:variant>
        <vt:lpwstr>_Toc344673083</vt:lpwstr>
      </vt:variant>
      <vt:variant>
        <vt:i4>1966128</vt:i4>
      </vt:variant>
      <vt:variant>
        <vt:i4>362</vt:i4>
      </vt:variant>
      <vt:variant>
        <vt:i4>0</vt:i4>
      </vt:variant>
      <vt:variant>
        <vt:i4>5</vt:i4>
      </vt:variant>
      <vt:variant>
        <vt:lpwstr/>
      </vt:variant>
      <vt:variant>
        <vt:lpwstr>_Toc344673082</vt:lpwstr>
      </vt:variant>
      <vt:variant>
        <vt:i4>1048630</vt:i4>
      </vt:variant>
      <vt:variant>
        <vt:i4>357</vt:i4>
      </vt:variant>
      <vt:variant>
        <vt:i4>0</vt:i4>
      </vt:variant>
      <vt:variant>
        <vt:i4>5</vt:i4>
      </vt:variant>
      <vt:variant>
        <vt:lpwstr/>
      </vt:variant>
      <vt:variant>
        <vt:lpwstr>_Toc344672676</vt:lpwstr>
      </vt:variant>
      <vt:variant>
        <vt:i4>1048630</vt:i4>
      </vt:variant>
      <vt:variant>
        <vt:i4>354</vt:i4>
      </vt:variant>
      <vt:variant>
        <vt:i4>0</vt:i4>
      </vt:variant>
      <vt:variant>
        <vt:i4>5</vt:i4>
      </vt:variant>
      <vt:variant>
        <vt:lpwstr/>
      </vt:variant>
      <vt:variant>
        <vt:lpwstr>_Toc344672675</vt:lpwstr>
      </vt:variant>
      <vt:variant>
        <vt:i4>1310773</vt:i4>
      </vt:variant>
      <vt:variant>
        <vt:i4>347</vt:i4>
      </vt:variant>
      <vt:variant>
        <vt:i4>0</vt:i4>
      </vt:variant>
      <vt:variant>
        <vt:i4>5</vt:i4>
      </vt:variant>
      <vt:variant>
        <vt:lpwstr/>
      </vt:variant>
      <vt:variant>
        <vt:lpwstr>_Toc344716362</vt:lpwstr>
      </vt:variant>
      <vt:variant>
        <vt:i4>1310773</vt:i4>
      </vt:variant>
      <vt:variant>
        <vt:i4>341</vt:i4>
      </vt:variant>
      <vt:variant>
        <vt:i4>0</vt:i4>
      </vt:variant>
      <vt:variant>
        <vt:i4>5</vt:i4>
      </vt:variant>
      <vt:variant>
        <vt:lpwstr/>
      </vt:variant>
      <vt:variant>
        <vt:lpwstr>_Toc344716361</vt:lpwstr>
      </vt:variant>
      <vt:variant>
        <vt:i4>1310773</vt:i4>
      </vt:variant>
      <vt:variant>
        <vt:i4>335</vt:i4>
      </vt:variant>
      <vt:variant>
        <vt:i4>0</vt:i4>
      </vt:variant>
      <vt:variant>
        <vt:i4>5</vt:i4>
      </vt:variant>
      <vt:variant>
        <vt:lpwstr/>
      </vt:variant>
      <vt:variant>
        <vt:lpwstr>_Toc344716360</vt:lpwstr>
      </vt:variant>
      <vt:variant>
        <vt:i4>1507381</vt:i4>
      </vt:variant>
      <vt:variant>
        <vt:i4>329</vt:i4>
      </vt:variant>
      <vt:variant>
        <vt:i4>0</vt:i4>
      </vt:variant>
      <vt:variant>
        <vt:i4>5</vt:i4>
      </vt:variant>
      <vt:variant>
        <vt:lpwstr/>
      </vt:variant>
      <vt:variant>
        <vt:lpwstr>_Toc344716359</vt:lpwstr>
      </vt:variant>
      <vt:variant>
        <vt:i4>1507381</vt:i4>
      </vt:variant>
      <vt:variant>
        <vt:i4>323</vt:i4>
      </vt:variant>
      <vt:variant>
        <vt:i4>0</vt:i4>
      </vt:variant>
      <vt:variant>
        <vt:i4>5</vt:i4>
      </vt:variant>
      <vt:variant>
        <vt:lpwstr/>
      </vt:variant>
      <vt:variant>
        <vt:lpwstr>_Toc344716358</vt:lpwstr>
      </vt:variant>
      <vt:variant>
        <vt:i4>1507381</vt:i4>
      </vt:variant>
      <vt:variant>
        <vt:i4>317</vt:i4>
      </vt:variant>
      <vt:variant>
        <vt:i4>0</vt:i4>
      </vt:variant>
      <vt:variant>
        <vt:i4>5</vt:i4>
      </vt:variant>
      <vt:variant>
        <vt:lpwstr/>
      </vt:variant>
      <vt:variant>
        <vt:lpwstr>_Toc344716357</vt:lpwstr>
      </vt:variant>
      <vt:variant>
        <vt:i4>1507381</vt:i4>
      </vt:variant>
      <vt:variant>
        <vt:i4>311</vt:i4>
      </vt:variant>
      <vt:variant>
        <vt:i4>0</vt:i4>
      </vt:variant>
      <vt:variant>
        <vt:i4>5</vt:i4>
      </vt:variant>
      <vt:variant>
        <vt:lpwstr/>
      </vt:variant>
      <vt:variant>
        <vt:lpwstr>_Toc344716356</vt:lpwstr>
      </vt:variant>
      <vt:variant>
        <vt:i4>1507381</vt:i4>
      </vt:variant>
      <vt:variant>
        <vt:i4>305</vt:i4>
      </vt:variant>
      <vt:variant>
        <vt:i4>0</vt:i4>
      </vt:variant>
      <vt:variant>
        <vt:i4>5</vt:i4>
      </vt:variant>
      <vt:variant>
        <vt:lpwstr/>
      </vt:variant>
      <vt:variant>
        <vt:lpwstr>_Toc344716355</vt:lpwstr>
      </vt:variant>
      <vt:variant>
        <vt:i4>1507381</vt:i4>
      </vt:variant>
      <vt:variant>
        <vt:i4>299</vt:i4>
      </vt:variant>
      <vt:variant>
        <vt:i4>0</vt:i4>
      </vt:variant>
      <vt:variant>
        <vt:i4>5</vt:i4>
      </vt:variant>
      <vt:variant>
        <vt:lpwstr/>
      </vt:variant>
      <vt:variant>
        <vt:lpwstr>_Toc344716354</vt:lpwstr>
      </vt:variant>
      <vt:variant>
        <vt:i4>1507381</vt:i4>
      </vt:variant>
      <vt:variant>
        <vt:i4>293</vt:i4>
      </vt:variant>
      <vt:variant>
        <vt:i4>0</vt:i4>
      </vt:variant>
      <vt:variant>
        <vt:i4>5</vt:i4>
      </vt:variant>
      <vt:variant>
        <vt:lpwstr/>
      </vt:variant>
      <vt:variant>
        <vt:lpwstr>_Toc344716353</vt:lpwstr>
      </vt:variant>
      <vt:variant>
        <vt:i4>1507381</vt:i4>
      </vt:variant>
      <vt:variant>
        <vt:i4>287</vt:i4>
      </vt:variant>
      <vt:variant>
        <vt:i4>0</vt:i4>
      </vt:variant>
      <vt:variant>
        <vt:i4>5</vt:i4>
      </vt:variant>
      <vt:variant>
        <vt:lpwstr/>
      </vt:variant>
      <vt:variant>
        <vt:lpwstr>_Toc344716352</vt:lpwstr>
      </vt:variant>
      <vt:variant>
        <vt:i4>1507381</vt:i4>
      </vt:variant>
      <vt:variant>
        <vt:i4>281</vt:i4>
      </vt:variant>
      <vt:variant>
        <vt:i4>0</vt:i4>
      </vt:variant>
      <vt:variant>
        <vt:i4>5</vt:i4>
      </vt:variant>
      <vt:variant>
        <vt:lpwstr/>
      </vt:variant>
      <vt:variant>
        <vt:lpwstr>_Toc344716351</vt:lpwstr>
      </vt:variant>
      <vt:variant>
        <vt:i4>1507381</vt:i4>
      </vt:variant>
      <vt:variant>
        <vt:i4>275</vt:i4>
      </vt:variant>
      <vt:variant>
        <vt:i4>0</vt:i4>
      </vt:variant>
      <vt:variant>
        <vt:i4>5</vt:i4>
      </vt:variant>
      <vt:variant>
        <vt:lpwstr/>
      </vt:variant>
      <vt:variant>
        <vt:lpwstr>_Toc344716350</vt:lpwstr>
      </vt:variant>
      <vt:variant>
        <vt:i4>1441845</vt:i4>
      </vt:variant>
      <vt:variant>
        <vt:i4>269</vt:i4>
      </vt:variant>
      <vt:variant>
        <vt:i4>0</vt:i4>
      </vt:variant>
      <vt:variant>
        <vt:i4>5</vt:i4>
      </vt:variant>
      <vt:variant>
        <vt:lpwstr/>
      </vt:variant>
      <vt:variant>
        <vt:lpwstr>_Toc344716349</vt:lpwstr>
      </vt:variant>
      <vt:variant>
        <vt:i4>1441845</vt:i4>
      </vt:variant>
      <vt:variant>
        <vt:i4>263</vt:i4>
      </vt:variant>
      <vt:variant>
        <vt:i4>0</vt:i4>
      </vt:variant>
      <vt:variant>
        <vt:i4>5</vt:i4>
      </vt:variant>
      <vt:variant>
        <vt:lpwstr/>
      </vt:variant>
      <vt:variant>
        <vt:lpwstr>_Toc344716348</vt:lpwstr>
      </vt:variant>
      <vt:variant>
        <vt:i4>1441845</vt:i4>
      </vt:variant>
      <vt:variant>
        <vt:i4>257</vt:i4>
      </vt:variant>
      <vt:variant>
        <vt:i4>0</vt:i4>
      </vt:variant>
      <vt:variant>
        <vt:i4>5</vt:i4>
      </vt:variant>
      <vt:variant>
        <vt:lpwstr/>
      </vt:variant>
      <vt:variant>
        <vt:lpwstr>_Toc344716347</vt:lpwstr>
      </vt:variant>
      <vt:variant>
        <vt:i4>1441845</vt:i4>
      </vt:variant>
      <vt:variant>
        <vt:i4>251</vt:i4>
      </vt:variant>
      <vt:variant>
        <vt:i4>0</vt:i4>
      </vt:variant>
      <vt:variant>
        <vt:i4>5</vt:i4>
      </vt:variant>
      <vt:variant>
        <vt:lpwstr/>
      </vt:variant>
      <vt:variant>
        <vt:lpwstr>_Toc344716346</vt:lpwstr>
      </vt:variant>
      <vt:variant>
        <vt:i4>1441845</vt:i4>
      </vt:variant>
      <vt:variant>
        <vt:i4>245</vt:i4>
      </vt:variant>
      <vt:variant>
        <vt:i4>0</vt:i4>
      </vt:variant>
      <vt:variant>
        <vt:i4>5</vt:i4>
      </vt:variant>
      <vt:variant>
        <vt:lpwstr/>
      </vt:variant>
      <vt:variant>
        <vt:lpwstr>_Toc344716345</vt:lpwstr>
      </vt:variant>
      <vt:variant>
        <vt:i4>1441845</vt:i4>
      </vt:variant>
      <vt:variant>
        <vt:i4>239</vt:i4>
      </vt:variant>
      <vt:variant>
        <vt:i4>0</vt:i4>
      </vt:variant>
      <vt:variant>
        <vt:i4>5</vt:i4>
      </vt:variant>
      <vt:variant>
        <vt:lpwstr/>
      </vt:variant>
      <vt:variant>
        <vt:lpwstr>_Toc344716344</vt:lpwstr>
      </vt:variant>
      <vt:variant>
        <vt:i4>1441845</vt:i4>
      </vt:variant>
      <vt:variant>
        <vt:i4>233</vt:i4>
      </vt:variant>
      <vt:variant>
        <vt:i4>0</vt:i4>
      </vt:variant>
      <vt:variant>
        <vt:i4>5</vt:i4>
      </vt:variant>
      <vt:variant>
        <vt:lpwstr/>
      </vt:variant>
      <vt:variant>
        <vt:lpwstr>_Toc344716343</vt:lpwstr>
      </vt:variant>
      <vt:variant>
        <vt:i4>1441845</vt:i4>
      </vt:variant>
      <vt:variant>
        <vt:i4>227</vt:i4>
      </vt:variant>
      <vt:variant>
        <vt:i4>0</vt:i4>
      </vt:variant>
      <vt:variant>
        <vt:i4>5</vt:i4>
      </vt:variant>
      <vt:variant>
        <vt:lpwstr/>
      </vt:variant>
      <vt:variant>
        <vt:lpwstr>_Toc344716342</vt:lpwstr>
      </vt:variant>
      <vt:variant>
        <vt:i4>1441845</vt:i4>
      </vt:variant>
      <vt:variant>
        <vt:i4>221</vt:i4>
      </vt:variant>
      <vt:variant>
        <vt:i4>0</vt:i4>
      </vt:variant>
      <vt:variant>
        <vt:i4>5</vt:i4>
      </vt:variant>
      <vt:variant>
        <vt:lpwstr/>
      </vt:variant>
      <vt:variant>
        <vt:lpwstr>_Toc344716341</vt:lpwstr>
      </vt:variant>
      <vt:variant>
        <vt:i4>1441845</vt:i4>
      </vt:variant>
      <vt:variant>
        <vt:i4>215</vt:i4>
      </vt:variant>
      <vt:variant>
        <vt:i4>0</vt:i4>
      </vt:variant>
      <vt:variant>
        <vt:i4>5</vt:i4>
      </vt:variant>
      <vt:variant>
        <vt:lpwstr/>
      </vt:variant>
      <vt:variant>
        <vt:lpwstr>_Toc344716340</vt:lpwstr>
      </vt:variant>
      <vt:variant>
        <vt:i4>1114165</vt:i4>
      </vt:variant>
      <vt:variant>
        <vt:i4>209</vt:i4>
      </vt:variant>
      <vt:variant>
        <vt:i4>0</vt:i4>
      </vt:variant>
      <vt:variant>
        <vt:i4>5</vt:i4>
      </vt:variant>
      <vt:variant>
        <vt:lpwstr/>
      </vt:variant>
      <vt:variant>
        <vt:lpwstr>_Toc344716339</vt:lpwstr>
      </vt:variant>
      <vt:variant>
        <vt:i4>1114165</vt:i4>
      </vt:variant>
      <vt:variant>
        <vt:i4>203</vt:i4>
      </vt:variant>
      <vt:variant>
        <vt:i4>0</vt:i4>
      </vt:variant>
      <vt:variant>
        <vt:i4>5</vt:i4>
      </vt:variant>
      <vt:variant>
        <vt:lpwstr/>
      </vt:variant>
      <vt:variant>
        <vt:lpwstr>_Toc344716338</vt:lpwstr>
      </vt:variant>
      <vt:variant>
        <vt:i4>1114165</vt:i4>
      </vt:variant>
      <vt:variant>
        <vt:i4>197</vt:i4>
      </vt:variant>
      <vt:variant>
        <vt:i4>0</vt:i4>
      </vt:variant>
      <vt:variant>
        <vt:i4>5</vt:i4>
      </vt:variant>
      <vt:variant>
        <vt:lpwstr/>
      </vt:variant>
      <vt:variant>
        <vt:lpwstr>_Toc344716337</vt:lpwstr>
      </vt:variant>
      <vt:variant>
        <vt:i4>1114165</vt:i4>
      </vt:variant>
      <vt:variant>
        <vt:i4>191</vt:i4>
      </vt:variant>
      <vt:variant>
        <vt:i4>0</vt:i4>
      </vt:variant>
      <vt:variant>
        <vt:i4>5</vt:i4>
      </vt:variant>
      <vt:variant>
        <vt:lpwstr/>
      </vt:variant>
      <vt:variant>
        <vt:lpwstr>_Toc344716336</vt:lpwstr>
      </vt:variant>
      <vt:variant>
        <vt:i4>1114165</vt:i4>
      </vt:variant>
      <vt:variant>
        <vt:i4>185</vt:i4>
      </vt:variant>
      <vt:variant>
        <vt:i4>0</vt:i4>
      </vt:variant>
      <vt:variant>
        <vt:i4>5</vt:i4>
      </vt:variant>
      <vt:variant>
        <vt:lpwstr/>
      </vt:variant>
      <vt:variant>
        <vt:lpwstr>_Toc344716335</vt:lpwstr>
      </vt:variant>
      <vt:variant>
        <vt:i4>1114165</vt:i4>
      </vt:variant>
      <vt:variant>
        <vt:i4>179</vt:i4>
      </vt:variant>
      <vt:variant>
        <vt:i4>0</vt:i4>
      </vt:variant>
      <vt:variant>
        <vt:i4>5</vt:i4>
      </vt:variant>
      <vt:variant>
        <vt:lpwstr/>
      </vt:variant>
      <vt:variant>
        <vt:lpwstr>_Toc344716334</vt:lpwstr>
      </vt:variant>
      <vt:variant>
        <vt:i4>1114165</vt:i4>
      </vt:variant>
      <vt:variant>
        <vt:i4>173</vt:i4>
      </vt:variant>
      <vt:variant>
        <vt:i4>0</vt:i4>
      </vt:variant>
      <vt:variant>
        <vt:i4>5</vt:i4>
      </vt:variant>
      <vt:variant>
        <vt:lpwstr/>
      </vt:variant>
      <vt:variant>
        <vt:lpwstr>_Toc344716333</vt:lpwstr>
      </vt:variant>
      <vt:variant>
        <vt:i4>1114165</vt:i4>
      </vt:variant>
      <vt:variant>
        <vt:i4>167</vt:i4>
      </vt:variant>
      <vt:variant>
        <vt:i4>0</vt:i4>
      </vt:variant>
      <vt:variant>
        <vt:i4>5</vt:i4>
      </vt:variant>
      <vt:variant>
        <vt:lpwstr/>
      </vt:variant>
      <vt:variant>
        <vt:lpwstr>_Toc344716332</vt:lpwstr>
      </vt:variant>
      <vt:variant>
        <vt:i4>1114165</vt:i4>
      </vt:variant>
      <vt:variant>
        <vt:i4>161</vt:i4>
      </vt:variant>
      <vt:variant>
        <vt:i4>0</vt:i4>
      </vt:variant>
      <vt:variant>
        <vt:i4>5</vt:i4>
      </vt:variant>
      <vt:variant>
        <vt:lpwstr/>
      </vt:variant>
      <vt:variant>
        <vt:lpwstr>_Toc344716331</vt:lpwstr>
      </vt:variant>
      <vt:variant>
        <vt:i4>1114165</vt:i4>
      </vt:variant>
      <vt:variant>
        <vt:i4>155</vt:i4>
      </vt:variant>
      <vt:variant>
        <vt:i4>0</vt:i4>
      </vt:variant>
      <vt:variant>
        <vt:i4>5</vt:i4>
      </vt:variant>
      <vt:variant>
        <vt:lpwstr/>
      </vt:variant>
      <vt:variant>
        <vt:lpwstr>_Toc344716330</vt:lpwstr>
      </vt:variant>
      <vt:variant>
        <vt:i4>1048629</vt:i4>
      </vt:variant>
      <vt:variant>
        <vt:i4>149</vt:i4>
      </vt:variant>
      <vt:variant>
        <vt:i4>0</vt:i4>
      </vt:variant>
      <vt:variant>
        <vt:i4>5</vt:i4>
      </vt:variant>
      <vt:variant>
        <vt:lpwstr/>
      </vt:variant>
      <vt:variant>
        <vt:lpwstr>_Toc344716329</vt:lpwstr>
      </vt:variant>
      <vt:variant>
        <vt:i4>1048629</vt:i4>
      </vt:variant>
      <vt:variant>
        <vt:i4>143</vt:i4>
      </vt:variant>
      <vt:variant>
        <vt:i4>0</vt:i4>
      </vt:variant>
      <vt:variant>
        <vt:i4>5</vt:i4>
      </vt:variant>
      <vt:variant>
        <vt:lpwstr/>
      </vt:variant>
      <vt:variant>
        <vt:lpwstr>_Toc344716328</vt:lpwstr>
      </vt:variant>
      <vt:variant>
        <vt:i4>1048629</vt:i4>
      </vt:variant>
      <vt:variant>
        <vt:i4>137</vt:i4>
      </vt:variant>
      <vt:variant>
        <vt:i4>0</vt:i4>
      </vt:variant>
      <vt:variant>
        <vt:i4>5</vt:i4>
      </vt:variant>
      <vt:variant>
        <vt:lpwstr/>
      </vt:variant>
      <vt:variant>
        <vt:lpwstr>_Toc344716327</vt:lpwstr>
      </vt:variant>
      <vt:variant>
        <vt:i4>1048629</vt:i4>
      </vt:variant>
      <vt:variant>
        <vt:i4>131</vt:i4>
      </vt:variant>
      <vt:variant>
        <vt:i4>0</vt:i4>
      </vt:variant>
      <vt:variant>
        <vt:i4>5</vt:i4>
      </vt:variant>
      <vt:variant>
        <vt:lpwstr/>
      </vt:variant>
      <vt:variant>
        <vt:lpwstr>_Toc344716326</vt:lpwstr>
      </vt:variant>
      <vt:variant>
        <vt:i4>1048629</vt:i4>
      </vt:variant>
      <vt:variant>
        <vt:i4>125</vt:i4>
      </vt:variant>
      <vt:variant>
        <vt:i4>0</vt:i4>
      </vt:variant>
      <vt:variant>
        <vt:i4>5</vt:i4>
      </vt:variant>
      <vt:variant>
        <vt:lpwstr/>
      </vt:variant>
      <vt:variant>
        <vt:lpwstr>_Toc344716325</vt:lpwstr>
      </vt:variant>
      <vt:variant>
        <vt:i4>1048629</vt:i4>
      </vt:variant>
      <vt:variant>
        <vt:i4>119</vt:i4>
      </vt:variant>
      <vt:variant>
        <vt:i4>0</vt:i4>
      </vt:variant>
      <vt:variant>
        <vt:i4>5</vt:i4>
      </vt:variant>
      <vt:variant>
        <vt:lpwstr/>
      </vt:variant>
      <vt:variant>
        <vt:lpwstr>_Toc344716324</vt:lpwstr>
      </vt:variant>
      <vt:variant>
        <vt:i4>1048629</vt:i4>
      </vt:variant>
      <vt:variant>
        <vt:i4>113</vt:i4>
      </vt:variant>
      <vt:variant>
        <vt:i4>0</vt:i4>
      </vt:variant>
      <vt:variant>
        <vt:i4>5</vt:i4>
      </vt:variant>
      <vt:variant>
        <vt:lpwstr/>
      </vt:variant>
      <vt:variant>
        <vt:lpwstr>_Toc344716323</vt:lpwstr>
      </vt:variant>
      <vt:variant>
        <vt:i4>1048629</vt:i4>
      </vt:variant>
      <vt:variant>
        <vt:i4>107</vt:i4>
      </vt:variant>
      <vt:variant>
        <vt:i4>0</vt:i4>
      </vt:variant>
      <vt:variant>
        <vt:i4>5</vt:i4>
      </vt:variant>
      <vt:variant>
        <vt:lpwstr/>
      </vt:variant>
      <vt:variant>
        <vt:lpwstr>_Toc344716322</vt:lpwstr>
      </vt:variant>
      <vt:variant>
        <vt:i4>1048629</vt:i4>
      </vt:variant>
      <vt:variant>
        <vt:i4>101</vt:i4>
      </vt:variant>
      <vt:variant>
        <vt:i4>0</vt:i4>
      </vt:variant>
      <vt:variant>
        <vt:i4>5</vt:i4>
      </vt:variant>
      <vt:variant>
        <vt:lpwstr/>
      </vt:variant>
      <vt:variant>
        <vt:lpwstr>_Toc344716321</vt:lpwstr>
      </vt:variant>
      <vt:variant>
        <vt:i4>1048629</vt:i4>
      </vt:variant>
      <vt:variant>
        <vt:i4>95</vt:i4>
      </vt:variant>
      <vt:variant>
        <vt:i4>0</vt:i4>
      </vt:variant>
      <vt:variant>
        <vt:i4>5</vt:i4>
      </vt:variant>
      <vt:variant>
        <vt:lpwstr/>
      </vt:variant>
      <vt:variant>
        <vt:lpwstr>_Toc344716320</vt:lpwstr>
      </vt:variant>
      <vt:variant>
        <vt:i4>1245237</vt:i4>
      </vt:variant>
      <vt:variant>
        <vt:i4>89</vt:i4>
      </vt:variant>
      <vt:variant>
        <vt:i4>0</vt:i4>
      </vt:variant>
      <vt:variant>
        <vt:i4>5</vt:i4>
      </vt:variant>
      <vt:variant>
        <vt:lpwstr/>
      </vt:variant>
      <vt:variant>
        <vt:lpwstr>_Toc344716319</vt:lpwstr>
      </vt:variant>
      <vt:variant>
        <vt:i4>1245237</vt:i4>
      </vt:variant>
      <vt:variant>
        <vt:i4>83</vt:i4>
      </vt:variant>
      <vt:variant>
        <vt:i4>0</vt:i4>
      </vt:variant>
      <vt:variant>
        <vt:i4>5</vt:i4>
      </vt:variant>
      <vt:variant>
        <vt:lpwstr/>
      </vt:variant>
      <vt:variant>
        <vt:lpwstr>_Toc344716318</vt:lpwstr>
      </vt:variant>
      <vt:variant>
        <vt:i4>1245237</vt:i4>
      </vt:variant>
      <vt:variant>
        <vt:i4>77</vt:i4>
      </vt:variant>
      <vt:variant>
        <vt:i4>0</vt:i4>
      </vt:variant>
      <vt:variant>
        <vt:i4>5</vt:i4>
      </vt:variant>
      <vt:variant>
        <vt:lpwstr/>
      </vt:variant>
      <vt:variant>
        <vt:lpwstr>_Toc344716317</vt:lpwstr>
      </vt:variant>
      <vt:variant>
        <vt:i4>1245237</vt:i4>
      </vt:variant>
      <vt:variant>
        <vt:i4>71</vt:i4>
      </vt:variant>
      <vt:variant>
        <vt:i4>0</vt:i4>
      </vt:variant>
      <vt:variant>
        <vt:i4>5</vt:i4>
      </vt:variant>
      <vt:variant>
        <vt:lpwstr/>
      </vt:variant>
      <vt:variant>
        <vt:lpwstr>_Toc344716316</vt:lpwstr>
      </vt:variant>
      <vt:variant>
        <vt:i4>1245237</vt:i4>
      </vt:variant>
      <vt:variant>
        <vt:i4>65</vt:i4>
      </vt:variant>
      <vt:variant>
        <vt:i4>0</vt:i4>
      </vt:variant>
      <vt:variant>
        <vt:i4>5</vt:i4>
      </vt:variant>
      <vt:variant>
        <vt:lpwstr/>
      </vt:variant>
      <vt:variant>
        <vt:lpwstr>_Toc344716315</vt:lpwstr>
      </vt:variant>
      <vt:variant>
        <vt:i4>1245237</vt:i4>
      </vt:variant>
      <vt:variant>
        <vt:i4>59</vt:i4>
      </vt:variant>
      <vt:variant>
        <vt:i4>0</vt:i4>
      </vt:variant>
      <vt:variant>
        <vt:i4>5</vt:i4>
      </vt:variant>
      <vt:variant>
        <vt:lpwstr/>
      </vt:variant>
      <vt:variant>
        <vt:lpwstr>_Toc344716314</vt:lpwstr>
      </vt:variant>
      <vt:variant>
        <vt:i4>1245237</vt:i4>
      </vt:variant>
      <vt:variant>
        <vt:i4>53</vt:i4>
      </vt:variant>
      <vt:variant>
        <vt:i4>0</vt:i4>
      </vt:variant>
      <vt:variant>
        <vt:i4>5</vt:i4>
      </vt:variant>
      <vt:variant>
        <vt:lpwstr/>
      </vt:variant>
      <vt:variant>
        <vt:lpwstr>_Toc344716313</vt:lpwstr>
      </vt:variant>
      <vt:variant>
        <vt:i4>1245237</vt:i4>
      </vt:variant>
      <vt:variant>
        <vt:i4>47</vt:i4>
      </vt:variant>
      <vt:variant>
        <vt:i4>0</vt:i4>
      </vt:variant>
      <vt:variant>
        <vt:i4>5</vt:i4>
      </vt:variant>
      <vt:variant>
        <vt:lpwstr/>
      </vt:variant>
      <vt:variant>
        <vt:lpwstr>_Toc344716312</vt:lpwstr>
      </vt:variant>
      <vt:variant>
        <vt:i4>1245237</vt:i4>
      </vt:variant>
      <vt:variant>
        <vt:i4>41</vt:i4>
      </vt:variant>
      <vt:variant>
        <vt:i4>0</vt:i4>
      </vt:variant>
      <vt:variant>
        <vt:i4>5</vt:i4>
      </vt:variant>
      <vt:variant>
        <vt:lpwstr/>
      </vt:variant>
      <vt:variant>
        <vt:lpwstr>_Toc344716311</vt:lpwstr>
      </vt:variant>
      <vt:variant>
        <vt:i4>1245237</vt:i4>
      </vt:variant>
      <vt:variant>
        <vt:i4>35</vt:i4>
      </vt:variant>
      <vt:variant>
        <vt:i4>0</vt:i4>
      </vt:variant>
      <vt:variant>
        <vt:i4>5</vt:i4>
      </vt:variant>
      <vt:variant>
        <vt:lpwstr/>
      </vt:variant>
      <vt:variant>
        <vt:lpwstr>_Toc344716310</vt:lpwstr>
      </vt:variant>
      <vt:variant>
        <vt:i4>1179701</vt:i4>
      </vt:variant>
      <vt:variant>
        <vt:i4>29</vt:i4>
      </vt:variant>
      <vt:variant>
        <vt:i4>0</vt:i4>
      </vt:variant>
      <vt:variant>
        <vt:i4>5</vt:i4>
      </vt:variant>
      <vt:variant>
        <vt:lpwstr/>
      </vt:variant>
      <vt:variant>
        <vt:lpwstr>_Toc344716309</vt:lpwstr>
      </vt:variant>
      <vt:variant>
        <vt:i4>1179701</vt:i4>
      </vt:variant>
      <vt:variant>
        <vt:i4>23</vt:i4>
      </vt:variant>
      <vt:variant>
        <vt:i4>0</vt:i4>
      </vt:variant>
      <vt:variant>
        <vt:i4>5</vt:i4>
      </vt:variant>
      <vt:variant>
        <vt:lpwstr/>
      </vt:variant>
      <vt:variant>
        <vt:lpwstr>_Toc344716308</vt:lpwstr>
      </vt:variant>
      <vt:variant>
        <vt:i4>1179701</vt:i4>
      </vt:variant>
      <vt:variant>
        <vt:i4>17</vt:i4>
      </vt:variant>
      <vt:variant>
        <vt:i4>0</vt:i4>
      </vt:variant>
      <vt:variant>
        <vt:i4>5</vt:i4>
      </vt:variant>
      <vt:variant>
        <vt:lpwstr/>
      </vt:variant>
      <vt:variant>
        <vt:lpwstr>_Toc344716307</vt:lpwstr>
      </vt:variant>
      <vt:variant>
        <vt:i4>1179701</vt:i4>
      </vt:variant>
      <vt:variant>
        <vt:i4>11</vt:i4>
      </vt:variant>
      <vt:variant>
        <vt:i4>0</vt:i4>
      </vt:variant>
      <vt:variant>
        <vt:i4>5</vt:i4>
      </vt:variant>
      <vt:variant>
        <vt:lpwstr/>
      </vt:variant>
      <vt:variant>
        <vt:lpwstr>_Toc344716306</vt:lpwstr>
      </vt:variant>
      <vt:variant>
        <vt:i4>1179701</vt:i4>
      </vt:variant>
      <vt:variant>
        <vt:i4>5</vt:i4>
      </vt:variant>
      <vt:variant>
        <vt:i4>0</vt:i4>
      </vt:variant>
      <vt:variant>
        <vt:i4>5</vt:i4>
      </vt:variant>
      <vt:variant>
        <vt:lpwstr/>
      </vt:variant>
      <vt:variant>
        <vt:lpwstr>_Toc344716305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MEDEDJI</dc:creator>
  <cp:lastModifiedBy>insae</cp:lastModifiedBy>
  <cp:revision>2</cp:revision>
  <cp:lastPrinted>2014-07-07T17:49:00Z</cp:lastPrinted>
  <dcterms:created xsi:type="dcterms:W3CDTF">2016-01-16T06:10:00Z</dcterms:created>
  <dcterms:modified xsi:type="dcterms:W3CDTF">2016-01-16T06:10:00Z</dcterms:modified>
</cp:coreProperties>
</file>