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2A4" w:rsidRDefault="00F502A4" w:rsidP="00F502A4">
      <w:pPr>
        <w:jc w:val="center"/>
        <w:rPr>
          <w:rFonts w:ascii="Arial" w:hAnsi="Arial" w:cs="Arial"/>
          <w:b/>
          <w:sz w:val="28"/>
          <w:szCs w:val="28"/>
        </w:rPr>
      </w:pPr>
      <w:r>
        <w:rPr>
          <w:rFonts w:ascii="Arial" w:hAnsi="Arial" w:cs="Arial"/>
          <w:b/>
          <w:sz w:val="28"/>
          <w:szCs w:val="28"/>
        </w:rPr>
        <w:t>LA PRIMATURE</w:t>
      </w:r>
    </w:p>
    <w:p w:rsidR="00F502A4" w:rsidRPr="00504946" w:rsidRDefault="00F502A4" w:rsidP="00F502A4">
      <w:pPr>
        <w:rPr>
          <w:b/>
          <w:sz w:val="6"/>
          <w:szCs w:val="28"/>
        </w:rPr>
      </w:pPr>
    </w:p>
    <w:p w:rsidR="00F502A4" w:rsidRDefault="00F502A4" w:rsidP="00F502A4">
      <w:pPr>
        <w:jc w:val="center"/>
        <w:rPr>
          <w:rFonts w:ascii="Arial" w:hAnsi="Arial" w:cs="Arial"/>
          <w:b/>
          <w:sz w:val="32"/>
          <w:szCs w:val="32"/>
        </w:rPr>
      </w:pPr>
      <w:r>
        <w:rPr>
          <w:rFonts w:ascii="Arial" w:hAnsi="Arial" w:cs="Arial"/>
          <w:b/>
          <w:sz w:val="32"/>
          <w:szCs w:val="32"/>
        </w:rPr>
        <w:t>INSTITUT NATIONAL DE LA STATISTIQUE ET DE L’ANALYSE ECONOMIQUE</w:t>
      </w:r>
    </w:p>
    <w:p w:rsidR="00F502A4" w:rsidRDefault="00F502A4" w:rsidP="00F502A4">
      <w:pPr>
        <w:jc w:val="center"/>
        <w:rPr>
          <w:rFonts w:ascii="Arial" w:hAnsi="Arial" w:cs="Arial"/>
          <w:b/>
          <w:sz w:val="32"/>
          <w:szCs w:val="32"/>
        </w:rPr>
      </w:pPr>
      <w:r>
        <w:rPr>
          <w:rFonts w:ascii="Arial" w:hAnsi="Arial" w:cs="Arial"/>
          <w:b/>
          <w:sz w:val="32"/>
          <w:szCs w:val="32"/>
        </w:rPr>
        <w:t>(INSAE)</w:t>
      </w:r>
    </w:p>
    <w:p w:rsidR="00F502A4" w:rsidRPr="002D3CBA" w:rsidRDefault="00F502A4" w:rsidP="00F502A4">
      <w:pPr>
        <w:pStyle w:val="Corpsdetexte"/>
        <w:suppressAutoHyphens/>
        <w:jc w:val="center"/>
        <w:rPr>
          <w:rFonts w:ascii="Byington" w:hAnsi="Byington" w:cs="FrankRuehl"/>
          <w:bCs/>
          <w:caps/>
          <w:smallCaps/>
          <w:sz w:val="46"/>
          <w:szCs w:val="46"/>
        </w:rPr>
      </w:pPr>
      <w:r w:rsidRPr="002D3CBA">
        <w:rPr>
          <w:rFonts w:ascii="Byington" w:hAnsi="Byington" w:cs="FrankRuehl"/>
          <w:bCs/>
          <w:smallCaps/>
          <w:sz w:val="46"/>
          <w:szCs w:val="46"/>
        </w:rPr>
        <w:t>Enquête Modulaire Intégrée sur les Conditions de Vie des ménages2</w:t>
      </w:r>
      <w:r w:rsidRPr="002D3CBA">
        <w:rPr>
          <w:rFonts w:ascii="Byington" w:hAnsi="Byington" w:cs="FrankRuehl"/>
          <w:bCs/>
          <w:sz w:val="46"/>
          <w:szCs w:val="46"/>
        </w:rPr>
        <w:t>ème</w:t>
      </w:r>
      <w:r w:rsidRPr="002D3CBA">
        <w:rPr>
          <w:rFonts w:ascii="Byington" w:hAnsi="Byington" w:cs="FrankRuehl"/>
          <w:bCs/>
          <w:smallCaps/>
          <w:sz w:val="46"/>
          <w:szCs w:val="46"/>
        </w:rPr>
        <w:t xml:space="preserve"> Édition</w:t>
      </w:r>
    </w:p>
    <w:p w:rsidR="00F502A4" w:rsidRDefault="00F502A4" w:rsidP="00F502A4">
      <w:pPr>
        <w:pStyle w:val="Corpsdetexte"/>
        <w:suppressAutoHyphens/>
        <w:jc w:val="center"/>
        <w:rPr>
          <w:rFonts w:ascii="Byington" w:hAnsi="Byington" w:cs="FrankRuehl"/>
          <w:b/>
          <w:bCs/>
          <w:sz w:val="56"/>
          <w:szCs w:val="56"/>
        </w:rPr>
      </w:pPr>
      <w:r>
        <w:rPr>
          <w:rFonts w:ascii="Byington" w:hAnsi="Byington" w:cs="FrankRuehl"/>
          <w:b/>
          <w:bCs/>
          <w:sz w:val="56"/>
          <w:szCs w:val="56"/>
        </w:rPr>
        <w:t>(EMICoV-Suivi 2015)</w:t>
      </w:r>
    </w:p>
    <w:p w:rsidR="00F502A4" w:rsidRPr="00B2415B" w:rsidRDefault="00F502A4" w:rsidP="00F502A4">
      <w:pPr>
        <w:jc w:val="center"/>
        <w:rPr>
          <w:rFonts w:ascii="Arial" w:hAnsi="Arial" w:cs="Arial"/>
          <w:b/>
          <w:color w:val="E36C0A"/>
          <w:sz w:val="56"/>
          <w:szCs w:val="56"/>
        </w:rPr>
      </w:pPr>
      <w:r w:rsidRPr="00B2415B">
        <w:rPr>
          <w:rFonts w:ascii="Arial" w:hAnsi="Arial" w:cs="Arial"/>
          <w:b/>
          <w:color w:val="E36C0A"/>
          <w:sz w:val="56"/>
          <w:szCs w:val="56"/>
        </w:rPr>
        <w:t>Note sur la pauvreté au Bénin en 2015</w:t>
      </w:r>
    </w:p>
    <w:p w:rsidR="00F502A4" w:rsidRPr="002D3CBA" w:rsidRDefault="00F502A4" w:rsidP="00F502A4">
      <w:pPr>
        <w:rPr>
          <w:b/>
          <w:color w:val="17365D" w:themeColor="text2" w:themeShade="BF"/>
          <w:sz w:val="6"/>
          <w:szCs w:val="28"/>
        </w:rPr>
      </w:pPr>
    </w:p>
    <w:tbl>
      <w:tblPr>
        <w:tblStyle w:val="Grilledutableau"/>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117"/>
        <w:gridCol w:w="3686"/>
      </w:tblGrid>
      <w:tr w:rsidR="002F5ED2" w:rsidTr="002F5ED2">
        <w:trPr>
          <w:trHeight w:val="2793"/>
        </w:trPr>
        <w:tc>
          <w:tcPr>
            <w:tcW w:w="2556" w:type="dxa"/>
          </w:tcPr>
          <w:p w:rsidR="002F5ED2" w:rsidRDefault="002F5ED2" w:rsidP="00504946">
            <w:pPr>
              <w:rPr>
                <w:noProof/>
                <w:lang w:eastAsia="fr-FR"/>
              </w:rPr>
            </w:pPr>
          </w:p>
          <w:p w:rsidR="00504946" w:rsidRDefault="00237E2B" w:rsidP="00504946">
            <w:pPr>
              <w:rPr>
                <w:noProof/>
                <w:lang w:eastAsia="fr-FR"/>
              </w:rPr>
            </w:pPr>
            <w:r>
              <w:rPr>
                <w:noProof/>
                <w:lang w:eastAsia="fr-FR"/>
              </w:rPr>
              <w:drawing>
                <wp:inline distT="0" distB="0" distL="0" distR="0">
                  <wp:extent cx="752475" cy="1323975"/>
                  <wp:effectExtent l="1905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52475" cy="1323975"/>
                          </a:xfrm>
                          <a:prstGeom prst="rect">
                            <a:avLst/>
                          </a:prstGeom>
                          <a:noFill/>
                          <a:ln w="9525">
                            <a:noFill/>
                            <a:miter lim="800000"/>
                            <a:headEnd/>
                            <a:tailEnd/>
                          </a:ln>
                        </pic:spPr>
                      </pic:pic>
                    </a:graphicData>
                  </a:graphic>
                </wp:inline>
              </w:drawing>
            </w:r>
          </w:p>
          <w:p w:rsidR="00504946" w:rsidRDefault="00504946" w:rsidP="00504946"/>
        </w:tc>
        <w:tc>
          <w:tcPr>
            <w:tcW w:w="2117" w:type="dxa"/>
          </w:tcPr>
          <w:p w:rsidR="002F5ED2" w:rsidRDefault="002F5ED2" w:rsidP="00504946">
            <w:pPr>
              <w:rPr>
                <w:noProof/>
                <w:lang w:eastAsia="fr-FR"/>
              </w:rPr>
            </w:pPr>
          </w:p>
          <w:p w:rsidR="002F5ED2" w:rsidRDefault="002F5ED2" w:rsidP="00504946"/>
          <w:p w:rsidR="00237E2B" w:rsidRDefault="00237E2B" w:rsidP="00504946"/>
          <w:p w:rsidR="00237E2B" w:rsidRDefault="00237E2B" w:rsidP="00504946"/>
          <w:p w:rsidR="00237E2B" w:rsidRDefault="00237E2B" w:rsidP="00237E2B">
            <w:r>
              <w:rPr>
                <w:noProof/>
                <w:lang w:eastAsia="fr-FR"/>
              </w:rPr>
              <w:drawing>
                <wp:inline distT="0" distB="0" distL="0" distR="0">
                  <wp:extent cx="1117600" cy="838835"/>
                  <wp:effectExtent l="0" t="0" r="6350" b="0"/>
                  <wp:docPr id="21" name="Image 1" descr="Coop-BEN-UE sans cadre 2"/>
                  <wp:cNvGraphicFramePr/>
                  <a:graphic xmlns:a="http://schemas.openxmlformats.org/drawingml/2006/main">
                    <a:graphicData uri="http://schemas.openxmlformats.org/drawingml/2006/picture">
                      <pic:pic xmlns:pic="http://schemas.openxmlformats.org/drawingml/2006/picture">
                        <pic:nvPicPr>
                          <pic:cNvPr id="2" name="Image 1" descr="Coop-BEN-UE sans cad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7600" cy="838835"/>
                          </a:xfrm>
                          <a:prstGeom prst="rect">
                            <a:avLst/>
                          </a:prstGeom>
                          <a:noFill/>
                          <a:ln>
                            <a:noFill/>
                          </a:ln>
                        </pic:spPr>
                      </pic:pic>
                    </a:graphicData>
                  </a:graphic>
                </wp:inline>
              </w:drawing>
            </w:r>
          </w:p>
        </w:tc>
        <w:tc>
          <w:tcPr>
            <w:tcW w:w="3686" w:type="dxa"/>
          </w:tcPr>
          <w:p w:rsidR="002F5ED2" w:rsidRDefault="002F5ED2" w:rsidP="00504946">
            <w:pPr>
              <w:rPr>
                <w:rFonts w:ascii="Arial" w:hAnsi="Arial" w:cs="Arial"/>
                <w:color w:val="2E8BD1"/>
                <w:spacing w:val="-19"/>
                <w:position w:val="-9"/>
                <w:sz w:val="100"/>
                <w:szCs w:val="100"/>
              </w:rPr>
            </w:pPr>
          </w:p>
          <w:p w:rsidR="002F5ED2" w:rsidRDefault="002F5ED2" w:rsidP="00504946">
            <w:r w:rsidRPr="002D3CBA">
              <w:rPr>
                <w:rFonts w:ascii="Arial" w:hAnsi="Arial" w:cs="Arial"/>
                <w:color w:val="2E8BD1"/>
                <w:spacing w:val="-19"/>
                <w:position w:val="-9"/>
                <w:sz w:val="100"/>
                <w:szCs w:val="100"/>
              </w:rPr>
              <w:t xml:space="preserve">unicef </w:t>
            </w:r>
            <w:r w:rsidRPr="002D3CBA">
              <w:rPr>
                <w:rFonts w:ascii="Arial" w:hAnsi="Arial" w:cs="Arial"/>
                <w:noProof/>
                <w:sz w:val="100"/>
                <w:szCs w:val="100"/>
                <w:lang w:eastAsia="fr-FR"/>
              </w:rPr>
              <w:drawing>
                <wp:inline distT="0" distB="0" distL="0" distR="0">
                  <wp:extent cx="374650" cy="302260"/>
                  <wp:effectExtent l="0" t="0" r="6350" b="2540"/>
                  <wp:docPr id="4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650" cy="302260"/>
                          </a:xfrm>
                          <a:prstGeom prst="rect">
                            <a:avLst/>
                          </a:prstGeom>
                          <a:noFill/>
                          <a:ln>
                            <a:noFill/>
                          </a:ln>
                        </pic:spPr>
                      </pic:pic>
                    </a:graphicData>
                  </a:graphic>
                </wp:inline>
              </w:drawing>
            </w:r>
          </w:p>
        </w:tc>
      </w:tr>
    </w:tbl>
    <w:p w:rsidR="00504946" w:rsidRDefault="00504946" w:rsidP="00504946">
      <w:r>
        <w:rPr>
          <w:noProof/>
          <w:lang w:eastAsia="fr-FR"/>
        </w:rPr>
        <w:drawing>
          <wp:inline distT="0" distB="0" distL="0" distR="0">
            <wp:extent cx="1276350" cy="1143000"/>
            <wp:effectExtent l="0" t="0" r="0" b="0"/>
            <wp:docPr id="18" name="Image 18" descr="C:\Users\TOSHIBA\Desktop\Information GIZ_DMS\Communication\logo coopération benino-allemande_nouveau_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Desktop\Information GIZ_DMS\Communication\logo coopération benino-allemande_nouveau_201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52" r="-5952"/>
                    <a:stretch/>
                  </pic:blipFill>
                  <pic:spPr bwMode="auto">
                    <a:xfrm>
                      <a:off x="0" y="0"/>
                      <a:ext cx="1282023" cy="1148080"/>
                    </a:xfrm>
                    <a:prstGeom prst="rect">
                      <a:avLst/>
                    </a:prstGeom>
                    <a:noFill/>
                    <a:ln>
                      <a:noFill/>
                    </a:ln>
                  </pic:spPr>
                </pic:pic>
              </a:graphicData>
            </a:graphic>
          </wp:inline>
        </w:drawing>
      </w:r>
      <w:r>
        <w:tab/>
      </w:r>
      <w:r>
        <w:rPr>
          <w:noProof/>
          <w:lang w:eastAsia="fr-FR"/>
        </w:rPr>
        <w:drawing>
          <wp:inline distT="0" distB="0" distL="0" distR="0">
            <wp:extent cx="1104900" cy="704850"/>
            <wp:effectExtent l="0" t="0" r="0" b="0"/>
            <wp:docPr id="19" name="Image 19" descr="C:\Users\TOSHIBA\Desktop\Information GIZ_DMS\Communication\gizlogo-unternehmen-de-rg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Information GIZ_DMS\Communication\gizlogo-unternehmen-de-rgb-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6979" cy="706176"/>
                    </a:xfrm>
                    <a:prstGeom prst="rect">
                      <a:avLst/>
                    </a:prstGeom>
                    <a:noFill/>
                    <a:ln>
                      <a:noFill/>
                    </a:ln>
                  </pic:spPr>
                </pic:pic>
              </a:graphicData>
            </a:graphic>
          </wp:inline>
        </w:drawing>
      </w:r>
      <w:r>
        <w:tab/>
      </w:r>
      <w:r>
        <w:tab/>
      </w:r>
      <w:r>
        <w:tab/>
      </w:r>
      <w:r>
        <w:tab/>
      </w:r>
    </w:p>
    <w:p w:rsidR="00F502A4" w:rsidRDefault="00F502A4" w:rsidP="00F502A4">
      <w:pPr>
        <w:pStyle w:val="Corpsdetexte"/>
        <w:suppressAutoHyphens/>
        <w:rPr>
          <w:b/>
          <w:bCs/>
          <w:szCs w:val="96"/>
        </w:rPr>
      </w:pPr>
    </w:p>
    <w:p w:rsidR="00F502A4" w:rsidRDefault="00F502A4" w:rsidP="00F502A4">
      <w:pPr>
        <w:pStyle w:val="Corpsdetexte"/>
        <w:suppressAutoHyphens/>
        <w:rPr>
          <w:rFonts w:ascii="Perpetua" w:hAnsi="Perpetua"/>
          <w:sz w:val="26"/>
          <w:szCs w:val="26"/>
        </w:rPr>
      </w:pPr>
    </w:p>
    <w:p w:rsidR="00237E2B" w:rsidRDefault="00237E2B" w:rsidP="00F502A4">
      <w:pPr>
        <w:pStyle w:val="Corpsdetexte"/>
        <w:suppressAutoHyphens/>
        <w:rPr>
          <w:rFonts w:ascii="Perpetua" w:hAnsi="Perpetua"/>
          <w:sz w:val="26"/>
          <w:szCs w:val="26"/>
        </w:rPr>
      </w:pPr>
    </w:p>
    <w:p w:rsidR="00237E2B" w:rsidRDefault="00237E2B" w:rsidP="00F502A4">
      <w:pPr>
        <w:pStyle w:val="Corpsdetexte"/>
        <w:suppressAutoHyphens/>
        <w:rPr>
          <w:rFonts w:ascii="Perpetua" w:hAnsi="Perpetua"/>
          <w:sz w:val="26"/>
          <w:szCs w:val="26"/>
        </w:rPr>
      </w:pPr>
    </w:p>
    <w:p w:rsidR="00D366D5" w:rsidRDefault="00D366D5" w:rsidP="002D3CBA">
      <w:pPr>
        <w:pStyle w:val="Corpsdetexte"/>
        <w:suppressAutoHyphens/>
        <w:jc w:val="center"/>
        <w:rPr>
          <w:rFonts w:ascii="Arial" w:hAnsi="Arial" w:cs="Arial"/>
          <w:b/>
          <w:sz w:val="28"/>
          <w:szCs w:val="28"/>
        </w:rPr>
      </w:pPr>
    </w:p>
    <w:p w:rsidR="00D366D5" w:rsidRDefault="00D366D5" w:rsidP="002D3CBA">
      <w:pPr>
        <w:pStyle w:val="Corpsdetexte"/>
        <w:suppressAutoHyphens/>
        <w:jc w:val="center"/>
        <w:rPr>
          <w:rFonts w:ascii="Arial" w:hAnsi="Arial" w:cs="Arial"/>
          <w:b/>
          <w:sz w:val="28"/>
          <w:szCs w:val="28"/>
        </w:rPr>
      </w:pPr>
    </w:p>
    <w:p w:rsidR="00F502A4" w:rsidRPr="009B12DC" w:rsidRDefault="002D3CBA" w:rsidP="002D3CBA">
      <w:pPr>
        <w:pStyle w:val="Corpsdetexte"/>
        <w:suppressAutoHyphens/>
        <w:jc w:val="center"/>
        <w:rPr>
          <w:rFonts w:ascii="Perpetua" w:hAnsi="Perpetua"/>
          <w:sz w:val="26"/>
          <w:szCs w:val="26"/>
        </w:rPr>
      </w:pPr>
      <w:r w:rsidRPr="009B12DC">
        <w:rPr>
          <w:rFonts w:ascii="Arial" w:hAnsi="Arial" w:cs="Arial"/>
          <w:sz w:val="28"/>
          <w:szCs w:val="28"/>
        </w:rPr>
        <w:t>Octobre 2015</w:t>
      </w:r>
    </w:p>
    <w:p w:rsidR="00F502A4" w:rsidRDefault="00F502A4" w:rsidP="00F502A4">
      <w:pPr>
        <w:pStyle w:val="Corpsdetexte"/>
        <w:suppressAutoHyphens/>
        <w:jc w:val="center"/>
        <w:rPr>
          <w:rFonts w:ascii="Perpetua" w:hAnsi="Perpetua"/>
          <w:sz w:val="26"/>
          <w:szCs w:val="26"/>
        </w:rPr>
      </w:pPr>
      <w:r w:rsidRPr="00A726B1">
        <w:rPr>
          <w:rFonts w:ascii="Perpetua" w:hAnsi="Perpetua"/>
          <w:noProof/>
          <w:sz w:val="26"/>
          <w:szCs w:val="26"/>
        </w:rPr>
        <w:lastRenderedPageBreak/>
        <w:drawing>
          <wp:inline distT="0" distB="0" distL="0" distR="0">
            <wp:extent cx="2533650" cy="2476500"/>
            <wp:effectExtent l="19050" t="0" r="0" b="0"/>
            <wp:docPr id="16" name="Imag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33650" cy="2476500"/>
                    </a:xfrm>
                    <a:prstGeom prst="rect">
                      <a:avLst/>
                    </a:prstGeom>
                    <a:noFill/>
                    <a:ln w="9525">
                      <a:noFill/>
                      <a:miter lim="800000"/>
                      <a:headEnd/>
                      <a:tailEnd/>
                    </a:ln>
                  </pic:spPr>
                </pic:pic>
              </a:graphicData>
            </a:graphic>
          </wp:inline>
        </w:drawing>
      </w:r>
    </w:p>
    <w:p w:rsidR="00F502A4" w:rsidRDefault="00F502A4" w:rsidP="00F502A4">
      <w:pPr>
        <w:pStyle w:val="Corpsdetexte"/>
        <w:suppressAutoHyphens/>
        <w:rPr>
          <w:rFonts w:ascii="Perpetua" w:hAnsi="Perpetua"/>
          <w:sz w:val="26"/>
          <w:szCs w:val="26"/>
        </w:rPr>
      </w:pPr>
    </w:p>
    <w:p w:rsidR="00F502A4" w:rsidRPr="00DF5C19" w:rsidRDefault="00F502A4" w:rsidP="00F502A4">
      <w:pPr>
        <w:jc w:val="both"/>
        <w:rPr>
          <w:rFonts w:ascii="Trebuchet MS" w:hAnsi="Trebuchet MS" w:cs="Arial"/>
        </w:rPr>
      </w:pPr>
      <w:r w:rsidRPr="00DF5C19">
        <w:rPr>
          <w:rFonts w:ascii="Trebuchet MS" w:hAnsi="Trebuchet MS" w:cs="Arial"/>
        </w:rPr>
        <w:t>Ce</w:t>
      </w:r>
      <w:r>
        <w:rPr>
          <w:rFonts w:ascii="Trebuchet MS" w:hAnsi="Trebuchet MS" w:cs="Arial"/>
        </w:rPr>
        <w:t>tte note</w:t>
      </w:r>
      <w:r w:rsidR="003A7E81">
        <w:rPr>
          <w:rFonts w:ascii="Trebuchet MS" w:hAnsi="Trebuchet MS" w:cs="Arial"/>
        </w:rPr>
        <w:t xml:space="preserve"> </w:t>
      </w:r>
      <w:r>
        <w:rPr>
          <w:rFonts w:ascii="Trebuchet MS" w:hAnsi="Trebuchet MS" w:cs="Arial"/>
        </w:rPr>
        <w:t xml:space="preserve">sur la pauvreté présente les résultats </w:t>
      </w:r>
      <w:r w:rsidRPr="00DF5C19">
        <w:rPr>
          <w:rFonts w:ascii="Trebuchet MS" w:hAnsi="Trebuchet MS" w:cs="Arial"/>
        </w:rPr>
        <w:t>de l’Enquête EMICoV</w:t>
      </w:r>
      <w:r>
        <w:rPr>
          <w:rFonts w:ascii="Trebuchet MS" w:hAnsi="Trebuchet MS" w:cs="Arial"/>
        </w:rPr>
        <w:t>-Suivi</w:t>
      </w:r>
      <w:r w:rsidRPr="00DF5C19">
        <w:rPr>
          <w:rFonts w:ascii="Trebuchet MS" w:hAnsi="Trebuchet MS" w:cs="Arial"/>
        </w:rPr>
        <w:t xml:space="preserve"> réalisée au Bénin sur la période </w:t>
      </w:r>
      <w:r>
        <w:rPr>
          <w:rFonts w:ascii="Trebuchet MS" w:hAnsi="Trebuchet MS" w:cs="Arial"/>
        </w:rPr>
        <w:t>de mars 2015 à juin</w:t>
      </w:r>
      <w:r w:rsidRPr="00DF5C19">
        <w:rPr>
          <w:rFonts w:ascii="Trebuchet MS" w:hAnsi="Trebuchet MS" w:cs="Arial"/>
        </w:rPr>
        <w:t xml:space="preserve"> 201</w:t>
      </w:r>
      <w:r>
        <w:rPr>
          <w:rFonts w:ascii="Trebuchet MS" w:hAnsi="Trebuchet MS" w:cs="Arial"/>
        </w:rPr>
        <w:t>5</w:t>
      </w:r>
      <w:r w:rsidRPr="00DF5C19">
        <w:rPr>
          <w:rFonts w:ascii="Trebuchet MS" w:hAnsi="Trebuchet MS" w:cs="Arial"/>
        </w:rPr>
        <w:t xml:space="preserve"> par l’Institut National de la Statistique et de l’Analyse Économique (INSAE). L’EMICoV</w:t>
      </w:r>
      <w:r>
        <w:rPr>
          <w:rFonts w:ascii="Trebuchet MS" w:hAnsi="Trebuchet MS" w:cs="Arial"/>
        </w:rPr>
        <w:t>-Suivi 2015</w:t>
      </w:r>
      <w:r w:rsidRPr="00DF5C19">
        <w:rPr>
          <w:rFonts w:ascii="Trebuchet MS" w:hAnsi="Trebuchet MS" w:cs="Arial"/>
        </w:rPr>
        <w:t xml:space="preserve"> a bénéficié de l’appui financier </w:t>
      </w:r>
      <w:r w:rsidR="00237E2B">
        <w:rPr>
          <w:rFonts w:ascii="Trebuchet MS" w:hAnsi="Trebuchet MS" w:cs="Arial"/>
        </w:rPr>
        <w:t>du PNUD</w:t>
      </w:r>
      <w:r w:rsidRPr="00DF5C19">
        <w:rPr>
          <w:rFonts w:ascii="Trebuchet MS" w:hAnsi="Trebuchet MS" w:cs="Arial"/>
        </w:rPr>
        <w:t xml:space="preserve">, </w:t>
      </w:r>
      <w:r w:rsidR="00A6082D">
        <w:rPr>
          <w:rFonts w:ascii="Trebuchet MS" w:hAnsi="Trebuchet MS" w:cs="Arial"/>
        </w:rPr>
        <w:t>de l’Union Européenne à travers le Fonds Européen de Développement</w:t>
      </w:r>
      <w:r w:rsidR="00237E2B">
        <w:rPr>
          <w:rFonts w:ascii="Trebuchet MS" w:hAnsi="Trebuchet MS" w:cs="Arial"/>
        </w:rPr>
        <w:t>,</w:t>
      </w:r>
      <w:r>
        <w:rPr>
          <w:rFonts w:ascii="Trebuchet MS" w:hAnsi="Trebuchet MS" w:cs="Arial"/>
        </w:rPr>
        <w:t xml:space="preserve"> de l’UNICEF</w:t>
      </w:r>
      <w:r w:rsidRPr="00DF5C19">
        <w:rPr>
          <w:rFonts w:ascii="Trebuchet MS" w:hAnsi="Trebuchet MS" w:cs="Arial"/>
        </w:rPr>
        <w:t xml:space="preserve"> et de l</w:t>
      </w:r>
      <w:r w:rsidR="00237E2B">
        <w:rPr>
          <w:rFonts w:ascii="Trebuchet MS" w:hAnsi="Trebuchet MS" w:cs="Arial"/>
        </w:rPr>
        <w:t>a GIZ</w:t>
      </w:r>
      <w:r w:rsidRPr="00DF5C19">
        <w:rPr>
          <w:rFonts w:ascii="Trebuchet MS" w:hAnsi="Trebuchet MS" w:cs="Arial"/>
        </w:rPr>
        <w:t>. L’INSAE saisit l’opportunité qui lui est offerte par la présente publication pour remercier les Partenaires Techniques et Financiers qui accompagnent le Bénin dans la réduction de la pauvreté.</w:t>
      </w:r>
    </w:p>
    <w:p w:rsidR="00F502A4" w:rsidRDefault="00F502A4" w:rsidP="002D3CBA">
      <w:pPr>
        <w:jc w:val="both"/>
        <w:rPr>
          <w:b/>
          <w:color w:val="17365D" w:themeColor="text2" w:themeShade="BF"/>
          <w:sz w:val="28"/>
          <w:szCs w:val="28"/>
        </w:rPr>
      </w:pPr>
      <w:r w:rsidRPr="00DF5C19">
        <w:rPr>
          <w:rFonts w:ascii="Trebuchet MS" w:hAnsi="Trebuchet MS" w:cs="Arial"/>
        </w:rPr>
        <w:t>Pour tous renseignements concernant l’EMICoV, contacter l’Institut National de la Statistique et de l’Analyse Économique (INSAE), BP 323, Cotonou, Bénin (Téléphone (229) 21 30 74 48/21 30 82 44 ; Fax (229) 21 30 82 46 ; e-mail : insae@insae-bj.or</w:t>
      </w:r>
      <w:r>
        <w:rPr>
          <w:rFonts w:ascii="Trebuchet MS" w:hAnsi="Trebuchet MS" w:cs="Arial"/>
        </w:rPr>
        <w:t>g</w:t>
      </w:r>
      <w:r w:rsidRPr="00DF5C19">
        <w:rPr>
          <w:rFonts w:ascii="Trebuchet MS" w:hAnsi="Trebuchet MS" w:cs="Arial"/>
        </w:rPr>
        <w:t>; Internet : WWW.insae-bj.org</w:t>
      </w:r>
      <w:r>
        <w:rPr>
          <w:rFonts w:ascii="Trebuchet MS" w:hAnsi="Trebuchet MS" w:cs="Arial"/>
        </w:rPr>
        <w:t>)</w:t>
      </w:r>
      <w:r w:rsidRPr="00DF5C19">
        <w:rPr>
          <w:rFonts w:ascii="Trebuchet MS" w:hAnsi="Trebuchet MS" w:cs="Arial"/>
        </w:rPr>
        <w:t>.</w:t>
      </w:r>
    </w:p>
    <w:p w:rsidR="00F502A4" w:rsidRDefault="00F502A4" w:rsidP="00F502A4"/>
    <w:p w:rsidR="00F502A4" w:rsidRDefault="00F502A4" w:rsidP="00F502A4">
      <w:pPr>
        <w:jc w:val="center"/>
        <w:rPr>
          <w:b/>
          <w:bCs/>
        </w:rPr>
      </w:pPr>
      <w:r>
        <w:rPr>
          <w:b/>
          <w:bCs/>
        </w:rPr>
        <w:t>Ce rapport a été rédigé par :</w:t>
      </w:r>
    </w:p>
    <w:p w:rsidR="00F502A4" w:rsidRDefault="00F502A4" w:rsidP="00155294">
      <w:pPr>
        <w:spacing w:line="240" w:lineRule="auto"/>
        <w:jc w:val="center"/>
        <w:rPr>
          <w:b/>
          <w:bCs/>
          <w:sz w:val="28"/>
          <w:szCs w:val="28"/>
        </w:rPr>
      </w:pPr>
      <w:r>
        <w:rPr>
          <w:b/>
          <w:bCs/>
          <w:sz w:val="28"/>
          <w:szCs w:val="28"/>
        </w:rPr>
        <w:t>Alexandre BIAOU</w:t>
      </w:r>
    </w:p>
    <w:p w:rsidR="00F502A4" w:rsidRDefault="00F502A4" w:rsidP="00155294">
      <w:pPr>
        <w:spacing w:line="240" w:lineRule="auto"/>
        <w:jc w:val="center"/>
        <w:rPr>
          <w:b/>
          <w:bCs/>
          <w:sz w:val="28"/>
          <w:szCs w:val="28"/>
        </w:rPr>
      </w:pPr>
      <w:r w:rsidRPr="00755FBE">
        <w:rPr>
          <w:b/>
          <w:bCs/>
          <w:sz w:val="28"/>
          <w:szCs w:val="28"/>
        </w:rPr>
        <w:t>Damien MEDEDJI</w:t>
      </w:r>
    </w:p>
    <w:p w:rsidR="00BD2F9C" w:rsidRPr="004F1495" w:rsidRDefault="00BD2F9C" w:rsidP="00BD2F9C">
      <w:pPr>
        <w:spacing w:line="240" w:lineRule="auto"/>
        <w:jc w:val="center"/>
        <w:rPr>
          <w:b/>
          <w:bCs/>
          <w:sz w:val="28"/>
          <w:szCs w:val="28"/>
        </w:rPr>
      </w:pPr>
      <w:r w:rsidRPr="004F1495">
        <w:rPr>
          <w:b/>
          <w:bCs/>
          <w:sz w:val="28"/>
          <w:szCs w:val="28"/>
        </w:rPr>
        <w:t>Djabar ADECHIAN</w:t>
      </w:r>
    </w:p>
    <w:p w:rsidR="00F502A4" w:rsidRPr="00755FBE" w:rsidRDefault="002D3CBA" w:rsidP="00155294">
      <w:pPr>
        <w:spacing w:line="240" w:lineRule="auto"/>
        <w:jc w:val="center"/>
        <w:rPr>
          <w:b/>
          <w:bCs/>
          <w:sz w:val="28"/>
          <w:szCs w:val="28"/>
        </w:rPr>
      </w:pPr>
      <w:r w:rsidRPr="00755FBE">
        <w:rPr>
          <w:b/>
          <w:bCs/>
          <w:sz w:val="28"/>
          <w:szCs w:val="28"/>
        </w:rPr>
        <w:t xml:space="preserve">Elise </w:t>
      </w:r>
      <w:r w:rsidR="00F502A4" w:rsidRPr="00755FBE">
        <w:rPr>
          <w:b/>
          <w:bCs/>
          <w:sz w:val="28"/>
          <w:szCs w:val="28"/>
        </w:rPr>
        <w:t xml:space="preserve">AHOVEY </w:t>
      </w:r>
    </w:p>
    <w:p w:rsidR="00F502A4" w:rsidRPr="004F1495" w:rsidRDefault="00F502A4" w:rsidP="00155294">
      <w:pPr>
        <w:spacing w:line="240" w:lineRule="auto"/>
        <w:jc w:val="center"/>
        <w:rPr>
          <w:b/>
          <w:bCs/>
          <w:sz w:val="28"/>
          <w:szCs w:val="28"/>
        </w:rPr>
      </w:pPr>
      <w:r w:rsidRPr="004F1495">
        <w:rPr>
          <w:b/>
          <w:bCs/>
          <w:sz w:val="28"/>
          <w:szCs w:val="28"/>
        </w:rPr>
        <w:t>Mouchitaba LAWANI</w:t>
      </w:r>
    </w:p>
    <w:p w:rsidR="00155294" w:rsidRPr="004F1495" w:rsidRDefault="00155294" w:rsidP="00155294">
      <w:pPr>
        <w:spacing w:line="240" w:lineRule="auto"/>
        <w:jc w:val="center"/>
        <w:rPr>
          <w:b/>
          <w:bCs/>
          <w:sz w:val="28"/>
          <w:szCs w:val="28"/>
        </w:rPr>
      </w:pPr>
      <w:r w:rsidRPr="004F1495">
        <w:rPr>
          <w:b/>
          <w:bCs/>
          <w:sz w:val="28"/>
          <w:szCs w:val="28"/>
        </w:rPr>
        <w:t>Raïmi ESSESSINOU</w:t>
      </w:r>
    </w:p>
    <w:p w:rsidR="00F502A4" w:rsidRPr="004F1495" w:rsidRDefault="00F502A4">
      <w:pPr>
        <w:rPr>
          <w:rFonts w:ascii="Arial" w:hAnsi="Arial" w:cs="Arial"/>
          <w:b/>
          <w:color w:val="E36C0A"/>
          <w:sz w:val="48"/>
          <w:szCs w:val="48"/>
        </w:rPr>
      </w:pPr>
      <w:r w:rsidRPr="004F1495">
        <w:rPr>
          <w:rFonts w:ascii="Arial" w:hAnsi="Arial" w:cs="Arial"/>
          <w:b/>
          <w:color w:val="E36C0A"/>
          <w:sz w:val="48"/>
          <w:szCs w:val="48"/>
        </w:rPr>
        <w:br w:type="page"/>
      </w:r>
    </w:p>
    <w:p w:rsidR="00314ED8" w:rsidRPr="00171534" w:rsidRDefault="007C1557" w:rsidP="00A3207F">
      <w:pPr>
        <w:pStyle w:val="Titre1"/>
        <w:spacing w:before="0"/>
        <w:rPr>
          <w:rFonts w:ascii="Arial" w:hAnsi="Arial" w:cs="Arial"/>
          <w:color w:val="E36C0A" w:themeColor="accent6" w:themeShade="BF"/>
        </w:rPr>
      </w:pPr>
      <w:bookmarkStart w:id="0" w:name="_Toc432425185"/>
      <w:bookmarkStart w:id="1" w:name="_Toc433390940"/>
      <w:bookmarkStart w:id="2" w:name="_Toc433391055"/>
      <w:bookmarkStart w:id="3" w:name="_Toc433391191"/>
      <w:r w:rsidRPr="00171534">
        <w:rPr>
          <w:rFonts w:ascii="Arial" w:hAnsi="Arial" w:cs="Arial"/>
          <w:color w:val="E36C0A" w:themeColor="accent6" w:themeShade="BF"/>
        </w:rPr>
        <w:lastRenderedPageBreak/>
        <w:t>Sommaire</w:t>
      </w:r>
      <w:bookmarkEnd w:id="0"/>
      <w:bookmarkEnd w:id="1"/>
      <w:bookmarkEnd w:id="2"/>
      <w:bookmarkEnd w:id="3"/>
    </w:p>
    <w:p w:rsidR="007E0263" w:rsidRPr="007E0263" w:rsidRDefault="00115FEB">
      <w:pPr>
        <w:pStyle w:val="TM1"/>
        <w:tabs>
          <w:tab w:val="right" w:leader="dot" w:pos="9062"/>
        </w:tabs>
        <w:rPr>
          <w:rFonts w:ascii="Arial" w:eastAsiaTheme="minorEastAsia" w:hAnsi="Arial" w:cs="Arial"/>
          <w:b w:val="0"/>
          <w:bCs w:val="0"/>
          <w:i w:val="0"/>
          <w:iCs w:val="0"/>
          <w:noProof/>
          <w:sz w:val="22"/>
          <w:szCs w:val="22"/>
          <w:lang w:eastAsia="fr-FR"/>
        </w:rPr>
      </w:pPr>
      <w:r w:rsidRPr="007E0263">
        <w:rPr>
          <w:rFonts w:ascii="Arial" w:hAnsi="Arial" w:cs="Arial"/>
          <w:b w:val="0"/>
          <w:i w:val="0"/>
          <w:color w:val="E36C0A"/>
          <w:sz w:val="28"/>
          <w:szCs w:val="28"/>
        </w:rPr>
        <w:fldChar w:fldCharType="begin"/>
      </w:r>
      <w:r w:rsidR="009B63D2" w:rsidRPr="007E0263">
        <w:rPr>
          <w:rFonts w:ascii="Arial" w:hAnsi="Arial" w:cs="Arial"/>
          <w:b w:val="0"/>
          <w:i w:val="0"/>
          <w:color w:val="E36C0A"/>
          <w:sz w:val="28"/>
          <w:szCs w:val="28"/>
        </w:rPr>
        <w:instrText xml:space="preserve"> TOC \o "1-2" \h \z \u </w:instrText>
      </w:r>
      <w:r w:rsidRPr="007E0263">
        <w:rPr>
          <w:rFonts w:ascii="Arial" w:hAnsi="Arial" w:cs="Arial"/>
          <w:b w:val="0"/>
          <w:i w:val="0"/>
          <w:color w:val="E36C0A"/>
          <w:sz w:val="28"/>
          <w:szCs w:val="28"/>
        </w:rPr>
        <w:fldChar w:fldCharType="separate"/>
      </w:r>
      <w:hyperlink w:anchor="_Toc433391191" w:history="1">
        <w:r w:rsidR="007E0263" w:rsidRPr="007E0263">
          <w:rPr>
            <w:rStyle w:val="Lienhypertexte"/>
            <w:rFonts w:ascii="Arial" w:hAnsi="Arial" w:cs="Arial"/>
            <w:i w:val="0"/>
            <w:noProof/>
          </w:rPr>
          <w:t>Sommaire</w:t>
        </w:r>
        <w:r w:rsidR="007E0263" w:rsidRPr="007E0263">
          <w:rPr>
            <w:rFonts w:ascii="Arial" w:hAnsi="Arial" w:cs="Arial"/>
            <w:i w:val="0"/>
            <w:noProof/>
            <w:webHidden/>
          </w:rPr>
          <w:tab/>
        </w:r>
        <w:r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_Toc433391191 \h </w:instrText>
        </w:r>
        <w:r w:rsidRPr="007E0263">
          <w:rPr>
            <w:rFonts w:ascii="Arial" w:hAnsi="Arial" w:cs="Arial"/>
            <w:i w:val="0"/>
            <w:noProof/>
            <w:webHidden/>
          </w:rPr>
        </w:r>
        <w:r w:rsidRPr="007E0263">
          <w:rPr>
            <w:rFonts w:ascii="Arial" w:hAnsi="Arial" w:cs="Arial"/>
            <w:i w:val="0"/>
            <w:noProof/>
            <w:webHidden/>
          </w:rPr>
          <w:fldChar w:fldCharType="separate"/>
        </w:r>
        <w:r w:rsidR="009B12DC">
          <w:rPr>
            <w:rFonts w:ascii="Arial" w:hAnsi="Arial" w:cs="Arial"/>
            <w:i w:val="0"/>
            <w:noProof/>
            <w:webHidden/>
          </w:rPr>
          <w:t>3</w:t>
        </w:r>
        <w:r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192" w:history="1">
        <w:r w:rsidR="007E0263" w:rsidRPr="007E0263">
          <w:rPr>
            <w:rStyle w:val="Lienhypertexte"/>
            <w:rFonts w:ascii="Arial" w:hAnsi="Arial" w:cs="Arial"/>
            <w:i w:val="0"/>
            <w:noProof/>
          </w:rPr>
          <w:t>Liste des tableaux</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_Toc433391192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4</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193" w:history="1">
        <w:r w:rsidR="007E0263" w:rsidRPr="007E0263">
          <w:rPr>
            <w:rStyle w:val="Lienhypertexte"/>
            <w:rFonts w:ascii="Arial" w:hAnsi="Arial" w:cs="Arial"/>
            <w:i w:val="0"/>
            <w:noProof/>
          </w:rPr>
          <w:t>Liste des figures</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_Toc433391193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5</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194" w:history="1">
        <w:r w:rsidR="007E0263" w:rsidRPr="007E0263">
          <w:rPr>
            <w:rStyle w:val="Lienhypertexte"/>
            <w:rFonts w:ascii="Arial" w:hAnsi="Arial" w:cs="Arial"/>
            <w:i w:val="0"/>
            <w:noProof/>
          </w:rPr>
          <w:t>Introduction</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_Toc433391194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6</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195" w:history="1">
        <w:r w:rsidR="007E0263" w:rsidRPr="007E0263">
          <w:rPr>
            <w:rStyle w:val="Lienhypertexte"/>
            <w:rFonts w:ascii="Arial" w:hAnsi="Arial" w:cs="Arial"/>
            <w:i w:val="0"/>
            <w:noProof/>
          </w:rPr>
          <w:t>1. Situation de la pauvreté en 2011 et 2015</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_Toc433391195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6</w:t>
        </w:r>
        <w:r w:rsidR="00115FEB" w:rsidRPr="007E0263">
          <w:rPr>
            <w:rFonts w:ascii="Arial" w:hAnsi="Arial" w:cs="Arial"/>
            <w:i w:val="0"/>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196" w:history="1">
        <w:r w:rsidR="007E0263" w:rsidRPr="007E0263">
          <w:rPr>
            <w:rStyle w:val="Lienhypertexte"/>
            <w:rFonts w:ascii="Arial" w:hAnsi="Arial" w:cs="Arial"/>
            <w:noProof/>
          </w:rPr>
          <w:t>1.1. Enquête Modulaire Intégrée sur les Conditions de Vie des Ménages (EMICoV2)</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_Toc433391196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7</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197" w:history="1">
        <w:r w:rsidR="007E0263" w:rsidRPr="007E0263">
          <w:rPr>
            <w:rStyle w:val="Lienhypertexte"/>
            <w:rFonts w:ascii="Arial" w:hAnsi="Arial" w:cs="Arial"/>
            <w:noProof/>
          </w:rPr>
          <w:t>1.2. Evolution des dépenses de consommation par tête</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_Toc433391197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7</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198" w:history="1">
        <w:r w:rsidR="007E0263" w:rsidRPr="007E0263">
          <w:rPr>
            <w:rStyle w:val="Lienhypertexte"/>
            <w:rFonts w:ascii="Arial" w:hAnsi="Arial" w:cs="Arial"/>
            <w:noProof/>
          </w:rPr>
          <w:t>1.3. Evolution du seuil de pauvreté</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_Toc433391198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8</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199" w:history="1">
        <w:r w:rsidR="007E0263" w:rsidRPr="007E0263">
          <w:rPr>
            <w:rStyle w:val="Lienhypertexte"/>
            <w:rFonts w:ascii="Arial" w:hAnsi="Arial" w:cs="Arial"/>
            <w:noProof/>
          </w:rPr>
          <w:t>1.4. Pauvreté monétaire au Bénin: une aggravation entre 2011 et 2015</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_Toc433391199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8</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00" w:history="1">
        <w:r w:rsidR="007E0263" w:rsidRPr="007E0263">
          <w:rPr>
            <w:rStyle w:val="Lienhypertexte"/>
            <w:rFonts w:ascii="Arial" w:hAnsi="Arial" w:cs="Arial"/>
            <w:noProof/>
          </w:rPr>
          <w:t>1.5. Pauvreté non monétaire : un léger repli entre 2011 et 2015</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_Toc433391200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11</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01" w:history="1">
        <w:r w:rsidR="007E0263" w:rsidRPr="007E0263">
          <w:rPr>
            <w:rStyle w:val="Lienhypertexte"/>
            <w:rFonts w:ascii="Arial" w:hAnsi="Arial" w:cs="Arial"/>
            <w:noProof/>
          </w:rPr>
          <w:t>1.6. Pauvreté subjective : une appréhension forte du risque de pauvreté mais en recul.</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_Toc433391201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13</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02" w:history="1">
        <w:r w:rsidR="007E0263" w:rsidRPr="007E0263">
          <w:rPr>
            <w:rStyle w:val="Lienhypertexte"/>
            <w:rFonts w:ascii="Arial" w:hAnsi="Arial" w:cs="Arial"/>
            <w:noProof/>
          </w:rPr>
          <w:t>1.7. Noyau dur de la pauvreté : Plus d’un dixième cumule de la population cumule les différentes formes de pauvreté</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_Toc433391202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15</w:t>
        </w:r>
        <w:r w:rsidR="00115FEB" w:rsidRPr="007E0263">
          <w:rPr>
            <w:rFonts w:ascii="Arial" w:hAnsi="Arial" w:cs="Arial"/>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203" w:history="1">
        <w:r w:rsidR="007E0263" w:rsidRPr="007E0263">
          <w:rPr>
            <w:rStyle w:val="Lienhypertexte"/>
            <w:rFonts w:ascii="Arial" w:hAnsi="Arial" w:cs="Arial"/>
            <w:i w:val="0"/>
            <w:noProof/>
          </w:rPr>
          <w:t>2. Caractéristiques socio-économique et pauvreté au Bénin</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_Toc433391203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16</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204" w:history="1">
        <w:r w:rsidR="007E0263" w:rsidRPr="007E0263">
          <w:rPr>
            <w:rStyle w:val="Lienhypertexte"/>
            <w:rFonts w:ascii="Arial" w:hAnsi="Arial" w:cs="Arial"/>
            <w:i w:val="0"/>
            <w:noProof/>
          </w:rPr>
          <w:t>3. Evolution des inégalités en 2011 et 2015</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_Toc433391204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18</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205" w:history="1">
        <w:r w:rsidR="007E0263" w:rsidRPr="007E0263">
          <w:rPr>
            <w:rStyle w:val="Lienhypertexte"/>
            <w:rFonts w:ascii="Arial" w:hAnsi="Arial" w:cs="Arial"/>
            <w:i w:val="0"/>
            <w:noProof/>
          </w:rPr>
          <w:t>Conclusion</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_Toc433391205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21</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206" w:history="1">
        <w:r w:rsidR="007E0263" w:rsidRPr="007E0263">
          <w:rPr>
            <w:rStyle w:val="Lienhypertexte"/>
            <w:rFonts w:ascii="Arial" w:hAnsi="Arial" w:cs="Arial"/>
            <w:i w:val="0"/>
            <w:noProof/>
            <w:lang w:val="de-DE"/>
          </w:rPr>
          <w:t>Bibliographie.</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_Toc433391206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22</w:t>
        </w:r>
        <w:r w:rsidR="00115FEB" w:rsidRPr="007E0263">
          <w:rPr>
            <w:rFonts w:ascii="Arial" w:hAnsi="Arial" w:cs="Arial"/>
            <w:i w:val="0"/>
            <w:noProof/>
            <w:webHidden/>
          </w:rPr>
          <w:fldChar w:fldCharType="end"/>
        </w:r>
      </w:hyperlink>
    </w:p>
    <w:p w:rsidR="007E0263" w:rsidRPr="007E0263" w:rsidRDefault="00DA1BC2">
      <w:pPr>
        <w:pStyle w:val="TM1"/>
        <w:tabs>
          <w:tab w:val="right" w:leader="dot" w:pos="9062"/>
        </w:tabs>
        <w:rPr>
          <w:rFonts w:ascii="Arial" w:eastAsiaTheme="minorEastAsia" w:hAnsi="Arial" w:cs="Arial"/>
          <w:b w:val="0"/>
          <w:bCs w:val="0"/>
          <w:i w:val="0"/>
          <w:iCs w:val="0"/>
          <w:noProof/>
          <w:sz w:val="22"/>
          <w:szCs w:val="22"/>
          <w:lang w:eastAsia="fr-FR"/>
        </w:rPr>
      </w:pPr>
      <w:hyperlink w:anchor="_Toc433391207" w:history="1">
        <w:r w:rsidR="007E0263" w:rsidRPr="007E0263">
          <w:rPr>
            <w:rStyle w:val="Lienhypertexte"/>
            <w:rFonts w:ascii="Arial" w:hAnsi="Arial" w:cs="Arial"/>
            <w:i w:val="0"/>
            <w:noProof/>
            <w:lang w:val="de-DE"/>
          </w:rPr>
          <w:t>Annexe</w:t>
        </w:r>
        <w:r w:rsidR="007E0263" w:rsidRPr="007E0263">
          <w:rPr>
            <w:rFonts w:ascii="Arial" w:hAnsi="Arial" w:cs="Arial"/>
            <w:i w:val="0"/>
            <w:noProof/>
            <w:webHidden/>
          </w:rPr>
          <w:tab/>
        </w:r>
        <w:r w:rsidR="00115FEB" w:rsidRPr="007E0263">
          <w:rPr>
            <w:rFonts w:ascii="Arial" w:hAnsi="Arial" w:cs="Arial"/>
            <w:i w:val="0"/>
            <w:noProof/>
            <w:webHidden/>
          </w:rPr>
          <w:fldChar w:fldCharType="begin"/>
        </w:r>
        <w:r w:rsidR="007E0263" w:rsidRPr="007E0263">
          <w:rPr>
            <w:rFonts w:ascii="Arial" w:hAnsi="Arial" w:cs="Arial"/>
            <w:i w:val="0"/>
            <w:noProof/>
            <w:webHidden/>
          </w:rPr>
          <w:instrText xml:space="preserve"> PAGEREF _Toc433391207 \h </w:instrText>
        </w:r>
        <w:r w:rsidR="00115FEB" w:rsidRPr="007E0263">
          <w:rPr>
            <w:rFonts w:ascii="Arial" w:hAnsi="Arial" w:cs="Arial"/>
            <w:i w:val="0"/>
            <w:noProof/>
            <w:webHidden/>
          </w:rPr>
        </w:r>
        <w:r w:rsidR="00115FEB" w:rsidRPr="007E0263">
          <w:rPr>
            <w:rFonts w:ascii="Arial" w:hAnsi="Arial" w:cs="Arial"/>
            <w:i w:val="0"/>
            <w:noProof/>
            <w:webHidden/>
          </w:rPr>
          <w:fldChar w:fldCharType="separate"/>
        </w:r>
        <w:r w:rsidR="009B12DC">
          <w:rPr>
            <w:rFonts w:ascii="Arial" w:hAnsi="Arial" w:cs="Arial"/>
            <w:i w:val="0"/>
            <w:noProof/>
            <w:webHidden/>
          </w:rPr>
          <w:t>23</w:t>
        </w:r>
        <w:r w:rsidR="00115FEB" w:rsidRPr="007E0263">
          <w:rPr>
            <w:rFonts w:ascii="Arial" w:hAnsi="Arial" w:cs="Arial"/>
            <w:i w:val="0"/>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08" w:history="1">
        <w:r w:rsidR="007E0263" w:rsidRPr="007E0263">
          <w:rPr>
            <w:rStyle w:val="Lienhypertexte"/>
            <w:rFonts w:ascii="Arial" w:hAnsi="Arial" w:cs="Arial"/>
            <w:noProof/>
          </w:rPr>
          <w:t>Annexe 1 : Calcul du seuil de pauvreté</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_Toc433391208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23</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09" w:history="1">
        <w:r w:rsidR="007E0263" w:rsidRPr="007E0263">
          <w:rPr>
            <w:rStyle w:val="Lienhypertexte"/>
            <w:rFonts w:ascii="Arial" w:hAnsi="Arial" w:cs="Arial"/>
            <w:noProof/>
          </w:rPr>
          <w:t>Annexe 2 : Indices de pauvreté, d’inégalité et perception des individus sur leurs conditions de vie.</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_Toc433391209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24</w:t>
        </w:r>
        <w:r w:rsidR="00115FEB" w:rsidRPr="007E0263">
          <w:rPr>
            <w:rFonts w:ascii="Arial" w:hAnsi="Arial" w:cs="Arial"/>
            <w:noProof/>
            <w:webHidden/>
          </w:rPr>
          <w:fldChar w:fldCharType="end"/>
        </w:r>
      </w:hyperlink>
    </w:p>
    <w:p w:rsidR="007E0263" w:rsidRPr="007E0263" w:rsidRDefault="00DA1BC2">
      <w:pPr>
        <w:pStyle w:val="TM2"/>
        <w:tabs>
          <w:tab w:val="right" w:leader="dot" w:pos="9062"/>
        </w:tabs>
        <w:rPr>
          <w:rFonts w:ascii="Arial" w:eastAsiaTheme="minorEastAsia" w:hAnsi="Arial" w:cs="Arial"/>
          <w:b w:val="0"/>
          <w:bCs w:val="0"/>
          <w:noProof/>
          <w:lang w:eastAsia="fr-FR"/>
        </w:rPr>
      </w:pPr>
      <w:hyperlink w:anchor="_Toc433391210" w:history="1">
        <w:r w:rsidR="007E0263" w:rsidRPr="007E0263">
          <w:rPr>
            <w:rStyle w:val="Lienhypertexte"/>
            <w:rFonts w:ascii="Arial" w:hAnsi="Arial" w:cs="Arial"/>
            <w:noProof/>
          </w:rPr>
          <w:t>Annexe  3 : Indicateurs OMD pour l’année 2015</w:t>
        </w:r>
        <w:r w:rsidR="007E0263" w:rsidRPr="007E0263">
          <w:rPr>
            <w:rFonts w:ascii="Arial" w:hAnsi="Arial" w:cs="Arial"/>
            <w:noProof/>
            <w:webHidden/>
          </w:rPr>
          <w:tab/>
        </w:r>
        <w:r w:rsidR="00115FEB" w:rsidRPr="007E0263">
          <w:rPr>
            <w:rFonts w:ascii="Arial" w:hAnsi="Arial" w:cs="Arial"/>
            <w:noProof/>
            <w:webHidden/>
          </w:rPr>
          <w:fldChar w:fldCharType="begin"/>
        </w:r>
        <w:r w:rsidR="007E0263" w:rsidRPr="007E0263">
          <w:rPr>
            <w:rFonts w:ascii="Arial" w:hAnsi="Arial" w:cs="Arial"/>
            <w:noProof/>
            <w:webHidden/>
          </w:rPr>
          <w:instrText xml:space="preserve"> PAGEREF _Toc433391210 \h </w:instrText>
        </w:r>
        <w:r w:rsidR="00115FEB" w:rsidRPr="007E0263">
          <w:rPr>
            <w:rFonts w:ascii="Arial" w:hAnsi="Arial" w:cs="Arial"/>
            <w:noProof/>
            <w:webHidden/>
          </w:rPr>
        </w:r>
        <w:r w:rsidR="00115FEB" w:rsidRPr="007E0263">
          <w:rPr>
            <w:rFonts w:ascii="Arial" w:hAnsi="Arial" w:cs="Arial"/>
            <w:noProof/>
            <w:webHidden/>
          </w:rPr>
          <w:fldChar w:fldCharType="separate"/>
        </w:r>
        <w:r w:rsidR="009B12DC">
          <w:rPr>
            <w:rFonts w:ascii="Arial" w:hAnsi="Arial" w:cs="Arial"/>
            <w:noProof/>
            <w:webHidden/>
          </w:rPr>
          <w:t>27</w:t>
        </w:r>
        <w:r w:rsidR="00115FEB" w:rsidRPr="007E0263">
          <w:rPr>
            <w:rFonts w:ascii="Arial" w:hAnsi="Arial" w:cs="Arial"/>
            <w:noProof/>
            <w:webHidden/>
          </w:rPr>
          <w:fldChar w:fldCharType="end"/>
        </w:r>
      </w:hyperlink>
    </w:p>
    <w:p w:rsidR="00314ED8" w:rsidRPr="007E0263" w:rsidRDefault="00115FEB">
      <w:pPr>
        <w:rPr>
          <w:rFonts w:ascii="Arial" w:hAnsi="Arial" w:cs="Arial"/>
          <w:color w:val="E36C0A"/>
          <w:sz w:val="28"/>
          <w:szCs w:val="28"/>
        </w:rPr>
      </w:pPr>
      <w:r w:rsidRPr="007E0263">
        <w:rPr>
          <w:rFonts w:ascii="Arial" w:hAnsi="Arial" w:cs="Arial"/>
          <w:color w:val="E36C0A"/>
          <w:sz w:val="28"/>
          <w:szCs w:val="28"/>
        </w:rPr>
        <w:fldChar w:fldCharType="end"/>
      </w:r>
    </w:p>
    <w:p w:rsidR="00314ED8" w:rsidRPr="00171534" w:rsidRDefault="00314ED8">
      <w:pPr>
        <w:rPr>
          <w:rFonts w:ascii="Arial" w:hAnsi="Arial" w:cs="Arial"/>
          <w:b/>
          <w:color w:val="E36C0A"/>
          <w:sz w:val="28"/>
          <w:szCs w:val="28"/>
        </w:rPr>
      </w:pPr>
    </w:p>
    <w:p w:rsidR="009B63D2" w:rsidRPr="00171534" w:rsidRDefault="009B63D2" w:rsidP="00A3207F">
      <w:pPr>
        <w:pStyle w:val="Titre1"/>
        <w:spacing w:before="0"/>
        <w:rPr>
          <w:rFonts w:ascii="Arial" w:hAnsi="Arial" w:cs="Arial"/>
          <w:color w:val="E36C0A" w:themeColor="accent6" w:themeShade="BF"/>
        </w:rPr>
        <w:sectPr w:rsidR="009B63D2" w:rsidRPr="00171534" w:rsidSect="00F2196D">
          <w:footerReference w:type="default" r:id="rId14"/>
          <w:pgSz w:w="11906" w:h="16838"/>
          <w:pgMar w:top="1417" w:right="1417" w:bottom="1417" w:left="1417" w:header="708" w:footer="708" w:gutter="0"/>
          <w:cols w:space="708"/>
          <w:docGrid w:linePitch="360"/>
        </w:sectPr>
      </w:pPr>
    </w:p>
    <w:p w:rsidR="00314ED8" w:rsidRPr="00A3207F" w:rsidRDefault="007C1557" w:rsidP="009B63D2">
      <w:pPr>
        <w:pStyle w:val="Titre1"/>
        <w:spacing w:before="0"/>
        <w:rPr>
          <w:rFonts w:ascii="Arial" w:hAnsi="Arial" w:cs="Arial"/>
          <w:color w:val="E36C0A" w:themeColor="accent6" w:themeShade="BF"/>
        </w:rPr>
      </w:pPr>
      <w:bookmarkStart w:id="4" w:name="_Toc433391192"/>
      <w:r w:rsidRPr="00A3207F">
        <w:rPr>
          <w:rFonts w:ascii="Arial" w:hAnsi="Arial" w:cs="Arial"/>
          <w:color w:val="E36C0A" w:themeColor="accent6" w:themeShade="BF"/>
        </w:rPr>
        <w:lastRenderedPageBreak/>
        <w:t>Liste des tableaux</w:t>
      </w:r>
      <w:bookmarkEnd w:id="4"/>
    </w:p>
    <w:p w:rsidR="00314ED8" w:rsidRDefault="00314ED8" w:rsidP="009B63D2">
      <w:pPr>
        <w:spacing w:after="0"/>
        <w:rPr>
          <w:rFonts w:ascii="Arial" w:hAnsi="Arial" w:cs="Arial"/>
          <w:b/>
          <w:color w:val="E36C0A"/>
          <w:sz w:val="28"/>
          <w:szCs w:val="28"/>
        </w:rPr>
      </w:pPr>
    </w:p>
    <w:p w:rsidR="009B63D2" w:rsidRPr="009B63D2" w:rsidRDefault="00115FEB">
      <w:pPr>
        <w:pStyle w:val="Tabledesillustrations"/>
        <w:tabs>
          <w:tab w:val="right" w:leader="dot" w:pos="9062"/>
        </w:tabs>
        <w:rPr>
          <w:rFonts w:ascii="Arial" w:eastAsiaTheme="minorEastAsia" w:hAnsi="Arial" w:cs="Arial"/>
          <w:i w:val="0"/>
          <w:iCs w:val="0"/>
          <w:noProof/>
          <w:sz w:val="22"/>
          <w:szCs w:val="22"/>
          <w:lang w:eastAsia="fr-FR"/>
        </w:rPr>
      </w:pPr>
      <w:r w:rsidRPr="009B63D2">
        <w:rPr>
          <w:rFonts w:ascii="Arial" w:hAnsi="Arial" w:cs="Arial"/>
          <w:b/>
          <w:i w:val="0"/>
          <w:color w:val="E36C0A"/>
          <w:sz w:val="22"/>
          <w:szCs w:val="22"/>
        </w:rPr>
        <w:fldChar w:fldCharType="begin"/>
      </w:r>
      <w:r w:rsidR="009B63D2" w:rsidRPr="009B63D2">
        <w:rPr>
          <w:rFonts w:ascii="Arial" w:hAnsi="Arial" w:cs="Arial"/>
          <w:b/>
          <w:i w:val="0"/>
          <w:color w:val="E36C0A"/>
          <w:sz w:val="22"/>
          <w:szCs w:val="22"/>
        </w:rPr>
        <w:instrText xml:space="preserve"> TOC \h \z \c "Tableau" </w:instrText>
      </w:r>
      <w:r w:rsidRPr="009B63D2">
        <w:rPr>
          <w:rFonts w:ascii="Arial" w:hAnsi="Arial" w:cs="Arial"/>
          <w:b/>
          <w:i w:val="0"/>
          <w:color w:val="E36C0A"/>
          <w:sz w:val="22"/>
          <w:szCs w:val="22"/>
        </w:rPr>
        <w:fldChar w:fldCharType="separate"/>
      </w:r>
      <w:hyperlink w:anchor="_Toc432425305" w:history="1">
        <w:r w:rsidR="009B63D2" w:rsidRPr="009B63D2">
          <w:rPr>
            <w:rStyle w:val="Lienhypertexte"/>
            <w:rFonts w:ascii="Arial" w:hAnsi="Arial" w:cs="Arial"/>
            <w:i w:val="0"/>
            <w:noProof/>
            <w:sz w:val="22"/>
            <w:szCs w:val="22"/>
          </w:rPr>
          <w:t>Tableau 1: Dépenses par tête entre 2011 et 2015</w:t>
        </w:r>
        <w:r w:rsidR="009B63D2" w:rsidRPr="009B63D2">
          <w:rPr>
            <w:rFonts w:ascii="Arial" w:hAnsi="Arial" w:cs="Arial"/>
            <w:i w:val="0"/>
            <w:noProof/>
            <w:webHidden/>
            <w:sz w:val="22"/>
            <w:szCs w:val="22"/>
          </w:rPr>
          <w:tab/>
        </w:r>
        <w:r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_Toc432425305 \h </w:instrText>
        </w:r>
        <w:r w:rsidRPr="009B63D2">
          <w:rPr>
            <w:rFonts w:ascii="Arial" w:hAnsi="Arial" w:cs="Arial"/>
            <w:i w:val="0"/>
            <w:noProof/>
            <w:webHidden/>
            <w:sz w:val="22"/>
            <w:szCs w:val="22"/>
          </w:rPr>
        </w:r>
        <w:r w:rsidRPr="009B63D2">
          <w:rPr>
            <w:rFonts w:ascii="Arial" w:hAnsi="Arial" w:cs="Arial"/>
            <w:i w:val="0"/>
            <w:noProof/>
            <w:webHidden/>
            <w:sz w:val="22"/>
            <w:szCs w:val="22"/>
          </w:rPr>
          <w:fldChar w:fldCharType="separate"/>
        </w:r>
        <w:r w:rsidR="009B12DC">
          <w:rPr>
            <w:rFonts w:ascii="Arial" w:hAnsi="Arial" w:cs="Arial"/>
            <w:i w:val="0"/>
            <w:noProof/>
            <w:webHidden/>
            <w:sz w:val="22"/>
            <w:szCs w:val="22"/>
          </w:rPr>
          <w:t>7</w:t>
        </w:r>
        <w:r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06" w:history="1">
        <w:r w:rsidR="009B63D2" w:rsidRPr="009B63D2">
          <w:rPr>
            <w:rStyle w:val="Lienhypertexte"/>
            <w:rFonts w:ascii="Arial" w:hAnsi="Arial" w:cs="Arial"/>
            <w:i w:val="0"/>
            <w:noProof/>
            <w:sz w:val="22"/>
            <w:szCs w:val="22"/>
          </w:rPr>
          <w:t>Tableau 2: Indicateurs macroéconomiques</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_Toc432425306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8</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07" w:history="1">
        <w:r w:rsidR="009B63D2" w:rsidRPr="009B63D2">
          <w:rPr>
            <w:rStyle w:val="Lienhypertexte"/>
            <w:rFonts w:ascii="Arial" w:hAnsi="Arial" w:cs="Arial"/>
            <w:i w:val="0"/>
            <w:noProof/>
            <w:sz w:val="22"/>
            <w:szCs w:val="22"/>
          </w:rPr>
          <w:t>Tableau 3: Indices de  pauvreté monétaire suivant le milieu de résidence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_Toc432425307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10</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08" w:history="1">
        <w:r w:rsidR="009B63D2" w:rsidRPr="009B63D2">
          <w:rPr>
            <w:rStyle w:val="Lienhypertexte"/>
            <w:rFonts w:ascii="Arial" w:hAnsi="Arial" w:cs="Arial"/>
            <w:i w:val="0"/>
            <w:noProof/>
            <w:sz w:val="22"/>
            <w:szCs w:val="22"/>
          </w:rPr>
          <w:t>Tableau 4: Indices de pauvreté monétaire par département</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_Toc432425308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11</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09" w:history="1">
        <w:r w:rsidR="009B63D2" w:rsidRPr="009B63D2">
          <w:rPr>
            <w:rStyle w:val="Lienhypertexte"/>
            <w:rFonts w:ascii="Arial" w:hAnsi="Arial" w:cs="Arial"/>
            <w:i w:val="0"/>
            <w:noProof/>
            <w:sz w:val="22"/>
            <w:szCs w:val="22"/>
          </w:rPr>
          <w:t>Tableau 5</w:t>
        </w:r>
        <w:r w:rsidR="009B63D2" w:rsidRPr="009B63D2">
          <w:rPr>
            <w:rStyle w:val="Lienhypertexte"/>
            <w:rFonts w:ascii="Arial" w:hAnsi="Arial" w:cs="Arial"/>
            <w:b/>
            <w:i w:val="0"/>
            <w:noProof/>
            <w:sz w:val="22"/>
            <w:szCs w:val="22"/>
          </w:rPr>
          <w:t xml:space="preserve">: </w:t>
        </w:r>
        <w:r w:rsidR="009B63D2" w:rsidRPr="009B63D2">
          <w:rPr>
            <w:rStyle w:val="Lienhypertexte"/>
            <w:rFonts w:ascii="Arial" w:hAnsi="Arial" w:cs="Arial"/>
            <w:i w:val="0"/>
            <w:noProof/>
            <w:sz w:val="22"/>
            <w:szCs w:val="22"/>
          </w:rPr>
          <w:t>Pauvreté non  monétaire suivant le milieu de résidence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_Toc432425309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12</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0" w:history="1">
        <w:r w:rsidR="009B63D2" w:rsidRPr="009B63D2">
          <w:rPr>
            <w:rStyle w:val="Lienhypertexte"/>
            <w:rFonts w:ascii="Arial" w:hAnsi="Arial" w:cs="Arial"/>
            <w:i w:val="0"/>
            <w:noProof/>
            <w:sz w:val="22"/>
            <w:szCs w:val="22"/>
          </w:rPr>
          <w:t>Tableau 6</w:t>
        </w:r>
        <w:r w:rsidR="009B63D2" w:rsidRPr="009B63D2">
          <w:rPr>
            <w:rStyle w:val="Lienhypertexte"/>
            <w:rFonts w:ascii="Arial" w:hAnsi="Arial" w:cs="Arial"/>
            <w:b/>
            <w:i w:val="0"/>
            <w:noProof/>
            <w:sz w:val="22"/>
            <w:szCs w:val="22"/>
          </w:rPr>
          <w:t xml:space="preserve">: </w:t>
        </w:r>
        <w:r w:rsidR="009B63D2" w:rsidRPr="009B63D2">
          <w:rPr>
            <w:rStyle w:val="Lienhypertexte"/>
            <w:rFonts w:ascii="Arial" w:hAnsi="Arial" w:cs="Arial"/>
            <w:i w:val="0"/>
            <w:noProof/>
            <w:sz w:val="22"/>
            <w:szCs w:val="22"/>
          </w:rPr>
          <w:t>Indices de pauvreté non monétaire par département</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_Toc432425310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12</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1" w:history="1">
        <w:r w:rsidR="009B63D2" w:rsidRPr="009B63D2">
          <w:rPr>
            <w:rStyle w:val="Lienhypertexte"/>
            <w:rFonts w:ascii="Arial" w:hAnsi="Arial" w:cs="Arial"/>
            <w:i w:val="0"/>
            <w:noProof/>
            <w:sz w:val="22"/>
            <w:szCs w:val="22"/>
          </w:rPr>
          <w:t>Tableau 7: Pauvreté et niveau d'instruction du chef de ménage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_Toc432425311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16</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2" w:history="1">
        <w:r w:rsidR="009B63D2" w:rsidRPr="009B63D2">
          <w:rPr>
            <w:rStyle w:val="Lienhypertexte"/>
            <w:rFonts w:ascii="Arial" w:hAnsi="Arial" w:cs="Arial"/>
            <w:i w:val="0"/>
            <w:noProof/>
            <w:sz w:val="22"/>
            <w:szCs w:val="22"/>
          </w:rPr>
          <w:t>Tableau 8</w:t>
        </w:r>
        <w:r w:rsidR="009B63D2" w:rsidRPr="009B63D2">
          <w:rPr>
            <w:rStyle w:val="Lienhypertexte"/>
            <w:rFonts w:ascii="Arial" w:hAnsi="Arial" w:cs="Arial"/>
            <w:b/>
            <w:i w:val="0"/>
            <w:noProof/>
            <w:sz w:val="22"/>
            <w:szCs w:val="22"/>
          </w:rPr>
          <w:t>:</w:t>
        </w:r>
        <w:r w:rsidR="009B63D2" w:rsidRPr="009B63D2">
          <w:rPr>
            <w:rStyle w:val="Lienhypertexte"/>
            <w:rFonts w:ascii="Arial" w:hAnsi="Arial" w:cs="Arial"/>
            <w:i w:val="0"/>
            <w:noProof/>
            <w:sz w:val="22"/>
            <w:szCs w:val="22"/>
          </w:rPr>
          <w:t xml:space="preserve"> Pauvreté et taille du ménage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_Toc432425312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17</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3" w:history="1">
        <w:r w:rsidR="009B63D2" w:rsidRPr="009B63D2">
          <w:rPr>
            <w:rStyle w:val="Lienhypertexte"/>
            <w:rFonts w:ascii="Arial" w:hAnsi="Arial" w:cs="Arial"/>
            <w:i w:val="0"/>
            <w:noProof/>
            <w:sz w:val="22"/>
            <w:szCs w:val="22"/>
          </w:rPr>
          <w:t>Tableau 9: Incidence de pauvreté  et sexe du chef de ménage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_Toc432425313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18</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4" w:history="1">
        <w:r w:rsidR="009B63D2" w:rsidRPr="009B63D2">
          <w:rPr>
            <w:rStyle w:val="Lienhypertexte"/>
            <w:rFonts w:ascii="Arial" w:hAnsi="Arial" w:cs="Arial"/>
            <w:i w:val="0"/>
            <w:noProof/>
            <w:sz w:val="22"/>
            <w:szCs w:val="22"/>
          </w:rPr>
          <w:t>Tableau 10 : Inégalité suivant le lieu de résidence et le département entre 2009 et 2011</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_Toc432425314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19</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5" w:history="1">
        <w:r w:rsidR="009B63D2" w:rsidRPr="009B63D2">
          <w:rPr>
            <w:rStyle w:val="Lienhypertexte"/>
            <w:rFonts w:ascii="Arial" w:hAnsi="Arial" w:cs="Arial"/>
            <w:i w:val="0"/>
            <w:noProof/>
            <w:sz w:val="22"/>
            <w:szCs w:val="22"/>
          </w:rPr>
          <w:t>Tableau 11: Inégalité selon le sexe du chef de ménage entre 2009 et 2011</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_Toc432425315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21</w:t>
        </w:r>
        <w:r w:rsidR="00115FEB" w:rsidRPr="009B63D2">
          <w:rPr>
            <w:rFonts w:ascii="Arial" w:hAnsi="Arial" w:cs="Arial"/>
            <w:i w:val="0"/>
            <w:noProof/>
            <w:webHidden/>
            <w:sz w:val="22"/>
            <w:szCs w:val="22"/>
          </w:rPr>
          <w:fldChar w:fldCharType="end"/>
        </w:r>
      </w:hyperlink>
    </w:p>
    <w:p w:rsidR="009B63D2" w:rsidRPr="009B63D2" w:rsidRDefault="00DA1BC2" w:rsidP="009B63D2">
      <w:pPr>
        <w:pStyle w:val="Tabledesillustrations"/>
        <w:tabs>
          <w:tab w:val="right" w:leader="dot" w:pos="9062"/>
        </w:tabs>
        <w:ind w:left="1276" w:hanging="1276"/>
        <w:rPr>
          <w:rFonts w:ascii="Arial" w:eastAsiaTheme="minorEastAsia" w:hAnsi="Arial" w:cs="Arial"/>
          <w:i w:val="0"/>
          <w:iCs w:val="0"/>
          <w:noProof/>
          <w:sz w:val="22"/>
          <w:szCs w:val="22"/>
          <w:lang w:eastAsia="fr-FR"/>
        </w:rPr>
      </w:pPr>
      <w:hyperlink w:anchor="_Toc432425316" w:history="1">
        <w:r w:rsidR="009B63D2" w:rsidRPr="009B63D2">
          <w:rPr>
            <w:rStyle w:val="Lienhypertexte"/>
            <w:rFonts w:ascii="Arial" w:hAnsi="Arial" w:cs="Arial"/>
            <w:i w:val="0"/>
            <w:noProof/>
            <w:sz w:val="22"/>
            <w:szCs w:val="22"/>
          </w:rPr>
          <w:t>Tableau 12: Perception des individus par rapport à leur niveau de vie selon le milieu de résidence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_Toc432425316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24</w:t>
        </w:r>
        <w:r w:rsidR="00115FEB" w:rsidRPr="009B63D2">
          <w:rPr>
            <w:rFonts w:ascii="Arial" w:hAnsi="Arial" w:cs="Arial"/>
            <w:i w:val="0"/>
            <w:noProof/>
            <w:webHidden/>
            <w:sz w:val="22"/>
            <w:szCs w:val="22"/>
          </w:rPr>
          <w:fldChar w:fldCharType="end"/>
        </w:r>
      </w:hyperlink>
    </w:p>
    <w:p w:rsidR="009B63D2" w:rsidRPr="009B63D2" w:rsidRDefault="00DA1BC2" w:rsidP="009B63D2">
      <w:pPr>
        <w:pStyle w:val="Tabledesillustrations"/>
        <w:tabs>
          <w:tab w:val="right" w:leader="dot" w:pos="9062"/>
        </w:tabs>
        <w:ind w:left="1276" w:hanging="1276"/>
        <w:rPr>
          <w:rFonts w:ascii="Arial" w:eastAsiaTheme="minorEastAsia" w:hAnsi="Arial" w:cs="Arial"/>
          <w:i w:val="0"/>
          <w:iCs w:val="0"/>
          <w:noProof/>
          <w:sz w:val="22"/>
          <w:szCs w:val="22"/>
          <w:lang w:eastAsia="fr-FR"/>
        </w:rPr>
      </w:pPr>
      <w:hyperlink w:anchor="_Toc432425317" w:history="1">
        <w:r w:rsidR="009B63D2" w:rsidRPr="009B63D2">
          <w:rPr>
            <w:rStyle w:val="Lienhypertexte"/>
            <w:rFonts w:ascii="Arial" w:hAnsi="Arial" w:cs="Arial"/>
            <w:i w:val="0"/>
            <w:noProof/>
            <w:sz w:val="22"/>
            <w:szCs w:val="22"/>
          </w:rPr>
          <w:t>Tableau 13: Opinion par rapport à la situation économique du ménage selon le milieu de résidence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_Toc432425317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24</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8" w:history="1">
        <w:r w:rsidR="009B63D2" w:rsidRPr="009B63D2">
          <w:rPr>
            <w:rStyle w:val="Lienhypertexte"/>
            <w:rFonts w:ascii="Arial" w:hAnsi="Arial" w:cs="Arial"/>
            <w:i w:val="0"/>
            <w:noProof/>
            <w:sz w:val="22"/>
            <w:szCs w:val="22"/>
          </w:rPr>
          <w:t>Tableau 14</w:t>
        </w:r>
        <w:r w:rsidR="009B63D2" w:rsidRPr="009B63D2">
          <w:rPr>
            <w:rStyle w:val="Lienhypertexte"/>
            <w:rFonts w:ascii="Arial" w:eastAsia="Cambria" w:hAnsi="Arial" w:cs="Arial"/>
            <w:i w:val="0"/>
            <w:noProof/>
            <w:kern w:val="1"/>
            <w:sz w:val="22"/>
            <w:szCs w:val="22"/>
          </w:rPr>
          <w:t>: Décomposition des inégalités en composantes inter et intra groupe.</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_Toc432425318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24</w:t>
        </w:r>
        <w:r w:rsidR="00115FEB" w:rsidRPr="009B63D2">
          <w:rPr>
            <w:rFonts w:ascii="Arial" w:hAnsi="Arial" w:cs="Arial"/>
            <w:i w:val="0"/>
            <w:noProof/>
            <w:webHidden/>
            <w:sz w:val="22"/>
            <w:szCs w:val="22"/>
          </w:rPr>
          <w:fldChar w:fldCharType="end"/>
        </w:r>
      </w:hyperlink>
    </w:p>
    <w:p w:rsidR="009B63D2" w:rsidRPr="009B63D2" w:rsidRDefault="00DA1BC2">
      <w:pPr>
        <w:pStyle w:val="Tabledesillustrations"/>
        <w:tabs>
          <w:tab w:val="right" w:leader="dot" w:pos="9062"/>
        </w:tabs>
        <w:rPr>
          <w:rFonts w:ascii="Arial" w:eastAsiaTheme="minorEastAsia" w:hAnsi="Arial" w:cs="Arial"/>
          <w:i w:val="0"/>
          <w:iCs w:val="0"/>
          <w:noProof/>
          <w:sz w:val="22"/>
          <w:szCs w:val="22"/>
          <w:lang w:eastAsia="fr-FR"/>
        </w:rPr>
      </w:pPr>
      <w:hyperlink w:anchor="_Toc432425319" w:history="1">
        <w:r w:rsidR="009B63D2" w:rsidRPr="009B63D2">
          <w:rPr>
            <w:rStyle w:val="Lienhypertexte"/>
            <w:rFonts w:ascii="Arial" w:hAnsi="Arial" w:cs="Arial"/>
            <w:i w:val="0"/>
            <w:noProof/>
            <w:sz w:val="22"/>
            <w:szCs w:val="22"/>
          </w:rPr>
          <w:t>Tableau 15: Incidence de pauvreté monétaire des communes entre 2011 et 2015</w:t>
        </w:r>
        <w:r w:rsidR="009B63D2" w:rsidRPr="009B63D2">
          <w:rPr>
            <w:rFonts w:ascii="Arial" w:hAnsi="Arial" w:cs="Arial"/>
            <w:i w:val="0"/>
            <w:noProof/>
            <w:webHidden/>
            <w:sz w:val="22"/>
            <w:szCs w:val="22"/>
          </w:rPr>
          <w:tab/>
        </w:r>
        <w:r w:rsidR="00115FEB" w:rsidRPr="009B63D2">
          <w:rPr>
            <w:rFonts w:ascii="Arial" w:hAnsi="Arial" w:cs="Arial"/>
            <w:i w:val="0"/>
            <w:noProof/>
            <w:webHidden/>
            <w:sz w:val="22"/>
            <w:szCs w:val="22"/>
          </w:rPr>
          <w:fldChar w:fldCharType="begin"/>
        </w:r>
        <w:r w:rsidR="009B63D2" w:rsidRPr="009B63D2">
          <w:rPr>
            <w:rFonts w:ascii="Arial" w:hAnsi="Arial" w:cs="Arial"/>
            <w:i w:val="0"/>
            <w:noProof/>
            <w:webHidden/>
            <w:sz w:val="22"/>
            <w:szCs w:val="22"/>
          </w:rPr>
          <w:instrText xml:space="preserve"> PAGEREF _Toc432425319 \h </w:instrText>
        </w:r>
        <w:r w:rsidR="00115FEB" w:rsidRPr="009B63D2">
          <w:rPr>
            <w:rFonts w:ascii="Arial" w:hAnsi="Arial" w:cs="Arial"/>
            <w:i w:val="0"/>
            <w:noProof/>
            <w:webHidden/>
            <w:sz w:val="22"/>
            <w:szCs w:val="22"/>
          </w:rPr>
        </w:r>
        <w:r w:rsidR="00115FEB" w:rsidRPr="009B63D2">
          <w:rPr>
            <w:rFonts w:ascii="Arial" w:hAnsi="Arial" w:cs="Arial"/>
            <w:i w:val="0"/>
            <w:noProof/>
            <w:webHidden/>
            <w:sz w:val="22"/>
            <w:szCs w:val="22"/>
          </w:rPr>
          <w:fldChar w:fldCharType="separate"/>
        </w:r>
        <w:r w:rsidR="009B12DC">
          <w:rPr>
            <w:rFonts w:ascii="Arial" w:hAnsi="Arial" w:cs="Arial"/>
            <w:i w:val="0"/>
            <w:noProof/>
            <w:webHidden/>
            <w:sz w:val="22"/>
            <w:szCs w:val="22"/>
          </w:rPr>
          <w:t>25</w:t>
        </w:r>
        <w:r w:rsidR="00115FEB" w:rsidRPr="009B63D2">
          <w:rPr>
            <w:rFonts w:ascii="Arial" w:hAnsi="Arial" w:cs="Arial"/>
            <w:i w:val="0"/>
            <w:noProof/>
            <w:webHidden/>
            <w:sz w:val="22"/>
            <w:szCs w:val="22"/>
          </w:rPr>
          <w:fldChar w:fldCharType="end"/>
        </w:r>
      </w:hyperlink>
    </w:p>
    <w:p w:rsidR="009B63D2" w:rsidRPr="009B63D2" w:rsidRDefault="00115FEB" w:rsidP="009B63D2">
      <w:pPr>
        <w:spacing w:after="0"/>
        <w:rPr>
          <w:rFonts w:ascii="Arial" w:hAnsi="Arial" w:cs="Arial"/>
          <w:b/>
          <w:color w:val="E36C0A"/>
        </w:rPr>
      </w:pPr>
      <w:r w:rsidRPr="009B63D2">
        <w:rPr>
          <w:rFonts w:ascii="Arial" w:hAnsi="Arial" w:cs="Arial"/>
          <w:b/>
          <w:color w:val="E36C0A"/>
        </w:rPr>
        <w:fldChar w:fldCharType="end"/>
      </w:r>
    </w:p>
    <w:p w:rsidR="00314ED8" w:rsidRDefault="00314ED8">
      <w:pPr>
        <w:rPr>
          <w:rFonts w:ascii="Arial" w:hAnsi="Arial" w:cs="Arial"/>
          <w:b/>
          <w:color w:val="E36C0A"/>
          <w:sz w:val="28"/>
          <w:szCs w:val="28"/>
        </w:rPr>
      </w:pPr>
    </w:p>
    <w:p w:rsidR="009B63D2" w:rsidRDefault="009B63D2" w:rsidP="00A3207F">
      <w:pPr>
        <w:pStyle w:val="Titre1"/>
        <w:spacing w:before="0"/>
        <w:rPr>
          <w:rFonts w:ascii="Arial" w:hAnsi="Arial" w:cs="Arial"/>
          <w:color w:val="E36C0A" w:themeColor="accent6" w:themeShade="BF"/>
        </w:rPr>
      </w:pPr>
    </w:p>
    <w:p w:rsidR="009B63D2" w:rsidRDefault="009B63D2" w:rsidP="00A3207F">
      <w:pPr>
        <w:pStyle w:val="Titre1"/>
        <w:spacing w:before="0"/>
        <w:rPr>
          <w:rFonts w:ascii="Arial" w:hAnsi="Arial" w:cs="Arial"/>
          <w:color w:val="E36C0A" w:themeColor="accent6" w:themeShade="BF"/>
        </w:rPr>
        <w:sectPr w:rsidR="009B63D2" w:rsidSect="00F2196D">
          <w:pgSz w:w="11906" w:h="16838"/>
          <w:pgMar w:top="1417" w:right="1417" w:bottom="1417" w:left="1417" w:header="708" w:footer="708" w:gutter="0"/>
          <w:cols w:space="708"/>
          <w:docGrid w:linePitch="360"/>
        </w:sectPr>
      </w:pPr>
    </w:p>
    <w:p w:rsidR="00314ED8" w:rsidRPr="00A3207F" w:rsidRDefault="007C1557" w:rsidP="00052484">
      <w:pPr>
        <w:pStyle w:val="Titre1"/>
        <w:spacing w:before="0"/>
        <w:rPr>
          <w:rFonts w:ascii="Arial" w:hAnsi="Arial" w:cs="Arial"/>
          <w:color w:val="E36C0A" w:themeColor="accent6" w:themeShade="BF"/>
        </w:rPr>
      </w:pPr>
      <w:bookmarkStart w:id="5" w:name="_Toc433391193"/>
      <w:r w:rsidRPr="00A3207F">
        <w:rPr>
          <w:rFonts w:ascii="Arial" w:hAnsi="Arial" w:cs="Arial"/>
          <w:color w:val="E36C0A" w:themeColor="accent6" w:themeShade="BF"/>
        </w:rPr>
        <w:lastRenderedPageBreak/>
        <w:t xml:space="preserve">Liste des </w:t>
      </w:r>
      <w:r w:rsidR="00A77EAB">
        <w:rPr>
          <w:rFonts w:ascii="Arial" w:hAnsi="Arial" w:cs="Arial"/>
          <w:color w:val="E36C0A" w:themeColor="accent6" w:themeShade="BF"/>
        </w:rPr>
        <w:t>figures</w:t>
      </w:r>
      <w:bookmarkEnd w:id="5"/>
    </w:p>
    <w:p w:rsidR="00314ED8" w:rsidRDefault="00314ED8" w:rsidP="00052484">
      <w:pPr>
        <w:spacing w:after="0"/>
        <w:rPr>
          <w:rFonts w:ascii="Arial" w:hAnsi="Arial" w:cs="Arial"/>
          <w:b/>
          <w:color w:val="E36C0A"/>
          <w:sz w:val="28"/>
          <w:szCs w:val="28"/>
        </w:rPr>
      </w:pPr>
    </w:p>
    <w:p w:rsidR="00BA47C8" w:rsidRPr="00BA47C8" w:rsidRDefault="00115FEB">
      <w:pPr>
        <w:pStyle w:val="Tabledesillustrations"/>
        <w:tabs>
          <w:tab w:val="right" w:leader="dot" w:pos="9062"/>
        </w:tabs>
        <w:rPr>
          <w:rFonts w:eastAsiaTheme="minorEastAsia"/>
          <w:i w:val="0"/>
          <w:iCs w:val="0"/>
          <w:noProof/>
          <w:sz w:val="22"/>
          <w:szCs w:val="22"/>
          <w:lang w:eastAsia="fr-FR"/>
        </w:rPr>
      </w:pPr>
      <w:r w:rsidRPr="00BA47C8">
        <w:rPr>
          <w:rFonts w:ascii="Arial" w:hAnsi="Arial" w:cs="Arial"/>
          <w:i w:val="0"/>
          <w:color w:val="E36C0A"/>
          <w:sz w:val="22"/>
          <w:szCs w:val="22"/>
        </w:rPr>
        <w:fldChar w:fldCharType="begin"/>
      </w:r>
      <w:r w:rsidR="003A5933" w:rsidRPr="00BA47C8">
        <w:rPr>
          <w:rFonts w:ascii="Arial" w:hAnsi="Arial" w:cs="Arial"/>
          <w:i w:val="0"/>
          <w:color w:val="E36C0A"/>
          <w:sz w:val="22"/>
          <w:szCs w:val="22"/>
        </w:rPr>
        <w:instrText xml:space="preserve"> TOC \h \z \c "Figure" </w:instrText>
      </w:r>
      <w:r w:rsidRPr="00BA47C8">
        <w:rPr>
          <w:rFonts w:ascii="Arial" w:hAnsi="Arial" w:cs="Arial"/>
          <w:i w:val="0"/>
          <w:color w:val="E36C0A"/>
          <w:sz w:val="22"/>
          <w:szCs w:val="22"/>
        </w:rPr>
        <w:fldChar w:fldCharType="separate"/>
      </w:r>
      <w:hyperlink w:anchor="_Toc433391919" w:history="1">
        <w:r w:rsidR="00BA47C8" w:rsidRPr="00BA47C8">
          <w:rPr>
            <w:rStyle w:val="Lienhypertexte"/>
            <w:rFonts w:ascii="Arial" w:hAnsi="Arial" w:cs="Arial"/>
            <w:i w:val="0"/>
            <w:noProof/>
            <w:sz w:val="22"/>
            <w:szCs w:val="22"/>
          </w:rPr>
          <w:t>Figure 1: Evolution de l’incidence de pauvreté entre 2011 et 2015 selon le milieu de résidence</w:t>
        </w:r>
        <w:r w:rsidR="00BA47C8" w:rsidRPr="00BA47C8">
          <w:rPr>
            <w:i w:val="0"/>
            <w:noProof/>
            <w:webHidden/>
            <w:sz w:val="22"/>
            <w:szCs w:val="22"/>
          </w:rPr>
          <w:tab/>
        </w:r>
        <w:r w:rsidRPr="00BA47C8">
          <w:rPr>
            <w:i w:val="0"/>
            <w:noProof/>
            <w:webHidden/>
            <w:sz w:val="22"/>
            <w:szCs w:val="22"/>
          </w:rPr>
          <w:fldChar w:fldCharType="begin"/>
        </w:r>
        <w:r w:rsidR="00BA47C8" w:rsidRPr="00BA47C8">
          <w:rPr>
            <w:i w:val="0"/>
            <w:noProof/>
            <w:webHidden/>
            <w:sz w:val="22"/>
            <w:szCs w:val="22"/>
          </w:rPr>
          <w:instrText xml:space="preserve"> PAGEREF _Toc433391919 \h </w:instrText>
        </w:r>
        <w:r w:rsidRPr="00BA47C8">
          <w:rPr>
            <w:i w:val="0"/>
            <w:noProof/>
            <w:webHidden/>
            <w:sz w:val="22"/>
            <w:szCs w:val="22"/>
          </w:rPr>
        </w:r>
        <w:r w:rsidRPr="00BA47C8">
          <w:rPr>
            <w:i w:val="0"/>
            <w:noProof/>
            <w:webHidden/>
            <w:sz w:val="22"/>
            <w:szCs w:val="22"/>
          </w:rPr>
          <w:fldChar w:fldCharType="separate"/>
        </w:r>
        <w:r w:rsidR="009B12DC">
          <w:rPr>
            <w:i w:val="0"/>
            <w:noProof/>
            <w:webHidden/>
            <w:sz w:val="22"/>
            <w:szCs w:val="22"/>
          </w:rPr>
          <w:t>9</w:t>
        </w:r>
        <w:r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0" w:history="1">
        <w:r w:rsidR="00BA47C8" w:rsidRPr="00BA47C8">
          <w:rPr>
            <w:rStyle w:val="Lienhypertexte"/>
            <w:rFonts w:ascii="Arial" w:hAnsi="Arial" w:cs="Arial"/>
            <w:i w:val="0"/>
            <w:noProof/>
            <w:sz w:val="22"/>
            <w:szCs w:val="22"/>
          </w:rPr>
          <w:t>Figure 2: Etat d’aggravation de la pauvreté dans les départements entre 2011 et 2015</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_Toc433391920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10</w:t>
        </w:r>
        <w:r w:rsidR="00115FEB"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1" w:history="1">
        <w:r w:rsidR="00BA47C8" w:rsidRPr="00BA47C8">
          <w:rPr>
            <w:rStyle w:val="Lienhypertexte"/>
            <w:rFonts w:ascii="Arial" w:hAnsi="Arial" w:cs="Arial"/>
            <w:i w:val="0"/>
            <w:noProof/>
            <w:sz w:val="22"/>
            <w:szCs w:val="22"/>
          </w:rPr>
          <w:t>Figure 3</w:t>
        </w:r>
        <w:r w:rsidR="00BA47C8" w:rsidRPr="00BA47C8">
          <w:rPr>
            <w:rStyle w:val="Lienhypertexte"/>
            <w:rFonts w:ascii="Arial" w:hAnsi="Arial" w:cs="Arial"/>
            <w:b/>
            <w:i w:val="0"/>
            <w:noProof/>
            <w:sz w:val="22"/>
            <w:szCs w:val="22"/>
          </w:rPr>
          <w:t xml:space="preserve">: </w:t>
        </w:r>
        <w:r w:rsidR="00BA47C8" w:rsidRPr="00BA47C8">
          <w:rPr>
            <w:rStyle w:val="Lienhypertexte"/>
            <w:rFonts w:ascii="Arial" w:hAnsi="Arial" w:cs="Arial"/>
            <w:i w:val="0"/>
            <w:noProof/>
            <w:sz w:val="22"/>
            <w:szCs w:val="22"/>
          </w:rPr>
          <w:t>Etat d’aggravation de la pauvreté non monétaire dans les départements entre 2011 et 2015</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_Toc433391921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13</w:t>
        </w:r>
        <w:r w:rsidR="00115FEB"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2" w:history="1">
        <w:r w:rsidR="00BA47C8" w:rsidRPr="00BA47C8">
          <w:rPr>
            <w:rStyle w:val="Lienhypertexte"/>
            <w:rFonts w:ascii="Arial" w:hAnsi="Arial" w:cs="Arial"/>
            <w:i w:val="0"/>
            <w:noProof/>
            <w:sz w:val="22"/>
            <w:szCs w:val="22"/>
          </w:rPr>
          <w:t>Figure 4: Perception des individus par rapport à leur niveau de vie</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_Toc433391922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14</w:t>
        </w:r>
        <w:r w:rsidR="00115FEB"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3" w:history="1">
        <w:r w:rsidR="00BA47C8" w:rsidRPr="00BA47C8">
          <w:rPr>
            <w:rStyle w:val="Lienhypertexte"/>
            <w:rFonts w:ascii="Arial" w:hAnsi="Arial" w:cs="Arial"/>
            <w:i w:val="0"/>
            <w:noProof/>
            <w:sz w:val="22"/>
            <w:szCs w:val="22"/>
          </w:rPr>
          <w:t>Figure 5: Opinion des individus par rapport à la situation économique du ménage</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_Toc433391923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15</w:t>
        </w:r>
        <w:r w:rsidR="00115FEB"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4" w:history="1">
        <w:r w:rsidR="00BA47C8" w:rsidRPr="00BA47C8">
          <w:rPr>
            <w:rStyle w:val="Lienhypertexte"/>
            <w:rFonts w:ascii="Arial" w:hAnsi="Arial" w:cs="Arial"/>
            <w:i w:val="0"/>
            <w:noProof/>
            <w:sz w:val="22"/>
            <w:szCs w:val="22"/>
          </w:rPr>
          <w:t>Figure 6: Incidence du noyau dur de la pauvreté (%)</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_Toc433391924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15</w:t>
        </w:r>
        <w:r w:rsidR="00115FEB" w:rsidRPr="00BA47C8">
          <w:rPr>
            <w:i w:val="0"/>
            <w:noProof/>
            <w:webHidden/>
            <w:sz w:val="22"/>
            <w:szCs w:val="22"/>
          </w:rPr>
          <w:fldChar w:fldCharType="end"/>
        </w:r>
      </w:hyperlink>
    </w:p>
    <w:p w:rsidR="00BA47C8" w:rsidRPr="00BA47C8" w:rsidRDefault="00DA1BC2">
      <w:pPr>
        <w:pStyle w:val="Tabledesillustrations"/>
        <w:tabs>
          <w:tab w:val="right" w:leader="dot" w:pos="9062"/>
        </w:tabs>
        <w:rPr>
          <w:rFonts w:eastAsiaTheme="minorEastAsia"/>
          <w:i w:val="0"/>
          <w:iCs w:val="0"/>
          <w:noProof/>
          <w:sz w:val="22"/>
          <w:szCs w:val="22"/>
          <w:lang w:eastAsia="fr-FR"/>
        </w:rPr>
      </w:pPr>
      <w:hyperlink w:anchor="_Toc433391925" w:history="1">
        <w:r w:rsidR="00BA47C8" w:rsidRPr="00BA47C8">
          <w:rPr>
            <w:rStyle w:val="Lienhypertexte"/>
            <w:rFonts w:ascii="Arial" w:hAnsi="Arial" w:cs="Arial"/>
            <w:i w:val="0"/>
            <w:noProof/>
            <w:sz w:val="22"/>
            <w:szCs w:val="22"/>
          </w:rPr>
          <w:t>Figure 7: Etat d’aggravation des inégalités dans les départements entre 2011 et 2015</w:t>
        </w:r>
        <w:r w:rsidR="00BA47C8" w:rsidRPr="00BA47C8">
          <w:rPr>
            <w:i w:val="0"/>
            <w:noProof/>
            <w:webHidden/>
            <w:sz w:val="22"/>
            <w:szCs w:val="22"/>
          </w:rPr>
          <w:tab/>
        </w:r>
        <w:r w:rsidR="00115FEB" w:rsidRPr="00BA47C8">
          <w:rPr>
            <w:i w:val="0"/>
            <w:noProof/>
            <w:webHidden/>
            <w:sz w:val="22"/>
            <w:szCs w:val="22"/>
          </w:rPr>
          <w:fldChar w:fldCharType="begin"/>
        </w:r>
        <w:r w:rsidR="00BA47C8" w:rsidRPr="00BA47C8">
          <w:rPr>
            <w:i w:val="0"/>
            <w:noProof/>
            <w:webHidden/>
            <w:sz w:val="22"/>
            <w:szCs w:val="22"/>
          </w:rPr>
          <w:instrText xml:space="preserve"> PAGEREF _Toc433391925 \h </w:instrText>
        </w:r>
        <w:r w:rsidR="00115FEB" w:rsidRPr="00BA47C8">
          <w:rPr>
            <w:i w:val="0"/>
            <w:noProof/>
            <w:webHidden/>
            <w:sz w:val="22"/>
            <w:szCs w:val="22"/>
          </w:rPr>
        </w:r>
        <w:r w:rsidR="00115FEB" w:rsidRPr="00BA47C8">
          <w:rPr>
            <w:i w:val="0"/>
            <w:noProof/>
            <w:webHidden/>
            <w:sz w:val="22"/>
            <w:szCs w:val="22"/>
          </w:rPr>
          <w:fldChar w:fldCharType="separate"/>
        </w:r>
        <w:r w:rsidR="009B12DC">
          <w:rPr>
            <w:i w:val="0"/>
            <w:noProof/>
            <w:webHidden/>
            <w:sz w:val="22"/>
            <w:szCs w:val="22"/>
          </w:rPr>
          <w:t>20</w:t>
        </w:r>
        <w:r w:rsidR="00115FEB" w:rsidRPr="00BA47C8">
          <w:rPr>
            <w:i w:val="0"/>
            <w:noProof/>
            <w:webHidden/>
            <w:sz w:val="22"/>
            <w:szCs w:val="22"/>
          </w:rPr>
          <w:fldChar w:fldCharType="end"/>
        </w:r>
      </w:hyperlink>
    </w:p>
    <w:p w:rsidR="00314ED8" w:rsidRPr="003A5933" w:rsidRDefault="00115FEB" w:rsidP="00052484">
      <w:pPr>
        <w:spacing w:after="0"/>
        <w:rPr>
          <w:rFonts w:ascii="Arial" w:hAnsi="Arial" w:cs="Arial"/>
          <w:color w:val="E36C0A"/>
        </w:rPr>
      </w:pPr>
      <w:r w:rsidRPr="00BA47C8">
        <w:rPr>
          <w:rFonts w:ascii="Arial" w:hAnsi="Arial" w:cs="Arial"/>
          <w:color w:val="E36C0A"/>
        </w:rPr>
        <w:fldChar w:fldCharType="end"/>
      </w:r>
    </w:p>
    <w:p w:rsidR="00314ED8" w:rsidRDefault="00314ED8">
      <w:pPr>
        <w:rPr>
          <w:rFonts w:ascii="Arial" w:hAnsi="Arial" w:cs="Arial"/>
          <w:b/>
          <w:color w:val="E36C0A"/>
          <w:sz w:val="28"/>
          <w:szCs w:val="28"/>
        </w:rPr>
      </w:pPr>
    </w:p>
    <w:p w:rsidR="00314ED8" w:rsidRDefault="00314ED8">
      <w:pPr>
        <w:rPr>
          <w:rFonts w:ascii="Arial" w:hAnsi="Arial" w:cs="Arial"/>
          <w:b/>
          <w:color w:val="E36C0A"/>
          <w:sz w:val="28"/>
          <w:szCs w:val="28"/>
        </w:rPr>
      </w:pPr>
    </w:p>
    <w:p w:rsidR="00314ED8" w:rsidRDefault="00314ED8">
      <w:pPr>
        <w:rPr>
          <w:rFonts w:ascii="Arial" w:hAnsi="Arial" w:cs="Arial"/>
          <w:b/>
          <w:color w:val="E36C0A"/>
          <w:sz w:val="28"/>
          <w:szCs w:val="28"/>
        </w:rPr>
      </w:pPr>
    </w:p>
    <w:p w:rsidR="00314ED8" w:rsidRDefault="00314ED8">
      <w:pPr>
        <w:rPr>
          <w:rFonts w:ascii="Arial" w:hAnsi="Arial" w:cs="Arial"/>
          <w:b/>
          <w:color w:val="E36C0A"/>
          <w:sz w:val="28"/>
          <w:szCs w:val="28"/>
        </w:rPr>
      </w:pPr>
    </w:p>
    <w:p w:rsidR="00193832" w:rsidRDefault="00193832" w:rsidP="00FA0ACB">
      <w:pPr>
        <w:pStyle w:val="Titre1"/>
        <w:spacing w:before="0"/>
        <w:rPr>
          <w:rFonts w:ascii="Arial" w:hAnsi="Arial" w:cs="Arial"/>
          <w:color w:val="E36C0A" w:themeColor="accent6" w:themeShade="BF"/>
        </w:rPr>
        <w:sectPr w:rsidR="00193832" w:rsidSect="00F2196D">
          <w:pgSz w:w="11906" w:h="16838"/>
          <w:pgMar w:top="1417" w:right="1417" w:bottom="1417" w:left="1417" w:header="708" w:footer="708" w:gutter="0"/>
          <w:cols w:space="708"/>
          <w:docGrid w:linePitch="360"/>
        </w:sectPr>
      </w:pPr>
    </w:p>
    <w:p w:rsidR="00314ED8" w:rsidRPr="00FA0ACB" w:rsidRDefault="007C1557" w:rsidP="00FA0ACB">
      <w:pPr>
        <w:pStyle w:val="Titre1"/>
        <w:spacing w:before="0"/>
        <w:rPr>
          <w:rFonts w:ascii="Arial" w:hAnsi="Arial" w:cs="Arial"/>
          <w:color w:val="E36C0A" w:themeColor="accent6" w:themeShade="BF"/>
        </w:rPr>
      </w:pPr>
      <w:bookmarkStart w:id="6" w:name="_Toc433391194"/>
      <w:r w:rsidRPr="00FA0ACB">
        <w:rPr>
          <w:rFonts w:ascii="Arial" w:hAnsi="Arial" w:cs="Arial"/>
          <w:color w:val="E36C0A" w:themeColor="accent6" w:themeShade="BF"/>
        </w:rPr>
        <w:lastRenderedPageBreak/>
        <w:t>Introduction</w:t>
      </w:r>
      <w:bookmarkEnd w:id="6"/>
    </w:p>
    <w:p w:rsidR="00FA0ACB" w:rsidRDefault="00FA0ACB" w:rsidP="00FA0ACB">
      <w:pPr>
        <w:spacing w:after="0"/>
        <w:jc w:val="both"/>
        <w:rPr>
          <w:rFonts w:ascii="Arial" w:hAnsi="Arial" w:cs="Arial"/>
        </w:rPr>
      </w:pPr>
    </w:p>
    <w:p w:rsidR="00314ED8" w:rsidRDefault="007C1557">
      <w:pPr>
        <w:jc w:val="both"/>
        <w:rPr>
          <w:rFonts w:ascii="Arial" w:hAnsi="Arial" w:cs="Arial"/>
        </w:rPr>
      </w:pPr>
      <w:r w:rsidRPr="007C1557">
        <w:rPr>
          <w:rFonts w:ascii="Arial" w:hAnsi="Arial" w:cs="Arial"/>
        </w:rPr>
        <w:t>Pour le suivi de la Stratégie de Croissance pour la Réduction de la Pauvreté pour la période 2011-2015, le Gouvernement a retenu un dispositif amélioré de suivi-évaluation qui met l’accent sur une forte implication des parties prenantes et un partage clair des rôles et responsabilités des acteurs.Son objectif est de disposer à terme d’un système national adéquat, capable de mesurer périodiquement la pertinence, l’efficacité, l’efficience et la pérennité des actions menées dans le cadre de la mise en œuvre de la SCRP. En d’autres termes, le système mis en place permettra non seulement d’obtenir une meilleure connaissance des conditions de vie des populations, mais également d’apprécier les résultats et impacts des politiques, programmes et projets de développement mis en œuvre dans le cadre de la Stratégie de Croissance pour la Réduction de la Pauvreté, en rapport avec l'environnement social, culturel, économique, politique et géographique du pays</w:t>
      </w:r>
      <w:r w:rsidR="00917CE0">
        <w:rPr>
          <w:rFonts w:ascii="Arial" w:hAnsi="Arial" w:cs="Arial"/>
        </w:rPr>
        <w:t>.</w:t>
      </w:r>
    </w:p>
    <w:p w:rsidR="00314ED8" w:rsidRDefault="00777E19">
      <w:pPr>
        <w:jc w:val="both"/>
        <w:rPr>
          <w:rFonts w:ascii="Arial" w:hAnsi="Arial" w:cs="Arial"/>
        </w:rPr>
      </w:pPr>
      <w:r>
        <w:rPr>
          <w:rFonts w:ascii="Arial" w:hAnsi="Arial" w:cs="Arial"/>
        </w:rPr>
        <w:t xml:space="preserve">A cet effet, </w:t>
      </w:r>
      <w:r w:rsidR="007C1557" w:rsidRPr="007C1557">
        <w:rPr>
          <w:rFonts w:ascii="Arial" w:hAnsi="Arial" w:cs="Arial"/>
        </w:rPr>
        <w:t xml:space="preserve">plusieurs réformes </w:t>
      </w:r>
      <w:r w:rsidR="00326F54">
        <w:rPr>
          <w:rFonts w:ascii="Arial" w:hAnsi="Arial" w:cs="Arial"/>
        </w:rPr>
        <w:t xml:space="preserve">ont été engagées </w:t>
      </w:r>
      <w:r w:rsidR="007C1557" w:rsidRPr="007C1557">
        <w:rPr>
          <w:rFonts w:ascii="Arial" w:hAnsi="Arial" w:cs="Arial"/>
        </w:rPr>
        <w:t xml:space="preserve">pour assurer </w:t>
      </w:r>
      <w:r w:rsidR="00B17BFD">
        <w:rPr>
          <w:rFonts w:ascii="Arial" w:hAnsi="Arial" w:cs="Arial"/>
        </w:rPr>
        <w:t>en</w:t>
      </w:r>
      <w:r w:rsidR="00A258AF">
        <w:rPr>
          <w:rFonts w:ascii="Arial" w:hAnsi="Arial" w:cs="Arial"/>
        </w:rPr>
        <w:t>tre</w:t>
      </w:r>
      <w:r w:rsidR="00B17BFD">
        <w:rPr>
          <w:rFonts w:ascii="Arial" w:hAnsi="Arial" w:cs="Arial"/>
        </w:rPr>
        <w:t xml:space="preserve"> autres, </w:t>
      </w:r>
      <w:r w:rsidR="007C1557" w:rsidRPr="007C1557">
        <w:rPr>
          <w:rFonts w:ascii="Arial" w:hAnsi="Arial" w:cs="Arial"/>
        </w:rPr>
        <w:t xml:space="preserve">le suivi de </w:t>
      </w:r>
      <w:r w:rsidR="00A258AF">
        <w:rPr>
          <w:rFonts w:ascii="Arial" w:hAnsi="Arial" w:cs="Arial"/>
        </w:rPr>
        <w:t xml:space="preserve">la </w:t>
      </w:r>
      <w:r w:rsidR="007C1557" w:rsidRPr="007C1557">
        <w:rPr>
          <w:rFonts w:ascii="Arial" w:hAnsi="Arial" w:cs="Arial"/>
        </w:rPr>
        <w:t>pauvreté et des conditi</w:t>
      </w:r>
      <w:r w:rsidR="00A258AF">
        <w:rPr>
          <w:rFonts w:ascii="Arial" w:hAnsi="Arial" w:cs="Arial"/>
        </w:rPr>
        <w:t xml:space="preserve">ons de vie des ménages au Bénin avec pour </w:t>
      </w:r>
      <w:r w:rsidR="00B17BFD">
        <w:rPr>
          <w:rFonts w:ascii="Arial" w:hAnsi="Arial" w:cs="Arial"/>
        </w:rPr>
        <w:t xml:space="preserve">grand défi, d’assurer efficacement </w:t>
      </w:r>
      <w:r w:rsidR="007C1557" w:rsidRPr="007C1557">
        <w:rPr>
          <w:rFonts w:ascii="Arial" w:hAnsi="Arial" w:cs="Arial"/>
        </w:rPr>
        <w:t>le suivi et l’évaluation des stratégies contenues dans la SCRP</w:t>
      </w:r>
      <w:r w:rsidR="0041624C">
        <w:rPr>
          <w:rFonts w:ascii="Arial" w:hAnsi="Arial" w:cs="Arial"/>
        </w:rPr>
        <w:t xml:space="preserve"> pour une meilleure </w:t>
      </w:r>
      <w:r w:rsidR="007C1557" w:rsidRPr="007C1557">
        <w:rPr>
          <w:rFonts w:ascii="Arial" w:hAnsi="Arial" w:cs="Arial"/>
        </w:rPr>
        <w:t xml:space="preserve">réorientation des politiques de développement et de lutte contre la pauvreté. </w:t>
      </w:r>
    </w:p>
    <w:p w:rsidR="00314ED8" w:rsidRDefault="007C1557">
      <w:pPr>
        <w:jc w:val="both"/>
        <w:rPr>
          <w:rFonts w:ascii="Arial" w:hAnsi="Arial" w:cs="Arial"/>
        </w:rPr>
      </w:pPr>
      <w:r w:rsidRPr="007C1557">
        <w:rPr>
          <w:rFonts w:ascii="Arial" w:hAnsi="Arial" w:cs="Arial"/>
        </w:rPr>
        <w:t xml:space="preserve">Ce document vise à </w:t>
      </w:r>
      <w:r w:rsidR="00A713DD">
        <w:rPr>
          <w:rFonts w:ascii="Arial" w:hAnsi="Arial" w:cs="Arial"/>
        </w:rPr>
        <w:t xml:space="preserve">informer sur l’évolution de la pauvreté entre 2011 et 2015 en vue  </w:t>
      </w:r>
      <w:r w:rsidRPr="007C1557">
        <w:rPr>
          <w:rFonts w:ascii="Arial" w:hAnsi="Arial" w:cs="Arial"/>
        </w:rPr>
        <w:t xml:space="preserve">renforcer la coordination des actions des acteurs nationaux ainsi que des partenaires au développement en fonction des capacités techniques et institutionnelles du Gouvernement. </w:t>
      </w:r>
      <w:r w:rsidR="00E5199F">
        <w:rPr>
          <w:rFonts w:ascii="Arial" w:hAnsi="Arial" w:cs="Arial"/>
        </w:rPr>
        <w:t xml:space="preserve">Cette analyse </w:t>
      </w:r>
      <w:r w:rsidR="00A713DD">
        <w:rPr>
          <w:rFonts w:ascii="Arial" w:hAnsi="Arial" w:cs="Arial"/>
        </w:rPr>
        <w:t>est basée sur l’Enquête Modulaire Intégrée sur les Conditions de Vie des Ménages (EMICoV)</w:t>
      </w:r>
      <w:r w:rsidR="00E5199F">
        <w:rPr>
          <w:rFonts w:ascii="Arial" w:hAnsi="Arial" w:cs="Arial"/>
        </w:rPr>
        <w:t xml:space="preserve"> réalisée en 2015</w:t>
      </w:r>
      <w:r w:rsidR="00921735">
        <w:rPr>
          <w:rFonts w:ascii="Arial" w:hAnsi="Arial" w:cs="Arial"/>
        </w:rPr>
        <w:t>.</w:t>
      </w:r>
    </w:p>
    <w:p w:rsidR="00314ED8" w:rsidRDefault="005D6C4C">
      <w:pPr>
        <w:jc w:val="both"/>
        <w:rPr>
          <w:rFonts w:ascii="Arial" w:hAnsi="Arial" w:cs="Arial"/>
        </w:rPr>
      </w:pPr>
      <w:r>
        <w:rPr>
          <w:rFonts w:ascii="Arial" w:hAnsi="Arial" w:cs="Arial"/>
        </w:rPr>
        <w:t xml:space="preserve">Il est organisé en </w:t>
      </w:r>
      <w:r w:rsidR="007C1557" w:rsidRPr="007C1557">
        <w:rPr>
          <w:rFonts w:ascii="Arial" w:hAnsi="Arial" w:cs="Arial"/>
        </w:rPr>
        <w:t>deux</w:t>
      </w:r>
      <w:r>
        <w:rPr>
          <w:rFonts w:ascii="Arial" w:hAnsi="Arial" w:cs="Arial"/>
        </w:rPr>
        <w:t xml:space="preserve"> parties. </w:t>
      </w:r>
      <w:r w:rsidR="00B44035">
        <w:rPr>
          <w:rFonts w:ascii="Arial" w:hAnsi="Arial" w:cs="Arial"/>
        </w:rPr>
        <w:t xml:space="preserve">Elles présentent respectivement </w:t>
      </w:r>
      <w:r w:rsidR="007C1557" w:rsidRPr="007C1557">
        <w:rPr>
          <w:rFonts w:ascii="Arial" w:hAnsi="Arial" w:cs="Arial"/>
        </w:rPr>
        <w:t xml:space="preserve">la situation de la pauvreté </w:t>
      </w:r>
      <w:r w:rsidR="00B44035">
        <w:rPr>
          <w:rFonts w:ascii="Arial" w:hAnsi="Arial" w:cs="Arial"/>
        </w:rPr>
        <w:t xml:space="preserve">et </w:t>
      </w:r>
      <w:r>
        <w:rPr>
          <w:rFonts w:ascii="Arial" w:hAnsi="Arial" w:cs="Arial"/>
        </w:rPr>
        <w:t>l’évolution</w:t>
      </w:r>
      <w:r w:rsidR="007C1557" w:rsidRPr="007C1557">
        <w:rPr>
          <w:rFonts w:ascii="Arial" w:hAnsi="Arial" w:cs="Arial"/>
        </w:rPr>
        <w:t xml:space="preserve"> les inégalités dans la di</w:t>
      </w:r>
      <w:r w:rsidR="007C1557">
        <w:rPr>
          <w:rFonts w:ascii="Arial" w:hAnsi="Arial" w:cs="Arial"/>
        </w:rPr>
        <w:t>stribution des revenus au Bénin</w:t>
      </w:r>
      <w:r w:rsidR="00B44035" w:rsidRPr="005D6C4C">
        <w:rPr>
          <w:rFonts w:ascii="Arial" w:hAnsi="Arial" w:cs="Arial"/>
        </w:rPr>
        <w:t>entre 2011 et 2015</w:t>
      </w:r>
      <w:r w:rsidR="00B44035">
        <w:rPr>
          <w:rFonts w:ascii="Arial" w:hAnsi="Arial" w:cs="Arial"/>
        </w:rPr>
        <w:t>.</w:t>
      </w:r>
    </w:p>
    <w:p w:rsidR="00314ED8" w:rsidRPr="00FA0ACB" w:rsidRDefault="00FA0ACB" w:rsidP="00FA0ACB">
      <w:pPr>
        <w:pStyle w:val="Titre1"/>
        <w:spacing w:before="0"/>
        <w:rPr>
          <w:rFonts w:ascii="Arial" w:hAnsi="Arial" w:cs="Arial"/>
          <w:color w:val="E36C0A" w:themeColor="accent6" w:themeShade="BF"/>
        </w:rPr>
      </w:pPr>
      <w:bookmarkStart w:id="7" w:name="_Toc433391195"/>
      <w:r>
        <w:rPr>
          <w:rFonts w:ascii="Arial" w:hAnsi="Arial" w:cs="Arial"/>
          <w:color w:val="E36C0A" w:themeColor="accent6" w:themeShade="BF"/>
        </w:rPr>
        <w:t xml:space="preserve">1. </w:t>
      </w:r>
      <w:r w:rsidR="007C1557" w:rsidRPr="00FA0ACB">
        <w:rPr>
          <w:rFonts w:ascii="Arial" w:hAnsi="Arial" w:cs="Arial"/>
          <w:color w:val="E36C0A" w:themeColor="accent6" w:themeShade="BF"/>
        </w:rPr>
        <w:t>Situation de la pauvreté en 2011 et 2015</w:t>
      </w:r>
      <w:bookmarkEnd w:id="7"/>
    </w:p>
    <w:p w:rsidR="00FA0ACB" w:rsidRDefault="00FA0ACB" w:rsidP="00FA0ACB">
      <w:pPr>
        <w:spacing w:after="0"/>
        <w:jc w:val="both"/>
        <w:rPr>
          <w:rFonts w:ascii="Arial" w:hAnsi="Arial" w:cs="Arial"/>
        </w:rPr>
      </w:pPr>
    </w:p>
    <w:p w:rsidR="00314ED8" w:rsidRDefault="00156C4B">
      <w:pPr>
        <w:jc w:val="both"/>
        <w:rPr>
          <w:rFonts w:ascii="Arial" w:hAnsi="Arial" w:cs="Arial"/>
        </w:rPr>
      </w:pPr>
      <w:r>
        <w:rPr>
          <w:rFonts w:ascii="Arial" w:hAnsi="Arial" w:cs="Arial"/>
        </w:rPr>
        <w:t>L</w:t>
      </w:r>
      <w:r w:rsidR="007C1557" w:rsidRPr="007C1557">
        <w:rPr>
          <w:rFonts w:ascii="Arial" w:hAnsi="Arial" w:cs="Arial"/>
        </w:rPr>
        <w:t xml:space="preserve">a pauvreté est analysée suivant </w:t>
      </w:r>
      <w:r w:rsidR="00B254C6">
        <w:rPr>
          <w:rFonts w:ascii="Arial" w:hAnsi="Arial" w:cs="Arial"/>
        </w:rPr>
        <w:t>trois</w:t>
      </w:r>
      <w:r>
        <w:rPr>
          <w:rFonts w:ascii="Arial" w:hAnsi="Arial" w:cs="Arial"/>
        </w:rPr>
        <w:t xml:space="preserve"> approches : </w:t>
      </w:r>
      <w:r w:rsidR="007C1557" w:rsidRPr="007C1557">
        <w:rPr>
          <w:rFonts w:ascii="Arial" w:hAnsi="Arial" w:cs="Arial"/>
        </w:rPr>
        <w:t>monétaire</w:t>
      </w:r>
      <w:r w:rsidR="00237E2B">
        <w:rPr>
          <w:rFonts w:ascii="Arial" w:hAnsi="Arial" w:cs="Arial"/>
        </w:rPr>
        <w:t xml:space="preserve">, </w:t>
      </w:r>
      <w:r>
        <w:rPr>
          <w:rFonts w:ascii="Arial" w:hAnsi="Arial" w:cs="Arial"/>
        </w:rPr>
        <w:t>non monétaire</w:t>
      </w:r>
      <w:r w:rsidR="00B254C6">
        <w:rPr>
          <w:rFonts w:ascii="Arial" w:hAnsi="Arial" w:cs="Arial"/>
        </w:rPr>
        <w:t xml:space="preserve"> et subjective</w:t>
      </w:r>
      <w:r>
        <w:rPr>
          <w:rFonts w:ascii="Arial" w:hAnsi="Arial" w:cs="Arial"/>
        </w:rPr>
        <w:t xml:space="preserve">.  L’approche monétaire </w:t>
      </w:r>
      <w:r w:rsidR="00C3459D">
        <w:rPr>
          <w:rFonts w:ascii="Arial" w:hAnsi="Arial" w:cs="Arial"/>
        </w:rPr>
        <w:t xml:space="preserve">est </w:t>
      </w:r>
      <w:r>
        <w:rPr>
          <w:rFonts w:ascii="Arial" w:hAnsi="Arial" w:cs="Arial"/>
        </w:rPr>
        <w:t xml:space="preserve">basée sur les indicateurs proposés par Foster,Greater et Thorbecke (1984) à savoir l’incidence de pauvreté, la profondeur et la sévérité. Ils sont fonction d’un indicateur de niveau de vie et d’un seuil de pauvreté. L’indicateur de niveau de vie </w:t>
      </w:r>
      <w:r w:rsidR="00C3459D">
        <w:rPr>
          <w:rFonts w:ascii="Arial" w:hAnsi="Arial" w:cs="Arial"/>
        </w:rPr>
        <w:t xml:space="preserve">utilisé </w:t>
      </w:r>
      <w:r>
        <w:rPr>
          <w:rFonts w:ascii="Arial" w:hAnsi="Arial" w:cs="Arial"/>
        </w:rPr>
        <w:t xml:space="preserve">est la dépense de consommation par tête. </w:t>
      </w:r>
      <w:r w:rsidR="00443E12">
        <w:rPr>
          <w:rFonts w:ascii="Arial" w:hAnsi="Arial" w:cs="Arial"/>
        </w:rPr>
        <w:t xml:space="preserve">Quant au seuil de pauvreté, il est absolu et calculé suivant l’approche </w:t>
      </w:r>
      <w:r w:rsidR="00963219" w:rsidRPr="007B43D0">
        <w:rPr>
          <w:rFonts w:ascii="Times New Roman" w:hAnsi="Times New Roman"/>
          <w:sz w:val="24"/>
          <w:szCs w:val="24"/>
        </w:rPr>
        <w:t xml:space="preserve">du </w:t>
      </w:r>
      <w:r w:rsidR="007C1557" w:rsidRPr="007C1557">
        <w:rPr>
          <w:rFonts w:ascii="Arial" w:hAnsi="Arial" w:cs="Arial"/>
        </w:rPr>
        <w:t>coût des besoins essentiels (CBE)</w:t>
      </w:r>
      <w:r w:rsidR="00443E12">
        <w:rPr>
          <w:rFonts w:ascii="Arial" w:hAnsi="Arial" w:cs="Arial"/>
        </w:rPr>
        <w:t>.</w:t>
      </w:r>
    </w:p>
    <w:p w:rsidR="00314ED8" w:rsidRDefault="00156C4B">
      <w:pPr>
        <w:jc w:val="both"/>
        <w:rPr>
          <w:rFonts w:ascii="Arial" w:hAnsi="Arial" w:cs="Arial"/>
        </w:rPr>
      </w:pPr>
      <w:r>
        <w:rPr>
          <w:rFonts w:ascii="Arial" w:hAnsi="Arial" w:cs="Arial"/>
        </w:rPr>
        <w:t xml:space="preserve">L’approche </w:t>
      </w:r>
      <w:r w:rsidRPr="00156C4B">
        <w:rPr>
          <w:rFonts w:ascii="Arial" w:hAnsi="Arial" w:cs="Arial"/>
        </w:rPr>
        <w:t>non monétaire</w:t>
      </w:r>
      <w:r>
        <w:rPr>
          <w:rFonts w:ascii="Arial" w:hAnsi="Arial" w:cs="Arial"/>
        </w:rPr>
        <w:t xml:space="preserve"> est fondée</w:t>
      </w:r>
      <w:r w:rsidRPr="00156C4B">
        <w:rPr>
          <w:rFonts w:ascii="Arial" w:hAnsi="Arial" w:cs="Arial"/>
        </w:rPr>
        <w:t>sur un indice composite de niveau de vie construit sur la base des conditions d’habitation et du patrimoine des ménages</w:t>
      </w:r>
      <w:r>
        <w:rPr>
          <w:rFonts w:ascii="Arial" w:hAnsi="Arial" w:cs="Arial"/>
        </w:rPr>
        <w:t>.</w:t>
      </w:r>
      <w:r w:rsidR="00B254C6">
        <w:rPr>
          <w:rFonts w:ascii="Arial" w:hAnsi="Arial" w:cs="Arial"/>
        </w:rPr>
        <w:t>En ce qui concerne l’approche subjective</w:t>
      </w:r>
      <w:r w:rsidR="001B212D">
        <w:rPr>
          <w:rFonts w:ascii="Arial" w:hAnsi="Arial" w:cs="Arial"/>
        </w:rPr>
        <w:t xml:space="preserve">, </w:t>
      </w:r>
      <w:r w:rsidR="004E1AE5">
        <w:rPr>
          <w:rFonts w:ascii="Arial" w:hAnsi="Arial" w:cs="Arial"/>
        </w:rPr>
        <w:t xml:space="preserve">elle porte sur </w:t>
      </w:r>
      <w:r w:rsidR="00486EC5">
        <w:rPr>
          <w:rFonts w:ascii="Arial" w:hAnsi="Arial" w:cs="Arial"/>
        </w:rPr>
        <w:t>une</w:t>
      </w:r>
      <w:r w:rsidR="004E2BD3" w:rsidRPr="005E31D0">
        <w:rPr>
          <w:rFonts w:ascii="Arial" w:hAnsi="Arial" w:cs="Arial"/>
        </w:rPr>
        <w:t>évaluation cognitive qu’une personne f</w:t>
      </w:r>
      <w:r w:rsidR="004E2BD3">
        <w:rPr>
          <w:rFonts w:ascii="Arial" w:hAnsi="Arial" w:cs="Arial"/>
        </w:rPr>
        <w:t>ait de sa vie (</w:t>
      </w:r>
      <w:r w:rsidR="00917CE0">
        <w:rPr>
          <w:rFonts w:ascii="Arial" w:hAnsi="Arial" w:cs="Arial"/>
        </w:rPr>
        <w:t>Diner</w:t>
      </w:r>
      <w:r w:rsidR="004E2BD3">
        <w:rPr>
          <w:rFonts w:ascii="Arial" w:hAnsi="Arial" w:cs="Arial"/>
        </w:rPr>
        <w:t xml:space="preserve"> et</w:t>
      </w:r>
      <w:r w:rsidR="004E2BD3" w:rsidRPr="005E31D0">
        <w:rPr>
          <w:rFonts w:ascii="Arial" w:hAnsi="Arial" w:cs="Arial"/>
        </w:rPr>
        <w:t xml:space="preserve"> al</w:t>
      </w:r>
      <w:r w:rsidR="004E2BD3">
        <w:rPr>
          <w:rFonts w:ascii="Arial" w:hAnsi="Arial" w:cs="Arial"/>
        </w:rPr>
        <w:t xml:space="preserve">, </w:t>
      </w:r>
      <w:r w:rsidR="004E2BD3" w:rsidRPr="005E31D0">
        <w:rPr>
          <w:rFonts w:ascii="Arial" w:hAnsi="Arial" w:cs="Arial"/>
        </w:rPr>
        <w:t>1998)</w:t>
      </w:r>
      <w:r w:rsidR="004E2BD3">
        <w:rPr>
          <w:rFonts w:ascii="Arial" w:hAnsi="Arial" w:cs="Arial"/>
        </w:rPr>
        <w:t xml:space="preserve">. </w:t>
      </w:r>
      <w:r w:rsidR="00C60CF7">
        <w:rPr>
          <w:rFonts w:ascii="Arial" w:hAnsi="Arial" w:cs="Arial"/>
        </w:rPr>
        <w:t xml:space="preserve">Elle </w:t>
      </w:r>
      <w:r w:rsidR="004E1AE5">
        <w:rPr>
          <w:rFonts w:ascii="Arial" w:hAnsi="Arial" w:cs="Arial"/>
        </w:rPr>
        <w:t>consiste</w:t>
      </w:r>
      <w:r w:rsidR="007C1557" w:rsidRPr="007C1557">
        <w:rPr>
          <w:rFonts w:ascii="Arial" w:eastAsia="Calibri" w:hAnsi="Arial" w:cs="Arial"/>
        </w:rPr>
        <w:t xml:space="preserve">à </w:t>
      </w:r>
      <w:r w:rsidR="001B212D">
        <w:rPr>
          <w:rFonts w:ascii="Arial" w:hAnsi="Arial" w:cs="Arial"/>
        </w:rPr>
        <w:t xml:space="preserve">recueillir </w:t>
      </w:r>
      <w:r w:rsidR="007C1557" w:rsidRPr="007C1557">
        <w:rPr>
          <w:rFonts w:ascii="Arial" w:eastAsia="Calibri" w:hAnsi="Arial" w:cs="Arial"/>
        </w:rPr>
        <w:t xml:space="preserve">directement </w:t>
      </w:r>
      <w:r w:rsidR="001B212D">
        <w:rPr>
          <w:rFonts w:ascii="Arial" w:hAnsi="Arial" w:cs="Arial"/>
        </w:rPr>
        <w:t xml:space="preserve">les </w:t>
      </w:r>
      <w:r w:rsidR="007C1557" w:rsidRPr="007C1557">
        <w:rPr>
          <w:rFonts w:ascii="Arial" w:eastAsia="Calibri" w:hAnsi="Arial" w:cs="Arial"/>
        </w:rPr>
        <w:t>perception</w:t>
      </w:r>
      <w:r w:rsidR="001B212D">
        <w:rPr>
          <w:rFonts w:ascii="Arial" w:hAnsi="Arial" w:cs="Arial"/>
        </w:rPr>
        <w:t xml:space="preserve">sdes ménages sur leurs conditions de vie. </w:t>
      </w:r>
      <w:r w:rsidR="008B7BBE">
        <w:rPr>
          <w:rFonts w:ascii="Arial" w:hAnsi="Arial" w:cs="Arial"/>
        </w:rPr>
        <w:t>Elle vient en complément aux</w:t>
      </w:r>
      <w:r w:rsidR="00C24BDA">
        <w:rPr>
          <w:rFonts w:ascii="Arial" w:hAnsi="Arial" w:cs="Arial"/>
        </w:rPr>
        <w:t xml:space="preserve">deux </w:t>
      </w:r>
      <w:r w:rsidR="00C24EA5">
        <w:rPr>
          <w:rFonts w:ascii="Arial" w:hAnsi="Arial" w:cs="Arial"/>
        </w:rPr>
        <w:t xml:space="preserve">approches </w:t>
      </w:r>
      <w:r w:rsidR="00C24BDA">
        <w:rPr>
          <w:rFonts w:ascii="Arial" w:hAnsi="Arial" w:cs="Arial"/>
        </w:rPr>
        <w:t>classiques du fait</w:t>
      </w:r>
      <w:r w:rsidR="007C1557" w:rsidRPr="007C1557">
        <w:rPr>
          <w:rFonts w:ascii="Arial" w:hAnsi="Arial" w:cs="Arial"/>
        </w:rPr>
        <w:t xml:space="preserve"> qu'elle permet de prendre en compte des critères qui ne sont pas facilement mesurables et donc occultés dans les approches objectives.</w:t>
      </w:r>
    </w:p>
    <w:p w:rsidR="00314ED8" w:rsidRDefault="00314ED8">
      <w:pPr>
        <w:jc w:val="both"/>
        <w:rPr>
          <w:rFonts w:ascii="Arial" w:hAnsi="Arial" w:cs="Arial"/>
        </w:rPr>
      </w:pPr>
    </w:p>
    <w:p w:rsidR="00A258AF" w:rsidRDefault="00A258AF">
      <w:pPr>
        <w:jc w:val="both"/>
        <w:rPr>
          <w:rFonts w:ascii="Arial" w:hAnsi="Arial" w:cs="Arial"/>
        </w:rPr>
      </w:pPr>
    </w:p>
    <w:p w:rsidR="00314ED8" w:rsidRPr="00A3207F" w:rsidRDefault="00A3207F" w:rsidP="00A3207F">
      <w:pPr>
        <w:pStyle w:val="Titre2"/>
        <w:numPr>
          <w:ilvl w:val="0"/>
          <w:numId w:val="0"/>
        </w:numPr>
        <w:tabs>
          <w:tab w:val="clear" w:pos="284"/>
          <w:tab w:val="left" w:pos="0"/>
        </w:tabs>
        <w:ind w:left="360" w:hanging="360"/>
      </w:pPr>
      <w:bookmarkStart w:id="8" w:name="_Toc433391196"/>
      <w:r w:rsidRPr="00A3207F">
        <w:lastRenderedPageBreak/>
        <w:t xml:space="preserve">1.1. </w:t>
      </w:r>
      <w:r w:rsidR="00B24454" w:rsidRPr="00A3207F">
        <w:t>Enquête Modulaire Intégrée sur les Conditions de Vie des Ménages (EMICoV2)</w:t>
      </w:r>
      <w:bookmarkEnd w:id="8"/>
    </w:p>
    <w:p w:rsidR="00A3207F" w:rsidRDefault="00A3207F">
      <w:pPr>
        <w:jc w:val="both"/>
        <w:rPr>
          <w:rFonts w:ascii="Arial" w:hAnsi="Arial" w:cs="Arial"/>
        </w:rPr>
      </w:pPr>
    </w:p>
    <w:p w:rsidR="00314ED8" w:rsidRDefault="007C1557">
      <w:pPr>
        <w:jc w:val="both"/>
        <w:rPr>
          <w:rFonts w:ascii="Arial" w:hAnsi="Arial" w:cs="Arial"/>
        </w:rPr>
      </w:pPr>
      <w:r w:rsidRPr="007C1557">
        <w:rPr>
          <w:rFonts w:ascii="Arial" w:hAnsi="Arial" w:cs="Arial"/>
        </w:rPr>
        <w:t xml:space="preserve">L’Enquête Modulaire Intégrée sur les </w:t>
      </w:r>
      <w:r w:rsidR="000676D5">
        <w:rPr>
          <w:rFonts w:ascii="Arial" w:hAnsi="Arial" w:cs="Arial"/>
        </w:rPr>
        <w:t>Conditions de Vie des M</w:t>
      </w:r>
      <w:r w:rsidRPr="007C1557">
        <w:rPr>
          <w:rFonts w:ascii="Arial" w:hAnsi="Arial" w:cs="Arial"/>
        </w:rPr>
        <w:t>énages (EMICoV) s’inscrit dans le dispositif permanent d’enquêtes auprès des ménages initié par l’Institut National de la Statistique et de l’Analyse Economique (INSAE). La présente édition s’est déroulée de Mars à Juin 2015 avec l’appui financier du Programme des Nations Unies pour le Développement (PNUD), de l’Union Européenne,</w:t>
      </w:r>
      <w:r w:rsidR="009C0FAE">
        <w:rPr>
          <w:rFonts w:ascii="Arial" w:hAnsi="Arial" w:cs="Arial"/>
        </w:rPr>
        <w:t xml:space="preserve"> de</w:t>
      </w:r>
      <w:r w:rsidRPr="007C1557">
        <w:rPr>
          <w:rFonts w:ascii="Arial" w:hAnsi="Arial" w:cs="Arial"/>
        </w:rPr>
        <w:t xml:space="preserve"> GIZ et de l’UNICEF. </w:t>
      </w:r>
    </w:p>
    <w:p w:rsidR="00314ED8" w:rsidRDefault="007C1557">
      <w:pPr>
        <w:jc w:val="both"/>
        <w:rPr>
          <w:rFonts w:ascii="Arial" w:hAnsi="Arial" w:cs="Arial"/>
        </w:rPr>
      </w:pPr>
      <w:r w:rsidRPr="007C1557">
        <w:rPr>
          <w:rFonts w:ascii="Arial" w:hAnsi="Arial" w:cs="Arial"/>
        </w:rPr>
        <w:t>Pour cette édition, la base de sondage utilisée couvre l’ensemble des Zones de Dénombrement</w:t>
      </w:r>
      <w:r w:rsidRPr="007C1557">
        <w:rPr>
          <w:rFonts w:ascii="Arial" w:hAnsi="Arial" w:cs="Arial"/>
          <w:vertAlign w:val="superscript"/>
        </w:rPr>
        <w:footnoteReference w:id="1"/>
      </w:r>
      <w:r w:rsidRPr="007C1557">
        <w:rPr>
          <w:rFonts w:ascii="Arial" w:hAnsi="Arial" w:cs="Arial"/>
        </w:rPr>
        <w:t>(ZD) créé pour les besoins du Recensement Général de la Population et de l'Hab</w:t>
      </w:r>
      <w:r w:rsidR="00595861">
        <w:rPr>
          <w:rFonts w:ascii="Arial" w:hAnsi="Arial" w:cs="Arial"/>
        </w:rPr>
        <w:t>itation effectué au Bénin en 20</w:t>
      </w:r>
      <w:r w:rsidR="006F626D">
        <w:rPr>
          <w:rFonts w:ascii="Arial" w:hAnsi="Arial" w:cs="Arial"/>
        </w:rPr>
        <w:t>1</w:t>
      </w:r>
      <w:r w:rsidR="00595861">
        <w:rPr>
          <w:rFonts w:ascii="Arial" w:hAnsi="Arial" w:cs="Arial"/>
        </w:rPr>
        <w:t>2 (RGPH</w:t>
      </w:r>
      <w:r w:rsidR="006F626D">
        <w:rPr>
          <w:rFonts w:ascii="Arial" w:hAnsi="Arial" w:cs="Arial"/>
        </w:rPr>
        <w:t>4</w:t>
      </w:r>
      <w:r w:rsidR="00595861">
        <w:rPr>
          <w:rFonts w:ascii="Arial" w:hAnsi="Arial" w:cs="Arial"/>
        </w:rPr>
        <w:t xml:space="preserve"> 20</w:t>
      </w:r>
      <w:r w:rsidR="009C0FAE">
        <w:rPr>
          <w:rFonts w:ascii="Arial" w:hAnsi="Arial" w:cs="Arial"/>
        </w:rPr>
        <w:t>12</w:t>
      </w:r>
      <w:r w:rsidRPr="007C1557">
        <w:rPr>
          <w:rFonts w:ascii="Arial" w:hAnsi="Arial" w:cs="Arial"/>
        </w:rPr>
        <w:t>) par l’Institut National de la Statistique et de l'Analyse Économique (INSAE). Elle compte au total 12598 ZD dont 4674 en milieu urbain et 7924 en milieu rural.</w:t>
      </w:r>
    </w:p>
    <w:p w:rsidR="00314ED8" w:rsidRDefault="007C1557">
      <w:pPr>
        <w:jc w:val="both"/>
        <w:rPr>
          <w:rFonts w:ascii="Arial" w:hAnsi="Arial" w:cs="Arial"/>
        </w:rPr>
      </w:pPr>
      <w:r w:rsidRPr="007C1557">
        <w:rPr>
          <w:rFonts w:ascii="Arial" w:hAnsi="Arial" w:cs="Arial"/>
        </w:rPr>
        <w:t xml:space="preserve">L’échantillon de l’enquête EMICoV est un échantillon aréolaire, stratifié et tiré à 2 degrés. Au premier degré, </w:t>
      </w:r>
      <w:r w:rsidR="0076603F">
        <w:rPr>
          <w:rFonts w:ascii="Arial" w:hAnsi="Arial" w:cs="Arial"/>
        </w:rPr>
        <w:t>920</w:t>
      </w:r>
      <w:r w:rsidRPr="007C1557">
        <w:rPr>
          <w:rFonts w:ascii="Arial" w:hAnsi="Arial" w:cs="Arial"/>
        </w:rPr>
        <w:t xml:space="preserve"> zones de dénombrement (ZD) ont été tirées proportionnellement à leur taille en ménages dénombrés au Recensement Général de la Popul</w:t>
      </w:r>
      <w:r w:rsidR="00595861">
        <w:rPr>
          <w:rFonts w:ascii="Arial" w:hAnsi="Arial" w:cs="Arial"/>
        </w:rPr>
        <w:t>ation et de l'Habitation de 20</w:t>
      </w:r>
      <w:r w:rsidR="0076603F">
        <w:rPr>
          <w:rFonts w:ascii="Arial" w:hAnsi="Arial" w:cs="Arial"/>
        </w:rPr>
        <w:t>12</w:t>
      </w:r>
      <w:r w:rsidRPr="007C1557">
        <w:rPr>
          <w:rFonts w:ascii="Arial" w:hAnsi="Arial" w:cs="Arial"/>
        </w:rPr>
        <w:t>. Une énumération des ménages dans chacune de ces ZD a permis de fournir une liste de ménages à p</w:t>
      </w:r>
      <w:r w:rsidR="00595861">
        <w:rPr>
          <w:rFonts w:ascii="Arial" w:hAnsi="Arial" w:cs="Arial"/>
        </w:rPr>
        <w:t xml:space="preserve">artir de laquelle sont tirés </w:t>
      </w:r>
      <w:r w:rsidRPr="007C1557">
        <w:rPr>
          <w:rFonts w:ascii="Arial" w:hAnsi="Arial" w:cs="Arial"/>
        </w:rPr>
        <w:t xml:space="preserve">24 ménages par grappes au deuxième degré. </w:t>
      </w:r>
    </w:p>
    <w:p w:rsidR="00314ED8" w:rsidRDefault="00F2035C">
      <w:pPr>
        <w:jc w:val="both"/>
        <w:rPr>
          <w:rFonts w:ascii="Arial" w:hAnsi="Arial" w:cs="Arial"/>
        </w:rPr>
      </w:pPr>
      <w:r>
        <w:rPr>
          <w:rFonts w:ascii="Arial" w:hAnsi="Arial" w:cs="Arial"/>
        </w:rPr>
        <w:t>Ainsi, d</w:t>
      </w:r>
      <w:r w:rsidR="0076603F" w:rsidRPr="0076603F">
        <w:rPr>
          <w:rFonts w:ascii="Arial" w:hAnsi="Arial" w:cs="Arial"/>
        </w:rPr>
        <w:t xml:space="preserve">u point de vue structure, l’enquête modulaire intégrée sur les conditions de vie des ménages porte sur un échantillon national de </w:t>
      </w:r>
      <w:r w:rsidR="0076603F" w:rsidRPr="00A16157">
        <w:rPr>
          <w:rFonts w:ascii="Arial" w:hAnsi="Arial" w:cs="Arial"/>
        </w:rPr>
        <w:t>22</w:t>
      </w:r>
      <w:r w:rsidR="0076603F">
        <w:rPr>
          <w:rFonts w:ascii="Arial" w:hAnsi="Arial" w:cs="Arial"/>
        </w:rPr>
        <w:t xml:space="preserve"> 080 </w:t>
      </w:r>
      <w:r w:rsidR="0076603F" w:rsidRPr="0076603F">
        <w:rPr>
          <w:rFonts w:ascii="Arial" w:hAnsi="Arial" w:cs="Arial"/>
        </w:rPr>
        <w:t>ménages représentatif au niveau du milieu de résidence (urbain/rural)</w:t>
      </w:r>
      <w:r w:rsidR="00C71BF5">
        <w:rPr>
          <w:rFonts w:ascii="Arial" w:hAnsi="Arial" w:cs="Arial"/>
        </w:rPr>
        <w:t xml:space="preserve"> et </w:t>
      </w:r>
      <w:r>
        <w:rPr>
          <w:rFonts w:ascii="Arial" w:hAnsi="Arial" w:cs="Arial"/>
        </w:rPr>
        <w:t xml:space="preserve">au </w:t>
      </w:r>
      <w:r w:rsidR="00C71BF5">
        <w:rPr>
          <w:rFonts w:ascii="Arial" w:hAnsi="Arial" w:cs="Arial"/>
        </w:rPr>
        <w:t>niveau de</w:t>
      </w:r>
      <w:r w:rsidR="00C71BF5" w:rsidRPr="0076603F">
        <w:rPr>
          <w:rFonts w:ascii="Arial" w:hAnsi="Arial" w:cs="Arial"/>
        </w:rPr>
        <w:t>s 77 Communes</w:t>
      </w:r>
      <w:r>
        <w:rPr>
          <w:rFonts w:ascii="Arial" w:hAnsi="Arial" w:cs="Arial"/>
        </w:rPr>
        <w:t xml:space="preserve">. </w:t>
      </w:r>
      <w:r w:rsidR="0076603F" w:rsidRPr="0076603F">
        <w:rPr>
          <w:rFonts w:ascii="Arial" w:hAnsi="Arial" w:cs="Arial"/>
        </w:rPr>
        <w:t xml:space="preserve">Il est réparti en </w:t>
      </w:r>
      <w:r w:rsidR="0076603F" w:rsidRPr="00667EF2">
        <w:rPr>
          <w:rFonts w:ascii="Arial" w:hAnsi="Arial" w:cs="Arial"/>
        </w:rPr>
        <w:t xml:space="preserve">10872 </w:t>
      </w:r>
      <w:r w:rsidR="0076603F">
        <w:rPr>
          <w:rFonts w:ascii="Arial" w:hAnsi="Arial" w:cs="Arial"/>
        </w:rPr>
        <w:t xml:space="preserve">ménages </w:t>
      </w:r>
      <w:r w:rsidR="0076603F" w:rsidRPr="00667EF2">
        <w:rPr>
          <w:rFonts w:ascii="Arial" w:hAnsi="Arial" w:cs="Arial"/>
        </w:rPr>
        <w:t>en milieu urbain</w:t>
      </w:r>
      <w:r w:rsidR="0076603F">
        <w:rPr>
          <w:rFonts w:ascii="Arial" w:hAnsi="Arial" w:cs="Arial"/>
        </w:rPr>
        <w:t xml:space="preserve"> et </w:t>
      </w:r>
      <w:r w:rsidR="007C1557" w:rsidRPr="007C1557">
        <w:rPr>
          <w:rFonts w:ascii="Arial" w:hAnsi="Arial" w:cs="Arial"/>
        </w:rPr>
        <w:t xml:space="preserve">11 524 en milieu rural. </w:t>
      </w:r>
      <w:r w:rsidR="000A3E45">
        <w:rPr>
          <w:rFonts w:ascii="Arial" w:hAnsi="Arial" w:cs="Arial"/>
        </w:rPr>
        <w:t>Au total, 14 modules ont été couverts e</w:t>
      </w:r>
      <w:r w:rsidR="007C1557" w:rsidRPr="007C1557">
        <w:rPr>
          <w:rFonts w:ascii="Arial" w:hAnsi="Arial" w:cs="Arial"/>
        </w:rPr>
        <w:t>t le taux de couverture varie entre</w:t>
      </w:r>
      <w:r w:rsidR="000A3E45">
        <w:rPr>
          <w:rFonts w:ascii="Arial" w:hAnsi="Arial" w:cs="Arial"/>
        </w:rPr>
        <w:t xml:space="preserve"> 90 à 98%</w:t>
      </w:r>
    </w:p>
    <w:p w:rsidR="00314ED8" w:rsidRPr="00A3207F" w:rsidRDefault="00A3207F" w:rsidP="00A3207F">
      <w:pPr>
        <w:pStyle w:val="Titre2"/>
        <w:numPr>
          <w:ilvl w:val="0"/>
          <w:numId w:val="0"/>
        </w:numPr>
        <w:tabs>
          <w:tab w:val="clear" w:pos="284"/>
          <w:tab w:val="left" w:pos="0"/>
        </w:tabs>
        <w:ind w:left="360" w:hanging="360"/>
      </w:pPr>
      <w:bookmarkStart w:id="9" w:name="_Toc433391197"/>
      <w:r>
        <w:t xml:space="preserve">1.2. </w:t>
      </w:r>
      <w:r w:rsidR="00CE65DC" w:rsidRPr="00A3207F">
        <w:t>Evolution des dépenses de consommation par tête</w:t>
      </w:r>
      <w:bookmarkEnd w:id="9"/>
    </w:p>
    <w:p w:rsidR="00A3207F" w:rsidRDefault="00A3207F">
      <w:pPr>
        <w:jc w:val="both"/>
        <w:rPr>
          <w:rFonts w:ascii="Arial" w:hAnsi="Arial" w:cs="Arial"/>
        </w:rPr>
      </w:pPr>
    </w:p>
    <w:p w:rsidR="00314ED8" w:rsidRDefault="007C1557">
      <w:pPr>
        <w:jc w:val="both"/>
        <w:rPr>
          <w:rFonts w:ascii="Arial" w:hAnsi="Arial" w:cs="Arial"/>
        </w:rPr>
      </w:pPr>
      <w:r w:rsidRPr="007C1557">
        <w:rPr>
          <w:rFonts w:ascii="Arial" w:hAnsi="Arial" w:cs="Arial"/>
        </w:rPr>
        <w:t xml:space="preserve">L’analyse de l’évolution de la consommation des ménages entre </w:t>
      </w:r>
      <w:r w:rsidR="005F1131" w:rsidRPr="001C65DF">
        <w:rPr>
          <w:rFonts w:ascii="Arial" w:hAnsi="Arial" w:cs="Arial"/>
        </w:rPr>
        <w:t>2011 et 2015 montre que l</w:t>
      </w:r>
      <w:r w:rsidRPr="007C1557">
        <w:rPr>
          <w:rFonts w:ascii="Arial" w:hAnsi="Arial" w:cs="Arial"/>
        </w:rPr>
        <w:t>a dépense annuelle par tête</w:t>
      </w:r>
      <w:r w:rsidR="005F1131" w:rsidRPr="001C65DF">
        <w:rPr>
          <w:rFonts w:ascii="Arial" w:hAnsi="Arial" w:cs="Arial"/>
        </w:rPr>
        <w:t xml:space="preserve"> en termes réels</w:t>
      </w:r>
      <w:r w:rsidRPr="007C1557">
        <w:rPr>
          <w:rFonts w:ascii="Arial" w:hAnsi="Arial" w:cs="Arial"/>
        </w:rPr>
        <w:t xml:space="preserve"> est passée de 22</w:t>
      </w:r>
      <w:r w:rsidR="005F1131" w:rsidRPr="001C65DF">
        <w:rPr>
          <w:rFonts w:ascii="Arial" w:hAnsi="Arial" w:cs="Arial"/>
        </w:rPr>
        <w:t>6</w:t>
      </w:r>
      <w:r w:rsidRPr="007C1557">
        <w:rPr>
          <w:rFonts w:ascii="Arial" w:hAnsi="Arial" w:cs="Arial"/>
        </w:rPr>
        <w:t> 44</w:t>
      </w:r>
      <w:r w:rsidR="005F1131" w:rsidRPr="001C65DF">
        <w:rPr>
          <w:rFonts w:ascii="Arial" w:hAnsi="Arial" w:cs="Arial"/>
        </w:rPr>
        <w:t>0</w:t>
      </w:r>
      <w:r w:rsidRPr="007C1557">
        <w:rPr>
          <w:rFonts w:ascii="Arial" w:hAnsi="Arial" w:cs="Arial"/>
        </w:rPr>
        <w:t> FCFA à</w:t>
      </w:r>
      <w:r w:rsidR="00304E9A">
        <w:rPr>
          <w:rFonts w:ascii="Arial" w:hAnsi="Arial" w:cs="Arial"/>
        </w:rPr>
        <w:t xml:space="preserve"> 223 </w:t>
      </w:r>
      <w:r w:rsidRPr="007C1557">
        <w:rPr>
          <w:rFonts w:ascii="Arial" w:hAnsi="Arial" w:cs="Arial"/>
        </w:rPr>
        <w:t>402</w:t>
      </w:r>
      <w:r w:rsidR="00304E9A">
        <w:rPr>
          <w:rFonts w:ascii="Arial" w:hAnsi="Arial" w:cs="Arial"/>
        </w:rPr>
        <w:t xml:space="preserve"> FCFA, soit une </w:t>
      </w:r>
      <w:r w:rsidRPr="007C1557">
        <w:rPr>
          <w:rFonts w:ascii="Arial" w:hAnsi="Arial" w:cs="Arial"/>
        </w:rPr>
        <w:t>baisse d’environ1,34</w:t>
      </w:r>
      <w:r w:rsidR="00304E9A">
        <w:rPr>
          <w:rFonts w:ascii="Arial" w:hAnsi="Arial" w:cs="Arial"/>
        </w:rPr>
        <w:t>%.</w:t>
      </w:r>
      <w:r w:rsidR="00605F6C">
        <w:rPr>
          <w:rFonts w:ascii="Arial" w:hAnsi="Arial" w:cs="Arial"/>
        </w:rPr>
        <w:t xml:space="preserve">Elle est cependant plus </w:t>
      </w:r>
      <w:r w:rsidRPr="007C1557">
        <w:rPr>
          <w:rFonts w:ascii="Arial" w:hAnsi="Arial" w:cs="Arial"/>
        </w:rPr>
        <w:t>marquée en milieu rural qu’en milieu urbain</w:t>
      </w:r>
      <w:r w:rsidR="00605F6C">
        <w:rPr>
          <w:rFonts w:ascii="Arial" w:hAnsi="Arial" w:cs="Arial"/>
        </w:rPr>
        <w:t>.</w:t>
      </w:r>
      <w:r w:rsidRPr="007C1557">
        <w:rPr>
          <w:rFonts w:ascii="Arial" w:hAnsi="Arial" w:cs="Arial"/>
        </w:rPr>
        <w:t>Ce</w:t>
      </w:r>
      <w:r w:rsidR="00F876FB">
        <w:rPr>
          <w:rFonts w:ascii="Arial" w:hAnsi="Arial" w:cs="Arial"/>
        </w:rPr>
        <w:t xml:space="preserve"> repli dans </w:t>
      </w:r>
      <w:r w:rsidRPr="007C1557">
        <w:rPr>
          <w:rFonts w:ascii="Arial" w:hAnsi="Arial" w:cs="Arial"/>
        </w:rPr>
        <w:t>la dépense par tête des ménages</w:t>
      </w:r>
      <w:r w:rsidR="00F876FB">
        <w:rPr>
          <w:rFonts w:ascii="Arial" w:hAnsi="Arial" w:cs="Arial"/>
        </w:rPr>
        <w:t xml:space="preserve"> peut</w:t>
      </w:r>
      <w:r w:rsidR="006809CD">
        <w:rPr>
          <w:rFonts w:ascii="Arial" w:hAnsi="Arial" w:cs="Arial"/>
        </w:rPr>
        <w:t xml:space="preserve"> être</w:t>
      </w:r>
      <w:r w:rsidR="000676D5">
        <w:rPr>
          <w:rFonts w:ascii="Arial" w:hAnsi="Arial" w:cs="Arial"/>
        </w:rPr>
        <w:t>assimilé</w:t>
      </w:r>
      <w:r w:rsidR="00F876FB">
        <w:rPr>
          <w:rFonts w:ascii="Arial" w:hAnsi="Arial" w:cs="Arial"/>
        </w:rPr>
        <w:t xml:space="preserve"> à une </w:t>
      </w:r>
      <w:r w:rsidR="006809CD">
        <w:rPr>
          <w:rFonts w:ascii="Arial" w:hAnsi="Arial" w:cs="Arial"/>
        </w:rPr>
        <w:t xml:space="preserve">baisse </w:t>
      </w:r>
      <w:r w:rsidR="00F876FB">
        <w:rPr>
          <w:rFonts w:ascii="Arial" w:hAnsi="Arial" w:cs="Arial"/>
        </w:rPr>
        <w:t>du niveau</w:t>
      </w:r>
      <w:r w:rsidR="006809CD">
        <w:rPr>
          <w:rFonts w:ascii="Arial" w:hAnsi="Arial" w:cs="Arial"/>
        </w:rPr>
        <w:t xml:space="preserve"> de vie entre 2011 et 2015. </w:t>
      </w:r>
    </w:p>
    <w:p w:rsidR="00314ED8" w:rsidRPr="00C216A8" w:rsidRDefault="00C216A8" w:rsidP="00C216A8">
      <w:pPr>
        <w:pStyle w:val="Lgende"/>
        <w:jc w:val="left"/>
        <w:rPr>
          <w:rFonts w:ascii="Arial" w:hAnsi="Arial" w:cs="Arial"/>
          <w:sz w:val="22"/>
          <w:szCs w:val="22"/>
        </w:rPr>
      </w:pPr>
      <w:bookmarkStart w:id="10" w:name="_Toc432425305"/>
      <w:r w:rsidRPr="00C216A8">
        <w:rPr>
          <w:rFonts w:ascii="Arial" w:hAnsi="Arial" w:cs="Arial"/>
          <w:sz w:val="22"/>
          <w:szCs w:val="22"/>
        </w:rPr>
        <w:t xml:space="preserve">Tableau </w:t>
      </w:r>
      <w:r w:rsidR="00115FEB" w:rsidRPr="00C216A8">
        <w:rPr>
          <w:rFonts w:ascii="Arial" w:hAnsi="Arial" w:cs="Arial"/>
          <w:sz w:val="22"/>
          <w:szCs w:val="22"/>
        </w:rPr>
        <w:fldChar w:fldCharType="begin"/>
      </w:r>
      <w:r w:rsidRPr="00C216A8">
        <w:rPr>
          <w:rFonts w:ascii="Arial" w:hAnsi="Arial" w:cs="Arial"/>
          <w:sz w:val="22"/>
          <w:szCs w:val="22"/>
        </w:rPr>
        <w:instrText xml:space="preserve"> SEQ Tableau \* ARABIC </w:instrText>
      </w:r>
      <w:r w:rsidR="00115FEB" w:rsidRPr="00C216A8">
        <w:rPr>
          <w:rFonts w:ascii="Arial" w:hAnsi="Arial" w:cs="Arial"/>
          <w:sz w:val="22"/>
          <w:szCs w:val="22"/>
        </w:rPr>
        <w:fldChar w:fldCharType="separate"/>
      </w:r>
      <w:r w:rsidR="00DB55D3">
        <w:rPr>
          <w:rFonts w:ascii="Arial" w:hAnsi="Arial" w:cs="Arial"/>
          <w:noProof/>
          <w:sz w:val="22"/>
          <w:szCs w:val="22"/>
        </w:rPr>
        <w:t>1</w:t>
      </w:r>
      <w:r w:rsidR="00115FEB" w:rsidRPr="00C216A8">
        <w:rPr>
          <w:rFonts w:ascii="Arial" w:hAnsi="Arial" w:cs="Arial"/>
          <w:sz w:val="22"/>
          <w:szCs w:val="22"/>
        </w:rPr>
        <w:fldChar w:fldCharType="end"/>
      </w:r>
      <w:r w:rsidR="007C1557" w:rsidRPr="00C216A8">
        <w:rPr>
          <w:rFonts w:ascii="Arial" w:hAnsi="Arial" w:cs="Arial"/>
          <w:sz w:val="22"/>
          <w:szCs w:val="22"/>
        </w:rPr>
        <w:t>: Dépenses par tête entre 2011 et 2015</w:t>
      </w:r>
      <w:bookmarkEnd w:id="10"/>
    </w:p>
    <w:tbl>
      <w:tblPr>
        <w:tblW w:w="8900" w:type="dxa"/>
        <w:tblInd w:w="65" w:type="dxa"/>
        <w:tblCellMar>
          <w:left w:w="70" w:type="dxa"/>
          <w:right w:w="70" w:type="dxa"/>
        </w:tblCellMar>
        <w:tblLook w:val="04A0" w:firstRow="1" w:lastRow="0" w:firstColumn="1" w:lastColumn="0" w:noHBand="0" w:noVBand="1"/>
      </w:tblPr>
      <w:tblGrid>
        <w:gridCol w:w="2840"/>
        <w:gridCol w:w="1418"/>
        <w:gridCol w:w="1276"/>
        <w:gridCol w:w="1984"/>
        <w:gridCol w:w="1382"/>
      </w:tblGrid>
      <w:tr w:rsidR="00876DC7" w:rsidRPr="001C65DF" w:rsidTr="00950C27">
        <w:trPr>
          <w:trHeight w:val="926"/>
        </w:trPr>
        <w:tc>
          <w:tcPr>
            <w:tcW w:w="2840" w:type="dxa"/>
            <w:tcBorders>
              <w:top w:val="single" w:sz="4" w:space="0" w:color="auto"/>
              <w:bottom w:val="single" w:sz="4" w:space="0" w:color="auto"/>
            </w:tcBorders>
            <w:shd w:val="clear" w:color="auto" w:fill="auto"/>
            <w:noWrap/>
            <w:vAlign w:val="bottom"/>
            <w:hideMark/>
          </w:tcPr>
          <w:p w:rsidR="00314ED8" w:rsidRDefault="005F1131">
            <w:pPr>
              <w:spacing w:after="0" w:line="240" w:lineRule="auto"/>
              <w:rPr>
                <w:rFonts w:ascii="Arial" w:eastAsia="Times New Roman" w:hAnsi="Arial" w:cs="Arial"/>
                <w:color w:val="000000"/>
                <w:lang w:eastAsia="fr-FR"/>
              </w:rPr>
            </w:pPr>
            <w:r w:rsidRPr="001C65DF">
              <w:rPr>
                <w:rFonts w:ascii="Arial" w:eastAsia="Times New Roman" w:hAnsi="Arial" w:cs="Arial"/>
                <w:color w:val="000000"/>
                <w:lang w:eastAsia="fr-FR"/>
              </w:rPr>
              <w:t> </w:t>
            </w:r>
          </w:p>
        </w:tc>
        <w:tc>
          <w:tcPr>
            <w:tcW w:w="1418" w:type="dxa"/>
            <w:tcBorders>
              <w:top w:val="single" w:sz="4" w:space="0" w:color="auto"/>
              <w:bottom w:val="single" w:sz="4" w:space="0" w:color="auto"/>
            </w:tcBorders>
            <w:shd w:val="clear" w:color="auto" w:fill="auto"/>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Dépenses par tête 2011</w:t>
            </w:r>
          </w:p>
        </w:tc>
        <w:tc>
          <w:tcPr>
            <w:tcW w:w="1276" w:type="dxa"/>
            <w:tcBorders>
              <w:top w:val="single" w:sz="4" w:space="0" w:color="auto"/>
              <w:bottom w:val="single" w:sz="4" w:space="0" w:color="auto"/>
            </w:tcBorders>
            <w:shd w:val="clear" w:color="auto" w:fill="auto"/>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Dépenses par tête 2015</w:t>
            </w:r>
          </w:p>
        </w:tc>
        <w:tc>
          <w:tcPr>
            <w:tcW w:w="1984" w:type="dxa"/>
            <w:tcBorders>
              <w:top w:val="single" w:sz="4" w:space="0" w:color="auto"/>
              <w:bottom w:val="single" w:sz="4" w:space="0" w:color="auto"/>
            </w:tcBorders>
            <w:shd w:val="clear" w:color="auto" w:fill="auto"/>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Dépenses par tête 2015 déflatées au prix de 2011</w:t>
            </w:r>
          </w:p>
        </w:tc>
        <w:tc>
          <w:tcPr>
            <w:tcW w:w="1382" w:type="dxa"/>
            <w:tcBorders>
              <w:top w:val="single" w:sz="4" w:space="0" w:color="auto"/>
              <w:bottom w:val="single" w:sz="4" w:space="0" w:color="auto"/>
            </w:tcBorders>
            <w:shd w:val="clear" w:color="auto" w:fill="auto"/>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Evolution du niveau de vie</w:t>
            </w:r>
            <w:r w:rsidR="0031028F">
              <w:rPr>
                <w:rFonts w:ascii="Arial" w:eastAsia="Times New Roman" w:hAnsi="Arial" w:cs="Arial"/>
                <w:color w:val="000000"/>
                <w:lang w:eastAsia="fr-FR"/>
              </w:rPr>
              <w:t xml:space="preserve"> (%)</w:t>
            </w:r>
          </w:p>
        </w:tc>
      </w:tr>
      <w:tr w:rsidR="00EC6B83" w:rsidRPr="0031028F" w:rsidTr="00950C27">
        <w:trPr>
          <w:trHeight w:val="300"/>
        </w:trPr>
        <w:tc>
          <w:tcPr>
            <w:tcW w:w="2840" w:type="dxa"/>
            <w:tcBorders>
              <w:top w:val="single" w:sz="4" w:space="0" w:color="auto"/>
            </w:tcBorders>
            <w:shd w:val="clear" w:color="auto" w:fill="auto"/>
            <w:vAlign w:val="bottom"/>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Urbain</w:t>
            </w:r>
          </w:p>
        </w:tc>
        <w:tc>
          <w:tcPr>
            <w:tcW w:w="1418" w:type="dxa"/>
            <w:tcBorders>
              <w:top w:val="single" w:sz="4" w:space="0" w:color="auto"/>
            </w:tcBorders>
            <w:shd w:val="clear" w:color="auto" w:fill="auto"/>
            <w:noWrap/>
            <w:vAlign w:val="bottom"/>
            <w:hideMark/>
          </w:tcPr>
          <w:p w:rsidR="00314ED8" w:rsidRDefault="00304E9A">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327 234</w:t>
            </w:r>
          </w:p>
        </w:tc>
        <w:tc>
          <w:tcPr>
            <w:tcW w:w="1276" w:type="dxa"/>
            <w:tcBorders>
              <w:top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336099</w:t>
            </w:r>
          </w:p>
        </w:tc>
        <w:tc>
          <w:tcPr>
            <w:tcW w:w="1984" w:type="dxa"/>
            <w:tcBorders>
              <w:top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315029</w:t>
            </w:r>
          </w:p>
        </w:tc>
        <w:tc>
          <w:tcPr>
            <w:tcW w:w="1382" w:type="dxa"/>
            <w:tcBorders>
              <w:top w:val="single" w:sz="4" w:space="0" w:color="auto"/>
            </w:tcBorders>
            <w:shd w:val="clear" w:color="auto" w:fill="auto"/>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-3,73</w:t>
            </w:r>
          </w:p>
        </w:tc>
      </w:tr>
      <w:tr w:rsidR="00EC6B83" w:rsidRPr="0031028F" w:rsidTr="00950C27">
        <w:trPr>
          <w:trHeight w:val="315"/>
        </w:trPr>
        <w:tc>
          <w:tcPr>
            <w:tcW w:w="2840" w:type="dxa"/>
            <w:tcBorders>
              <w:bottom w:val="single" w:sz="4" w:space="0" w:color="auto"/>
            </w:tcBorders>
            <w:shd w:val="clear" w:color="auto" w:fill="auto"/>
            <w:vAlign w:val="bottom"/>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Rural</w:t>
            </w:r>
          </w:p>
        </w:tc>
        <w:tc>
          <w:tcPr>
            <w:tcW w:w="1418" w:type="dxa"/>
            <w:tcBorders>
              <w:bottom w:val="single" w:sz="4" w:space="0" w:color="auto"/>
            </w:tcBorders>
            <w:shd w:val="clear" w:color="auto" w:fill="auto"/>
            <w:noWrap/>
            <w:vAlign w:val="bottom"/>
            <w:hideMark/>
          </w:tcPr>
          <w:p w:rsidR="00314ED8" w:rsidRDefault="00304E9A">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154 070</w:t>
            </w:r>
          </w:p>
        </w:tc>
        <w:tc>
          <w:tcPr>
            <w:tcW w:w="1276" w:type="dxa"/>
            <w:tcBorders>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158351</w:t>
            </w:r>
          </w:p>
        </w:tc>
        <w:tc>
          <w:tcPr>
            <w:tcW w:w="1984" w:type="dxa"/>
            <w:tcBorders>
              <w:bottom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148424</w:t>
            </w:r>
          </w:p>
        </w:tc>
        <w:tc>
          <w:tcPr>
            <w:tcW w:w="1382" w:type="dxa"/>
            <w:tcBorders>
              <w:bottom w:val="single" w:sz="4" w:space="0" w:color="auto"/>
            </w:tcBorders>
            <w:shd w:val="clear" w:color="auto" w:fill="auto"/>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-3,66</w:t>
            </w:r>
          </w:p>
        </w:tc>
      </w:tr>
      <w:tr w:rsidR="00EC6B83" w:rsidRPr="0031028F" w:rsidTr="00950C27">
        <w:trPr>
          <w:trHeight w:val="315"/>
        </w:trPr>
        <w:tc>
          <w:tcPr>
            <w:tcW w:w="2840" w:type="dxa"/>
            <w:tcBorders>
              <w:top w:val="single" w:sz="4" w:space="0" w:color="auto"/>
              <w:bottom w:val="single" w:sz="4" w:space="0" w:color="auto"/>
            </w:tcBorders>
            <w:shd w:val="clear" w:color="auto" w:fill="auto"/>
            <w:vAlign w:val="bottom"/>
            <w:hideMark/>
          </w:tcPr>
          <w:p w:rsidR="00314ED8" w:rsidRDefault="00304E9A">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t>Bénin</w:t>
            </w:r>
          </w:p>
        </w:tc>
        <w:tc>
          <w:tcPr>
            <w:tcW w:w="1418" w:type="dxa"/>
            <w:tcBorders>
              <w:top w:val="single" w:sz="4" w:space="0" w:color="auto"/>
              <w:bottom w:val="single" w:sz="4" w:space="0" w:color="auto"/>
            </w:tcBorders>
            <w:shd w:val="clear" w:color="auto" w:fill="auto"/>
            <w:noWrap/>
            <w:vAlign w:val="bottom"/>
            <w:hideMark/>
          </w:tcPr>
          <w:p w:rsidR="00314ED8" w:rsidRDefault="00304E9A">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226 440</w:t>
            </w:r>
          </w:p>
        </w:tc>
        <w:tc>
          <w:tcPr>
            <w:tcW w:w="1276" w:type="dxa"/>
            <w:tcBorders>
              <w:top w:val="single" w:sz="4" w:space="0" w:color="auto"/>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238343</w:t>
            </w:r>
          </w:p>
        </w:tc>
        <w:tc>
          <w:tcPr>
            <w:tcW w:w="1984" w:type="dxa"/>
            <w:tcBorders>
              <w:top w:val="single" w:sz="4" w:space="0" w:color="auto"/>
              <w:bottom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223402</w:t>
            </w:r>
          </w:p>
        </w:tc>
        <w:tc>
          <w:tcPr>
            <w:tcW w:w="1382" w:type="dxa"/>
            <w:tcBorders>
              <w:top w:val="single" w:sz="4" w:space="0" w:color="auto"/>
              <w:bottom w:val="single" w:sz="4" w:space="0" w:color="auto"/>
            </w:tcBorders>
            <w:shd w:val="clear" w:color="auto" w:fill="auto"/>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-1,34</w:t>
            </w:r>
          </w:p>
        </w:tc>
      </w:tr>
    </w:tbl>
    <w:p w:rsidR="00314ED8" w:rsidRDefault="007C1557">
      <w:pPr>
        <w:spacing w:after="0" w:line="240" w:lineRule="auto"/>
        <w:rPr>
          <w:rFonts w:ascii="Arial" w:hAnsi="Arial" w:cs="Arial"/>
        </w:rPr>
      </w:pPr>
      <w:r w:rsidRPr="007C1557">
        <w:rPr>
          <w:rFonts w:ascii="Arial" w:hAnsi="Arial" w:cs="Arial"/>
          <w:u w:val="single"/>
        </w:rPr>
        <w:t>Source</w:t>
      </w:r>
      <w:r w:rsidRPr="007C1557">
        <w:rPr>
          <w:rFonts w:ascii="Arial" w:hAnsi="Arial" w:cs="Arial"/>
        </w:rPr>
        <w:t> : INSAE, EMICoV, 2015</w:t>
      </w:r>
      <w:r w:rsidR="00B114CD">
        <w:rPr>
          <w:rFonts w:ascii="Arial" w:hAnsi="Arial" w:cs="Arial"/>
        </w:rPr>
        <w:t>.</w:t>
      </w:r>
    </w:p>
    <w:p w:rsidR="00314ED8" w:rsidRDefault="00314ED8">
      <w:pPr>
        <w:spacing w:after="0" w:line="240" w:lineRule="auto"/>
        <w:rPr>
          <w:rFonts w:ascii="Arial" w:hAnsi="Arial" w:cs="Arial"/>
        </w:rPr>
      </w:pPr>
    </w:p>
    <w:p w:rsidR="00314ED8" w:rsidRDefault="007C1557">
      <w:pPr>
        <w:jc w:val="both"/>
        <w:rPr>
          <w:rFonts w:ascii="Arial" w:hAnsi="Arial" w:cs="Arial"/>
        </w:rPr>
      </w:pPr>
      <w:r w:rsidRPr="007C1557">
        <w:rPr>
          <w:rFonts w:ascii="Arial" w:hAnsi="Arial" w:cs="Arial"/>
        </w:rPr>
        <w:lastRenderedPageBreak/>
        <w:t>Les données</w:t>
      </w:r>
      <w:r w:rsidR="006B5E0C">
        <w:rPr>
          <w:rStyle w:val="Appelnotedebasdep"/>
          <w:rFonts w:ascii="Arial" w:hAnsi="Arial" w:cs="Arial"/>
        </w:rPr>
        <w:footnoteReference w:id="2"/>
      </w:r>
      <w:r w:rsidR="001C65DF">
        <w:rPr>
          <w:rFonts w:ascii="Arial" w:hAnsi="Arial" w:cs="Arial"/>
        </w:rPr>
        <w:t xml:space="preserve">sur la consommation finale des ménages </w:t>
      </w:r>
      <w:r w:rsidRPr="007C1557">
        <w:rPr>
          <w:rFonts w:ascii="Arial" w:hAnsi="Arial" w:cs="Arial"/>
        </w:rPr>
        <w:t xml:space="preserve">provenant de la comptabilité nationale </w:t>
      </w:r>
      <w:r w:rsidR="001C65DF">
        <w:rPr>
          <w:rFonts w:ascii="Arial" w:hAnsi="Arial" w:cs="Arial"/>
        </w:rPr>
        <w:t>co</w:t>
      </w:r>
      <w:r w:rsidR="00A258AF">
        <w:rPr>
          <w:rFonts w:ascii="Arial" w:hAnsi="Arial" w:cs="Arial"/>
        </w:rPr>
        <w:t xml:space="preserve">nforte </w:t>
      </w:r>
      <w:r w:rsidR="005F1131" w:rsidRPr="001C65DF">
        <w:rPr>
          <w:rFonts w:ascii="Arial" w:hAnsi="Arial" w:cs="Arial"/>
        </w:rPr>
        <w:t xml:space="preserve">cette tendance. </w:t>
      </w:r>
      <w:r w:rsidR="00304E9A">
        <w:rPr>
          <w:rFonts w:ascii="Arial" w:hAnsi="Arial" w:cs="Arial"/>
        </w:rPr>
        <w:t xml:space="preserve">Elles montrent </w:t>
      </w:r>
      <w:r w:rsidR="006B5E0C">
        <w:rPr>
          <w:rFonts w:ascii="Arial" w:hAnsi="Arial" w:cs="Arial"/>
        </w:rPr>
        <w:t xml:space="preserve">une </w:t>
      </w:r>
      <w:r w:rsidR="006B5E0C" w:rsidRPr="001C65DF">
        <w:rPr>
          <w:rFonts w:ascii="Arial" w:hAnsi="Arial" w:cs="Arial"/>
        </w:rPr>
        <w:t>légère relance</w:t>
      </w:r>
      <w:r w:rsidR="006B5E0C">
        <w:rPr>
          <w:rFonts w:ascii="Arial" w:hAnsi="Arial" w:cs="Arial"/>
        </w:rPr>
        <w:t xml:space="preserve"> en 2012 et en 2014 intercalé par </w:t>
      </w:r>
      <w:r w:rsidR="005F1131" w:rsidRPr="001C65DF">
        <w:rPr>
          <w:rFonts w:ascii="Arial" w:hAnsi="Arial" w:cs="Arial"/>
        </w:rPr>
        <w:t xml:space="preserve">un </w:t>
      </w:r>
      <w:r w:rsidR="00304E9A">
        <w:rPr>
          <w:rFonts w:ascii="Arial" w:hAnsi="Arial" w:cs="Arial"/>
        </w:rPr>
        <w:t>repli</w:t>
      </w:r>
      <w:r w:rsidR="006B5E0C">
        <w:rPr>
          <w:rFonts w:ascii="Arial" w:hAnsi="Arial" w:cs="Arial"/>
        </w:rPr>
        <w:t xml:space="preserve"> relativement important (-2,7%) en 2013</w:t>
      </w:r>
      <w:r w:rsidR="005F1131" w:rsidRPr="001C65DF">
        <w:rPr>
          <w:rFonts w:ascii="Arial" w:hAnsi="Arial" w:cs="Arial"/>
        </w:rPr>
        <w:t>. L</w:t>
      </w:r>
      <w:r w:rsidR="00304E9A">
        <w:rPr>
          <w:rFonts w:ascii="Arial" w:hAnsi="Arial" w:cs="Arial"/>
        </w:rPr>
        <w:t>a relance notée</w:t>
      </w:r>
      <w:r w:rsidR="003C4F66">
        <w:rPr>
          <w:rFonts w:ascii="Arial" w:hAnsi="Arial" w:cs="Arial"/>
        </w:rPr>
        <w:t xml:space="preserve"> en 2014</w:t>
      </w:r>
      <w:r w:rsidRPr="007C1557">
        <w:rPr>
          <w:rFonts w:ascii="Arial" w:hAnsi="Arial" w:cs="Arial"/>
        </w:rPr>
        <w:t>résulte</w:t>
      </w:r>
      <w:r w:rsidR="005F1131" w:rsidRPr="001C65DF">
        <w:rPr>
          <w:rFonts w:ascii="Arial" w:hAnsi="Arial" w:cs="Arial"/>
        </w:rPr>
        <w:t>rait d</w:t>
      </w:r>
      <w:r w:rsidR="00304E9A">
        <w:rPr>
          <w:rFonts w:ascii="Arial" w:hAnsi="Arial" w:cs="Arial"/>
        </w:rPr>
        <w:t>e la déflation</w:t>
      </w:r>
      <w:r w:rsidR="0037329F" w:rsidRPr="001C65DF">
        <w:rPr>
          <w:rFonts w:ascii="Arial" w:hAnsi="Arial" w:cs="Arial"/>
        </w:rPr>
        <w:t>de près de 1,1</w:t>
      </w:r>
      <w:r w:rsidR="0037329F">
        <w:rPr>
          <w:rFonts w:ascii="Arial" w:hAnsi="Arial" w:cs="Arial"/>
        </w:rPr>
        <w:t>%</w:t>
      </w:r>
      <w:r w:rsidR="00304E9A">
        <w:rPr>
          <w:rFonts w:ascii="Arial" w:hAnsi="Arial" w:cs="Arial"/>
        </w:rPr>
        <w:t xml:space="preserve"> observée entre 2013 et 2014.</w:t>
      </w:r>
    </w:p>
    <w:p w:rsidR="00314ED8" w:rsidRPr="00C216A8" w:rsidRDefault="00C216A8">
      <w:pPr>
        <w:spacing w:after="0"/>
        <w:rPr>
          <w:rFonts w:ascii="Arial" w:hAnsi="Arial" w:cs="Arial"/>
        </w:rPr>
      </w:pPr>
      <w:bookmarkStart w:id="11" w:name="_Toc432425306"/>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2</w:t>
      </w:r>
      <w:r w:rsidR="00115FEB" w:rsidRPr="00C216A8">
        <w:rPr>
          <w:rFonts w:ascii="Arial" w:hAnsi="Arial" w:cs="Arial"/>
        </w:rPr>
        <w:fldChar w:fldCharType="end"/>
      </w:r>
      <w:r w:rsidR="007C1557" w:rsidRPr="00C216A8">
        <w:rPr>
          <w:rFonts w:ascii="Arial" w:hAnsi="Arial" w:cs="Arial"/>
        </w:rPr>
        <w:t>: Indicateurs macroéconomiques</w:t>
      </w:r>
      <w:bookmarkEnd w:id="11"/>
    </w:p>
    <w:tbl>
      <w:tblPr>
        <w:tblW w:w="9142" w:type="dxa"/>
        <w:tblInd w:w="70" w:type="dxa"/>
        <w:tblCellMar>
          <w:left w:w="70" w:type="dxa"/>
          <w:right w:w="70" w:type="dxa"/>
        </w:tblCellMar>
        <w:tblLook w:val="04A0" w:firstRow="1" w:lastRow="0" w:firstColumn="1" w:lastColumn="0" w:noHBand="0" w:noVBand="1"/>
      </w:tblPr>
      <w:tblGrid>
        <w:gridCol w:w="3897"/>
        <w:gridCol w:w="1134"/>
        <w:gridCol w:w="1011"/>
        <w:gridCol w:w="974"/>
        <w:gridCol w:w="1134"/>
        <w:gridCol w:w="992"/>
      </w:tblGrid>
      <w:tr w:rsidR="00B4602A" w:rsidRPr="004A2C25" w:rsidTr="00ED24F8">
        <w:trPr>
          <w:trHeight w:val="315"/>
        </w:trPr>
        <w:tc>
          <w:tcPr>
            <w:tcW w:w="3897" w:type="dxa"/>
            <w:tcBorders>
              <w:top w:val="double" w:sz="6"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 </w:t>
            </w:r>
          </w:p>
        </w:tc>
        <w:tc>
          <w:tcPr>
            <w:tcW w:w="1134" w:type="dxa"/>
            <w:tcBorders>
              <w:top w:val="double" w:sz="6"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2011</w:t>
            </w:r>
          </w:p>
        </w:tc>
        <w:tc>
          <w:tcPr>
            <w:tcW w:w="1011" w:type="dxa"/>
            <w:tcBorders>
              <w:top w:val="double" w:sz="6"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2012</w:t>
            </w:r>
          </w:p>
        </w:tc>
        <w:tc>
          <w:tcPr>
            <w:tcW w:w="974" w:type="dxa"/>
            <w:tcBorders>
              <w:top w:val="double" w:sz="6"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2013</w:t>
            </w:r>
          </w:p>
        </w:tc>
        <w:tc>
          <w:tcPr>
            <w:tcW w:w="1134"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2014</w:t>
            </w:r>
          </w:p>
        </w:tc>
        <w:tc>
          <w:tcPr>
            <w:tcW w:w="992" w:type="dxa"/>
            <w:tcBorders>
              <w:top w:val="double" w:sz="6" w:space="0" w:color="auto"/>
              <w:left w:val="nil"/>
              <w:bottom w:val="single" w:sz="4" w:space="0" w:color="auto"/>
              <w:right w:val="nil"/>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2015</w:t>
            </w:r>
          </w:p>
        </w:tc>
      </w:tr>
      <w:tr w:rsidR="00ED24F8" w:rsidRPr="004A2C25" w:rsidTr="00ED24F8">
        <w:trPr>
          <w:trHeight w:val="300"/>
        </w:trPr>
        <w:tc>
          <w:tcPr>
            <w:tcW w:w="3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Consommation finale par tête (2011)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293984</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296850</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288875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291767</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14ED8" w:rsidRDefault="007C1557">
            <w:pPr>
              <w:spacing w:after="0" w:line="240" w:lineRule="auto"/>
              <w:jc w:val="both"/>
              <w:rPr>
                <w:rFonts w:ascii="Arial" w:hAnsi="Arial" w:cs="Arial"/>
              </w:rPr>
            </w:pPr>
            <w:r w:rsidRPr="007C1557">
              <w:rPr>
                <w:rFonts w:ascii="Arial" w:hAnsi="Arial" w:cs="Arial"/>
              </w:rPr>
              <w:t> </w:t>
            </w:r>
          </w:p>
        </w:tc>
      </w:tr>
      <w:tr w:rsidR="00ED24F8" w:rsidRPr="004A2C25" w:rsidTr="00B254C6">
        <w:trPr>
          <w:trHeight w:val="544"/>
        </w:trPr>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 xml:space="preserve">Taux croissance de la consommation finale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314ED8" w:rsidRDefault="00314ED8">
            <w:pPr>
              <w:spacing w:after="0" w:line="240" w:lineRule="auto"/>
              <w:jc w:val="center"/>
              <w:rPr>
                <w:rFonts w:ascii="Arial" w:hAnsi="Arial" w:cs="Arial"/>
              </w:rPr>
            </w:pPr>
          </w:p>
        </w:tc>
        <w:tc>
          <w:tcPr>
            <w:tcW w:w="1011"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0,98</w:t>
            </w:r>
          </w:p>
        </w:tc>
        <w:tc>
          <w:tcPr>
            <w:tcW w:w="97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-2,69</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1,00</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314ED8" w:rsidRDefault="007C1557">
            <w:pPr>
              <w:spacing w:after="0" w:line="240" w:lineRule="auto"/>
              <w:jc w:val="both"/>
              <w:rPr>
                <w:rFonts w:ascii="Arial" w:hAnsi="Arial" w:cs="Arial"/>
              </w:rPr>
            </w:pPr>
            <w:r w:rsidRPr="007C1557">
              <w:rPr>
                <w:rFonts w:ascii="Arial" w:hAnsi="Arial" w:cs="Arial"/>
              </w:rPr>
              <w:t> </w:t>
            </w:r>
          </w:p>
        </w:tc>
      </w:tr>
      <w:tr w:rsidR="00ED24F8" w:rsidRPr="004A2C25" w:rsidTr="00ED24F8">
        <w:trPr>
          <w:trHeight w:val="300"/>
        </w:trPr>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PIB/Tête (en FCFA)</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406660</w:t>
            </w:r>
          </w:p>
        </w:tc>
        <w:tc>
          <w:tcPr>
            <w:tcW w:w="1011"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414729</w:t>
            </w:r>
          </w:p>
        </w:tc>
        <w:tc>
          <w:tcPr>
            <w:tcW w:w="97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417302</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428786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314ED8" w:rsidRDefault="007C1557">
            <w:pPr>
              <w:spacing w:after="0" w:line="240" w:lineRule="auto"/>
              <w:jc w:val="both"/>
              <w:rPr>
                <w:rFonts w:ascii="Arial" w:hAnsi="Arial" w:cs="Arial"/>
              </w:rPr>
            </w:pPr>
            <w:r w:rsidRPr="007C1557">
              <w:rPr>
                <w:rFonts w:ascii="Arial" w:hAnsi="Arial" w:cs="Arial"/>
              </w:rPr>
              <w:t> </w:t>
            </w:r>
          </w:p>
        </w:tc>
      </w:tr>
      <w:tr w:rsidR="00ED24F8" w:rsidRPr="004A2C25" w:rsidTr="00ED24F8">
        <w:trPr>
          <w:trHeight w:val="300"/>
        </w:trPr>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314ED8" w:rsidRDefault="002B71F4">
            <w:pPr>
              <w:spacing w:after="0" w:line="240" w:lineRule="auto"/>
              <w:jc w:val="both"/>
              <w:rPr>
                <w:rFonts w:ascii="Arial" w:hAnsi="Arial" w:cs="Arial"/>
              </w:rPr>
            </w:pPr>
            <w:r>
              <w:rPr>
                <w:rFonts w:ascii="Arial" w:hAnsi="Arial" w:cs="Arial"/>
              </w:rPr>
              <w:t>T</w:t>
            </w:r>
            <w:r w:rsidR="007C1557" w:rsidRPr="007C1557">
              <w:rPr>
                <w:rFonts w:ascii="Arial" w:hAnsi="Arial" w:cs="Arial"/>
              </w:rPr>
              <w:t>aux croissance du PIB/tête</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314ED8" w:rsidRDefault="00314ED8">
            <w:pPr>
              <w:spacing w:after="0" w:line="240" w:lineRule="auto"/>
              <w:jc w:val="center"/>
              <w:rPr>
                <w:rFonts w:ascii="Arial" w:hAnsi="Arial" w:cs="Arial"/>
              </w:rPr>
            </w:pPr>
          </w:p>
        </w:tc>
        <w:tc>
          <w:tcPr>
            <w:tcW w:w="1011"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1,98</w:t>
            </w:r>
          </w:p>
        </w:tc>
        <w:tc>
          <w:tcPr>
            <w:tcW w:w="97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0,62</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2,75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314ED8" w:rsidRDefault="00314ED8">
            <w:pPr>
              <w:spacing w:after="0" w:line="240" w:lineRule="auto"/>
              <w:jc w:val="both"/>
              <w:rPr>
                <w:rFonts w:ascii="Arial" w:hAnsi="Arial" w:cs="Arial"/>
              </w:rPr>
            </w:pPr>
          </w:p>
        </w:tc>
      </w:tr>
      <w:tr w:rsidR="00B4602A" w:rsidRPr="00B4602A" w:rsidTr="00F26101">
        <w:trPr>
          <w:trHeight w:val="300"/>
        </w:trPr>
        <w:tc>
          <w:tcPr>
            <w:tcW w:w="3897" w:type="dxa"/>
            <w:tcBorders>
              <w:top w:val="nil"/>
              <w:left w:val="single" w:sz="4" w:space="0" w:color="auto"/>
              <w:bottom w:val="single" w:sz="4" w:space="0" w:color="auto"/>
              <w:right w:val="single" w:sz="4" w:space="0" w:color="auto"/>
            </w:tcBorders>
            <w:shd w:val="clear" w:color="auto" w:fill="auto"/>
            <w:noWrap/>
            <w:vAlign w:val="bottom"/>
            <w:hideMark/>
          </w:tcPr>
          <w:p w:rsidR="00314ED8" w:rsidRDefault="007C1557">
            <w:pPr>
              <w:spacing w:after="0" w:line="240" w:lineRule="auto"/>
              <w:jc w:val="both"/>
              <w:rPr>
                <w:rFonts w:ascii="Arial" w:hAnsi="Arial" w:cs="Arial"/>
              </w:rPr>
            </w:pPr>
            <w:r w:rsidRPr="007C1557">
              <w:rPr>
                <w:rFonts w:ascii="Arial" w:hAnsi="Arial" w:cs="Arial"/>
              </w:rPr>
              <w:t>Taux d'inflation (%)</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2,8</w:t>
            </w:r>
          </w:p>
        </w:tc>
        <w:tc>
          <w:tcPr>
            <w:tcW w:w="1011"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6,7</w:t>
            </w:r>
          </w:p>
        </w:tc>
        <w:tc>
          <w:tcPr>
            <w:tcW w:w="97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1,0</w:t>
            </w:r>
          </w:p>
        </w:tc>
        <w:tc>
          <w:tcPr>
            <w:tcW w:w="1134"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-1,1</w:t>
            </w:r>
          </w:p>
        </w:tc>
        <w:tc>
          <w:tcPr>
            <w:tcW w:w="992" w:type="dxa"/>
            <w:tcBorders>
              <w:top w:val="nil"/>
              <w:left w:val="nil"/>
              <w:bottom w:val="single" w:sz="4" w:space="0" w:color="auto"/>
              <w:right w:val="single" w:sz="4" w:space="0" w:color="auto"/>
            </w:tcBorders>
            <w:shd w:val="clear" w:color="auto" w:fill="auto"/>
            <w:noWrap/>
            <w:vAlign w:val="bottom"/>
            <w:hideMark/>
          </w:tcPr>
          <w:p w:rsidR="00314ED8" w:rsidRDefault="007C1557">
            <w:pPr>
              <w:spacing w:after="0" w:line="240" w:lineRule="auto"/>
              <w:jc w:val="center"/>
              <w:rPr>
                <w:rFonts w:ascii="Arial" w:hAnsi="Arial" w:cs="Arial"/>
              </w:rPr>
            </w:pPr>
            <w:r w:rsidRPr="007C1557">
              <w:rPr>
                <w:rFonts w:ascii="Arial" w:hAnsi="Arial" w:cs="Arial"/>
              </w:rPr>
              <w:t>0,1</w:t>
            </w:r>
          </w:p>
        </w:tc>
      </w:tr>
    </w:tbl>
    <w:p w:rsidR="00314ED8" w:rsidRDefault="00A258AF">
      <w:pPr>
        <w:rPr>
          <w:rFonts w:ascii="Arial" w:hAnsi="Arial" w:cs="Arial"/>
        </w:rPr>
      </w:pPr>
      <w:r>
        <w:rPr>
          <w:rFonts w:ascii="Arial" w:hAnsi="Arial" w:cs="Arial"/>
        </w:rPr>
        <w:t>Source : INSAE, SCN</w:t>
      </w:r>
      <w:r w:rsidR="007C1557" w:rsidRPr="00950C27">
        <w:rPr>
          <w:rFonts w:ascii="Arial" w:hAnsi="Arial" w:cs="Arial"/>
        </w:rPr>
        <w:t>, 2015</w:t>
      </w:r>
    </w:p>
    <w:p w:rsidR="00314ED8" w:rsidRPr="00A3207F" w:rsidRDefault="00C216A8" w:rsidP="00C216A8">
      <w:pPr>
        <w:pStyle w:val="Titre2"/>
        <w:numPr>
          <w:ilvl w:val="0"/>
          <w:numId w:val="0"/>
        </w:numPr>
        <w:tabs>
          <w:tab w:val="clear" w:pos="284"/>
          <w:tab w:val="left" w:pos="0"/>
        </w:tabs>
        <w:spacing w:before="0" w:after="0"/>
        <w:ind w:left="360" w:hanging="360"/>
      </w:pPr>
      <w:bookmarkStart w:id="12" w:name="_Toc433391198"/>
      <w:r>
        <w:t xml:space="preserve">1.3. </w:t>
      </w:r>
      <w:r w:rsidR="00A56C49" w:rsidRPr="00A3207F">
        <w:t xml:space="preserve">Evolution </w:t>
      </w:r>
      <w:r w:rsidR="00CC252F" w:rsidRPr="00A3207F">
        <w:t xml:space="preserve">du </w:t>
      </w:r>
      <w:r w:rsidR="007C1557" w:rsidRPr="00A3207F">
        <w:t>seuil de pauvreté</w:t>
      </w:r>
      <w:bookmarkEnd w:id="12"/>
    </w:p>
    <w:p w:rsidR="00C216A8" w:rsidRDefault="00C216A8" w:rsidP="00C216A8">
      <w:pPr>
        <w:spacing w:after="0"/>
        <w:jc w:val="both"/>
        <w:rPr>
          <w:rFonts w:ascii="Arial" w:hAnsi="Arial" w:cs="Arial"/>
        </w:rPr>
      </w:pPr>
    </w:p>
    <w:p w:rsidR="00314ED8" w:rsidRDefault="007C1557">
      <w:pPr>
        <w:jc w:val="both"/>
        <w:rPr>
          <w:rFonts w:ascii="Arial" w:hAnsi="Arial" w:cs="Arial"/>
        </w:rPr>
      </w:pPr>
      <w:r w:rsidRPr="007C1557">
        <w:rPr>
          <w:rFonts w:ascii="Arial" w:hAnsi="Arial" w:cs="Arial"/>
        </w:rPr>
        <w:t>Au Bénin, il a été retenu la mesure absolue du seuil de pauvreté</w:t>
      </w:r>
      <w:r w:rsidR="00386C98">
        <w:rPr>
          <w:rStyle w:val="Appelnotedebasdep"/>
          <w:rFonts w:ascii="Arial" w:hAnsi="Arial" w:cs="Arial"/>
        </w:rPr>
        <w:footnoteReference w:id="3"/>
      </w:r>
      <w:r w:rsidRPr="007C1557">
        <w:rPr>
          <w:rFonts w:ascii="Arial" w:hAnsi="Arial" w:cs="Arial"/>
        </w:rPr>
        <w:t xml:space="preserve">, qui est un seuil constant en termes de niveaux de vie sur l’ensemble du domaine dans lequel les comparaisons de la pauvreté sont effectuées. </w:t>
      </w:r>
    </w:p>
    <w:p w:rsidR="00314ED8" w:rsidRPr="002F7E03" w:rsidRDefault="00595861">
      <w:pPr>
        <w:jc w:val="both"/>
        <w:rPr>
          <w:rFonts w:ascii="Arial" w:hAnsi="Arial" w:cs="Arial"/>
        </w:rPr>
      </w:pPr>
      <w:r>
        <w:rPr>
          <w:rFonts w:ascii="Arial" w:hAnsi="Arial" w:cs="Arial"/>
        </w:rPr>
        <w:t>La méthode adoptée</w:t>
      </w:r>
      <w:r w:rsidR="006F50D6">
        <w:rPr>
          <w:rFonts w:ascii="Arial" w:hAnsi="Arial" w:cs="Arial"/>
        </w:rPr>
        <w:t xml:space="preserve"> est celle du« </w:t>
      </w:r>
      <w:r w:rsidR="007C1557" w:rsidRPr="007C1557">
        <w:rPr>
          <w:rFonts w:ascii="Arial" w:hAnsi="Arial" w:cs="Arial"/>
        </w:rPr>
        <w:t>coût des besoins essentiels</w:t>
      </w:r>
      <w:r w:rsidR="006F50D6">
        <w:rPr>
          <w:rFonts w:ascii="Arial" w:hAnsi="Arial" w:cs="Arial"/>
        </w:rPr>
        <w:t> »</w:t>
      </w:r>
      <w:r w:rsidR="007C1557" w:rsidRPr="007C1557">
        <w:rPr>
          <w:rFonts w:ascii="Arial" w:hAnsi="Arial" w:cs="Arial"/>
        </w:rPr>
        <w:t>. Cette méthode repose sur deux composantes pour la détermination du seuil de pauvreté : une composante alimentaire et une composante non alimentaire</w:t>
      </w:r>
      <w:r w:rsidR="003926FB">
        <w:rPr>
          <w:rFonts w:ascii="Arial" w:hAnsi="Arial" w:cs="Arial"/>
        </w:rPr>
        <w:t xml:space="preserve"> (cf. annexe 1)</w:t>
      </w:r>
      <w:r w:rsidR="007C1557" w:rsidRPr="007C1557">
        <w:rPr>
          <w:rFonts w:ascii="Arial" w:hAnsi="Arial" w:cs="Arial"/>
        </w:rPr>
        <w:t xml:space="preserve">. Le seuil de pauvreté </w:t>
      </w:r>
      <w:r w:rsidR="00687107">
        <w:rPr>
          <w:rFonts w:ascii="Arial" w:hAnsi="Arial" w:cs="Arial"/>
        </w:rPr>
        <w:t xml:space="preserve">global </w:t>
      </w:r>
      <w:r w:rsidR="007C1557" w:rsidRPr="007C1557">
        <w:rPr>
          <w:rFonts w:ascii="Arial" w:hAnsi="Arial" w:cs="Arial"/>
        </w:rPr>
        <w:t>est obtenu par l’addition des seuils alimentaires et non alimentaires.</w:t>
      </w:r>
      <w:r w:rsidR="006C3B3D">
        <w:rPr>
          <w:rFonts w:ascii="Arial" w:hAnsi="Arial" w:cs="Arial"/>
        </w:rPr>
        <w:t xml:space="preserve"> Il </w:t>
      </w:r>
      <w:r w:rsidR="006C3B3D" w:rsidRPr="005F1131">
        <w:rPr>
          <w:rFonts w:ascii="Arial" w:hAnsi="Arial" w:cs="Arial"/>
        </w:rPr>
        <w:t>est calculé à l’échelle des strates</w:t>
      </w:r>
      <w:r w:rsidR="006C3B3D">
        <w:rPr>
          <w:rFonts w:ascii="Arial" w:hAnsi="Arial" w:cs="Arial"/>
        </w:rPr>
        <w:t xml:space="preserve">, </w:t>
      </w:r>
      <w:r w:rsidR="006C3B3D" w:rsidRPr="005F1131">
        <w:rPr>
          <w:rFonts w:ascii="Arial" w:hAnsi="Arial" w:cs="Arial"/>
        </w:rPr>
        <w:t>constituée par les milieux de résidence de chaque commune, et présente ainsi l’avantage d’utiliser les biens représentatifs des habitudes alimentaires dans chaque région</w:t>
      </w:r>
      <w:r w:rsidR="006C3B3D">
        <w:rPr>
          <w:rFonts w:ascii="Arial" w:hAnsi="Arial" w:cs="Arial"/>
        </w:rPr>
        <w:t xml:space="preserve"> pour la composante alimentaire.</w:t>
      </w:r>
    </w:p>
    <w:p w:rsidR="00314ED8" w:rsidRDefault="007C1557">
      <w:pPr>
        <w:jc w:val="both"/>
        <w:rPr>
          <w:rFonts w:ascii="Arial" w:hAnsi="Arial" w:cs="Arial"/>
        </w:rPr>
      </w:pPr>
      <w:r w:rsidRPr="002F7E03">
        <w:rPr>
          <w:rFonts w:ascii="Arial" w:hAnsi="Arial" w:cs="Arial"/>
        </w:rPr>
        <w:t xml:space="preserve">De 2011 à 2015, </w:t>
      </w:r>
      <w:r w:rsidR="00BB5E54">
        <w:rPr>
          <w:rFonts w:ascii="Arial" w:hAnsi="Arial" w:cs="Arial"/>
        </w:rPr>
        <w:t>L</w:t>
      </w:r>
      <w:r w:rsidRPr="002F7E03">
        <w:rPr>
          <w:rFonts w:ascii="Arial" w:hAnsi="Arial" w:cs="Arial"/>
        </w:rPr>
        <w:t>e seuil</w:t>
      </w:r>
      <w:r w:rsidR="0004068D">
        <w:rPr>
          <w:rFonts w:ascii="Arial" w:hAnsi="Arial" w:cs="Arial"/>
        </w:rPr>
        <w:t xml:space="preserve">de pauvreté </w:t>
      </w:r>
      <w:r w:rsidR="00F351C9">
        <w:rPr>
          <w:rFonts w:ascii="Arial" w:hAnsi="Arial" w:cs="Arial"/>
        </w:rPr>
        <w:t>global</w:t>
      </w:r>
      <w:r w:rsidRPr="002F7E03">
        <w:rPr>
          <w:rStyle w:val="Appelnotedebasdep"/>
          <w:rFonts w:ascii="Arial" w:hAnsi="Arial" w:cs="Arial"/>
        </w:rPr>
        <w:footnoteReference w:id="4"/>
      </w:r>
      <w:r w:rsidRPr="002F7E03">
        <w:rPr>
          <w:rFonts w:ascii="Arial" w:hAnsi="Arial" w:cs="Arial"/>
        </w:rPr>
        <w:t xml:space="preserve"> a connu un accroissement d’environ </w:t>
      </w:r>
      <w:r w:rsidR="002F7E03" w:rsidRPr="002F7E03">
        <w:rPr>
          <w:rFonts w:ascii="Arial" w:hAnsi="Arial" w:cs="Arial"/>
        </w:rPr>
        <w:t>16,5</w:t>
      </w:r>
      <w:r w:rsidRPr="002F7E03">
        <w:rPr>
          <w:rFonts w:ascii="Arial" w:hAnsi="Arial" w:cs="Arial"/>
        </w:rPr>
        <w:t>%. Il est passé de 120 839 FCFA  par têt</w:t>
      </w:r>
      <w:r w:rsidR="002F7E03" w:rsidRPr="002F7E03">
        <w:rPr>
          <w:rFonts w:ascii="Arial" w:hAnsi="Arial" w:cs="Arial"/>
        </w:rPr>
        <w:t>e en 2011 à 140 808</w:t>
      </w:r>
      <w:r w:rsidRPr="002F7E03">
        <w:rPr>
          <w:rFonts w:ascii="Arial" w:hAnsi="Arial" w:cs="Arial"/>
        </w:rPr>
        <w:t xml:space="preserve"> FCFA en 2015.Il convient </w:t>
      </w:r>
      <w:r w:rsidR="00A52609" w:rsidRPr="002F7E03">
        <w:rPr>
          <w:rFonts w:ascii="Arial" w:hAnsi="Arial" w:cs="Arial"/>
        </w:rPr>
        <w:t xml:space="preserve">cependant </w:t>
      </w:r>
      <w:r w:rsidRPr="002F7E03">
        <w:rPr>
          <w:rFonts w:ascii="Arial" w:hAnsi="Arial" w:cs="Arial"/>
        </w:rPr>
        <w:t>de préciser qu</w:t>
      </w:r>
      <w:r w:rsidR="006C3B3D" w:rsidRPr="002F7E03">
        <w:rPr>
          <w:rFonts w:ascii="Arial" w:hAnsi="Arial" w:cs="Arial"/>
        </w:rPr>
        <w:t>e le panier de biens alimentaires déterminé pour le calcul du seuil</w:t>
      </w:r>
      <w:r w:rsidR="006C3B3D">
        <w:rPr>
          <w:rFonts w:ascii="Arial" w:hAnsi="Arial" w:cs="Arial"/>
        </w:rPr>
        <w:t xml:space="preserve"> alimentaire </w:t>
      </w:r>
      <w:r w:rsidR="00A52609">
        <w:rPr>
          <w:rFonts w:ascii="Arial" w:hAnsi="Arial" w:cs="Arial"/>
        </w:rPr>
        <w:t xml:space="preserve">date </w:t>
      </w:r>
      <w:r w:rsidRPr="007C1557">
        <w:rPr>
          <w:rFonts w:ascii="Arial" w:hAnsi="Arial" w:cs="Arial"/>
        </w:rPr>
        <w:t>de l’enq</w:t>
      </w:r>
      <w:r w:rsidR="00547EBB">
        <w:rPr>
          <w:rFonts w:ascii="Arial" w:hAnsi="Arial" w:cs="Arial"/>
        </w:rPr>
        <w:t>uête budget-consommation de 1986</w:t>
      </w:r>
      <w:r w:rsidR="0004068D">
        <w:rPr>
          <w:rFonts w:ascii="Arial" w:hAnsi="Arial" w:cs="Arial"/>
        </w:rPr>
        <w:t xml:space="preserve">, ce qui rend fixes </w:t>
      </w:r>
      <w:r w:rsidR="00547EBB">
        <w:rPr>
          <w:rFonts w:ascii="Arial" w:hAnsi="Arial" w:cs="Arial"/>
        </w:rPr>
        <w:t>jusqu’à ce jour</w:t>
      </w:r>
      <w:r w:rsidR="0004068D">
        <w:rPr>
          <w:rFonts w:ascii="Arial" w:hAnsi="Arial" w:cs="Arial"/>
        </w:rPr>
        <w:t xml:space="preserve">, les besoins calorifiques. Ainsi, du fait que </w:t>
      </w:r>
      <w:r w:rsidR="00A258AF">
        <w:rPr>
          <w:rFonts w:ascii="Arial" w:hAnsi="Arial" w:cs="Arial"/>
        </w:rPr>
        <w:t>la détermination du seuil de pauvreté tient</w:t>
      </w:r>
      <w:r w:rsidR="00BB5E54">
        <w:rPr>
          <w:rFonts w:ascii="Arial" w:hAnsi="Arial" w:cs="Arial"/>
        </w:rPr>
        <w:t xml:space="preserve"> aussi bien compte d</w:t>
      </w:r>
      <w:r w:rsidR="00A258AF">
        <w:rPr>
          <w:rFonts w:ascii="Arial" w:hAnsi="Arial" w:cs="Arial"/>
        </w:rPr>
        <w:t>e l’évolution des prix</w:t>
      </w:r>
      <w:r w:rsidR="00BB5E54">
        <w:rPr>
          <w:rFonts w:ascii="Arial" w:hAnsi="Arial" w:cs="Arial"/>
        </w:rPr>
        <w:t xml:space="preserve">, </w:t>
      </w:r>
      <w:r w:rsidR="00A258AF">
        <w:rPr>
          <w:rFonts w:ascii="Arial" w:hAnsi="Arial" w:cs="Arial"/>
        </w:rPr>
        <w:t>de l</w:t>
      </w:r>
      <w:r w:rsidR="0004068D">
        <w:rPr>
          <w:rFonts w:ascii="Arial" w:hAnsi="Arial" w:cs="Arial"/>
        </w:rPr>
        <w:t>a structure de la consommation, que</w:t>
      </w:r>
      <w:r w:rsidR="00BB5E54">
        <w:rPr>
          <w:rFonts w:ascii="Arial" w:hAnsi="Arial" w:cs="Arial"/>
        </w:rPr>
        <w:t xml:space="preserve"> des besoins calorifiques, </w:t>
      </w:r>
      <w:r w:rsidR="00A258AF">
        <w:rPr>
          <w:rFonts w:ascii="Arial" w:hAnsi="Arial" w:cs="Arial"/>
        </w:rPr>
        <w:t xml:space="preserve">il est </w:t>
      </w:r>
      <w:r w:rsidR="002F7E03">
        <w:rPr>
          <w:rFonts w:ascii="Arial" w:hAnsi="Arial" w:cs="Arial"/>
        </w:rPr>
        <w:t>nécessaire</w:t>
      </w:r>
      <w:r w:rsidR="00A258AF">
        <w:rPr>
          <w:rFonts w:ascii="Arial" w:hAnsi="Arial" w:cs="Arial"/>
        </w:rPr>
        <w:t xml:space="preserve"> que le </w:t>
      </w:r>
      <w:r w:rsidRPr="007C1557">
        <w:rPr>
          <w:rFonts w:ascii="Arial" w:hAnsi="Arial" w:cs="Arial"/>
        </w:rPr>
        <w:t xml:space="preserve">panier </w:t>
      </w:r>
      <w:r w:rsidR="00BB5E54">
        <w:rPr>
          <w:rFonts w:ascii="Arial" w:hAnsi="Arial" w:cs="Arial"/>
        </w:rPr>
        <w:t>de biens actuelsoit</w:t>
      </w:r>
      <w:r w:rsidRPr="007C1557">
        <w:rPr>
          <w:rFonts w:ascii="Arial" w:hAnsi="Arial" w:cs="Arial"/>
        </w:rPr>
        <w:t xml:space="preserve"> revisité </w:t>
      </w:r>
      <w:r w:rsidR="002F7E03">
        <w:rPr>
          <w:rFonts w:ascii="Arial" w:hAnsi="Arial" w:cs="Arial"/>
        </w:rPr>
        <w:t xml:space="preserve">en termes de besoins calorifiques </w:t>
      </w:r>
      <w:r w:rsidRPr="007C1557">
        <w:rPr>
          <w:rFonts w:ascii="Arial" w:hAnsi="Arial" w:cs="Arial"/>
        </w:rPr>
        <w:t xml:space="preserve">pour assurer une meilleure appréciation du seuil de pauvreté basée sur le coût des besoins essentiels au Bénin. </w:t>
      </w:r>
    </w:p>
    <w:p w:rsidR="00314ED8" w:rsidRPr="00C216A8" w:rsidRDefault="00C216A8" w:rsidP="00C216A8">
      <w:pPr>
        <w:pStyle w:val="Titre2"/>
        <w:numPr>
          <w:ilvl w:val="0"/>
          <w:numId w:val="0"/>
        </w:numPr>
        <w:tabs>
          <w:tab w:val="clear" w:pos="284"/>
          <w:tab w:val="left" w:pos="0"/>
        </w:tabs>
        <w:spacing w:before="0" w:after="0"/>
        <w:ind w:left="360" w:hanging="360"/>
      </w:pPr>
      <w:bookmarkStart w:id="13" w:name="_Toc433391199"/>
      <w:r>
        <w:t xml:space="preserve">1.4. </w:t>
      </w:r>
      <w:r w:rsidR="00D30AB2" w:rsidRPr="00C216A8">
        <w:t>Pauvreté monétaire</w:t>
      </w:r>
      <w:r w:rsidR="00090A3D" w:rsidRPr="00C216A8">
        <w:t> </w:t>
      </w:r>
      <w:r w:rsidR="00AC2665" w:rsidRPr="00C216A8">
        <w:t>au Bénin</w:t>
      </w:r>
      <w:r w:rsidR="00090A3D" w:rsidRPr="00C216A8">
        <w:t>: une aggravation entre 2011 et 2015</w:t>
      </w:r>
      <w:bookmarkEnd w:id="13"/>
    </w:p>
    <w:p w:rsidR="00C216A8" w:rsidRDefault="00C216A8" w:rsidP="00C216A8">
      <w:pPr>
        <w:spacing w:after="0"/>
        <w:jc w:val="both"/>
        <w:rPr>
          <w:rFonts w:ascii="Arial" w:hAnsi="Arial" w:cs="Arial"/>
        </w:rPr>
      </w:pPr>
    </w:p>
    <w:p w:rsidR="00314ED8" w:rsidRDefault="006675CF">
      <w:pPr>
        <w:jc w:val="both"/>
        <w:rPr>
          <w:rFonts w:ascii="Arial" w:hAnsi="Arial" w:cs="Arial"/>
        </w:rPr>
      </w:pPr>
      <w:r>
        <w:rPr>
          <w:rFonts w:ascii="Arial" w:hAnsi="Arial" w:cs="Arial"/>
        </w:rPr>
        <w:t>Elle est analysée selon les indicateurs habituels à savoir l’incidence, la profondeur et la sév</w:t>
      </w:r>
      <w:r w:rsidR="007F3DD8">
        <w:rPr>
          <w:rFonts w:ascii="Arial" w:hAnsi="Arial" w:cs="Arial"/>
        </w:rPr>
        <w:t>érité</w:t>
      </w:r>
      <w:r>
        <w:rPr>
          <w:rFonts w:ascii="Arial" w:hAnsi="Arial" w:cs="Arial"/>
        </w:rPr>
        <w:t xml:space="preserve">. </w:t>
      </w:r>
    </w:p>
    <w:p w:rsidR="00314ED8" w:rsidRDefault="000573F8">
      <w:pPr>
        <w:jc w:val="both"/>
        <w:rPr>
          <w:rFonts w:ascii="Arial" w:hAnsi="Arial" w:cs="Arial"/>
        </w:rPr>
      </w:pPr>
      <w:r>
        <w:rPr>
          <w:rFonts w:ascii="Arial" w:hAnsi="Arial" w:cs="Arial"/>
        </w:rPr>
        <w:lastRenderedPageBreak/>
        <w:t xml:space="preserve">En référence au seuil de pauvreté calculé en 2015, la </w:t>
      </w:r>
      <w:r w:rsidRPr="00EA34D7">
        <w:rPr>
          <w:rFonts w:ascii="Arial" w:hAnsi="Arial" w:cs="Arial"/>
        </w:rPr>
        <w:t xml:space="preserve"> proportion de personnes pauvres (P0) s’est accrue </w:t>
      </w:r>
      <w:r>
        <w:rPr>
          <w:rFonts w:ascii="Arial" w:hAnsi="Arial" w:cs="Arial"/>
        </w:rPr>
        <w:t xml:space="preserve"> de 3,9</w:t>
      </w:r>
      <w:r w:rsidRPr="00EA34D7">
        <w:rPr>
          <w:rFonts w:ascii="Arial" w:hAnsi="Arial" w:cs="Arial"/>
        </w:rPr>
        <w:t xml:space="preserve"> point</w:t>
      </w:r>
      <w:r>
        <w:rPr>
          <w:rFonts w:ascii="Arial" w:hAnsi="Arial" w:cs="Arial"/>
        </w:rPr>
        <w:t>s</w:t>
      </w:r>
      <w:r w:rsidRPr="00EA34D7">
        <w:rPr>
          <w:rFonts w:ascii="Arial" w:hAnsi="Arial" w:cs="Arial"/>
        </w:rPr>
        <w:t xml:space="preserve">, passant de </w:t>
      </w:r>
      <w:r>
        <w:rPr>
          <w:rFonts w:ascii="Arial" w:hAnsi="Arial" w:cs="Arial"/>
        </w:rPr>
        <w:t>36</w:t>
      </w:r>
      <w:r w:rsidRPr="00EA34D7">
        <w:rPr>
          <w:rFonts w:ascii="Arial" w:hAnsi="Arial" w:cs="Arial"/>
        </w:rPr>
        <w:t>,2% en 20</w:t>
      </w:r>
      <w:r>
        <w:rPr>
          <w:rFonts w:ascii="Arial" w:hAnsi="Arial" w:cs="Arial"/>
        </w:rPr>
        <w:t>11 à 40,1</w:t>
      </w:r>
      <w:r w:rsidRPr="00EA34D7">
        <w:rPr>
          <w:rFonts w:ascii="Arial" w:hAnsi="Arial" w:cs="Arial"/>
        </w:rPr>
        <w:t>% en 20</w:t>
      </w:r>
      <w:r>
        <w:rPr>
          <w:rFonts w:ascii="Arial" w:hAnsi="Arial" w:cs="Arial"/>
        </w:rPr>
        <w:t>15. La même tendance est observée pour les deux autres indicateurs. Ainsi, l</w:t>
      </w:r>
      <w:r w:rsidR="007C1557" w:rsidRPr="007C1557">
        <w:rPr>
          <w:rFonts w:ascii="Arial" w:hAnsi="Arial" w:cs="Arial"/>
        </w:rPr>
        <w:t xml:space="preserve">a profondeur de la pauvreté (P1), </w:t>
      </w:r>
      <w:r>
        <w:rPr>
          <w:rFonts w:ascii="Arial" w:hAnsi="Arial" w:cs="Arial"/>
        </w:rPr>
        <w:t>a</w:t>
      </w:r>
      <w:r w:rsidR="00F351C9">
        <w:rPr>
          <w:rFonts w:ascii="Arial" w:hAnsi="Arial" w:cs="Arial"/>
        </w:rPr>
        <w:t>connu une aggravation</w:t>
      </w:r>
      <w:r w:rsidR="007C1557" w:rsidRPr="007C1557">
        <w:rPr>
          <w:rFonts w:ascii="Arial" w:hAnsi="Arial" w:cs="Arial"/>
        </w:rPr>
        <w:t>, passant respectivement de 0,098 en 2011</w:t>
      </w:r>
      <w:r>
        <w:rPr>
          <w:rFonts w:ascii="Arial" w:hAnsi="Arial" w:cs="Arial"/>
        </w:rPr>
        <w:t xml:space="preserve"> à 0,18 en 2015</w:t>
      </w:r>
      <w:r w:rsidR="007C1557" w:rsidRPr="007C1557">
        <w:rPr>
          <w:rFonts w:ascii="Arial" w:hAnsi="Arial" w:cs="Arial"/>
        </w:rPr>
        <w:t xml:space="preserve">. Les inégalités parmi les pauvres (P2) se sont </w:t>
      </w:r>
      <w:r>
        <w:rPr>
          <w:rFonts w:ascii="Arial" w:hAnsi="Arial" w:cs="Arial"/>
        </w:rPr>
        <w:t xml:space="preserve">également accentuées, passant de </w:t>
      </w:r>
      <w:r w:rsidR="007C1557" w:rsidRPr="007C1557">
        <w:rPr>
          <w:rFonts w:ascii="Arial" w:hAnsi="Arial" w:cs="Arial"/>
        </w:rPr>
        <w:t>0,039 en 2011</w:t>
      </w:r>
      <w:r w:rsidR="00592105">
        <w:rPr>
          <w:rFonts w:ascii="Arial" w:hAnsi="Arial" w:cs="Arial"/>
        </w:rPr>
        <w:t xml:space="preserve"> à 0,12</w:t>
      </w:r>
      <w:r w:rsidR="007C1557" w:rsidRPr="007C1557">
        <w:rPr>
          <w:rFonts w:ascii="Arial" w:hAnsi="Arial" w:cs="Arial"/>
        </w:rPr>
        <w:t xml:space="preserve">.  </w:t>
      </w:r>
    </w:p>
    <w:p w:rsidR="00314ED8" w:rsidRDefault="007C1557">
      <w:pPr>
        <w:spacing w:after="0" w:line="240" w:lineRule="auto"/>
        <w:jc w:val="both"/>
        <w:rPr>
          <w:rFonts w:ascii="Arial" w:hAnsi="Arial" w:cs="Arial"/>
        </w:rPr>
      </w:pPr>
      <w:r w:rsidRPr="007C1557">
        <w:rPr>
          <w:rFonts w:ascii="Arial" w:hAnsi="Arial" w:cs="Arial"/>
          <w:b/>
        </w:rPr>
        <w:t>Encadré</w:t>
      </w:r>
      <w:r w:rsidR="000B459C">
        <w:rPr>
          <w:rFonts w:ascii="Arial" w:hAnsi="Arial" w:cs="Arial"/>
        </w:rPr>
        <w:t xml:space="preserve"> 1</w:t>
      </w:r>
      <w:r w:rsidRPr="007C1557">
        <w:rPr>
          <w:rFonts w:ascii="Arial" w:hAnsi="Arial" w:cs="Arial"/>
        </w:rPr>
        <w:t xml:space="preserve"> : Définition des indicateurs de pauvreté </w:t>
      </w:r>
    </w:p>
    <w:p w:rsidR="00314ED8" w:rsidRDefault="007C1557">
      <w:pPr>
        <w:jc w:val="both"/>
        <w:rPr>
          <w:rFonts w:ascii="Arial" w:hAnsi="Arial" w:cs="Arial"/>
        </w:rPr>
      </w:pPr>
      <w:r w:rsidRPr="007C1557">
        <w:rPr>
          <w:rFonts w:ascii="Arial" w:eastAsia="Cambria" w:hAnsi="Arial" w:cs="Arial"/>
          <w:b/>
        </w:rPr>
        <w:t>Source</w:t>
      </w:r>
      <w:r w:rsidRPr="007C1557">
        <w:rPr>
          <w:rFonts w:ascii="Arial" w:eastAsia="Cambria" w:hAnsi="Arial" w:cs="Arial"/>
        </w:rPr>
        <w:t> : INSAE, TBS 2010, Tome 2</w:t>
      </w:r>
      <w:r w:rsidR="00DA1BC2">
        <w:rPr>
          <w:rFonts w:ascii="Arial" w:hAnsi="Arial" w:cs="Arial"/>
          <w:noProof/>
          <w:lang w:eastAsia="fr-FR"/>
        </w:rPr>
        <w:pict>
          <v:shapetype id="_x0000_t202" coordsize="21600,21600" o:spt="202" path="m,l,21600r21600,l21600,xe">
            <v:stroke joinstyle="miter"/>
            <v:path gradientshapeok="t" o:connecttype="rect"/>
          </v:shapetype>
          <v:shape id="Text Box 5" o:spid="_x0000_s1026" type="#_x0000_t202" style="position:absolute;left:0;text-align:left;margin-left:0;margin-top:5.5pt;width:456.6pt;height:134.4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" strokecolor="black [3213]" strokeweight="3pt">
            <v:stroke linestyle="thickThin"/>
            <v:shadow color="#868686"/>
            <v:textbox style="mso-fit-shape-to-text:t">
              <w:txbxContent>
                <w:p w:rsidR="004F1495" w:rsidRPr="000B459C" w:rsidRDefault="004F1495" w:rsidP="000B459C">
                  <w:pPr>
                    <w:pStyle w:val="Notedebasdepage"/>
                    <w:jc w:val="both"/>
                    <w:rPr>
                      <w:rFonts w:ascii="Arial" w:hAnsi="Arial" w:cs="Arial"/>
                      <w:color w:val="FF0000"/>
                      <w:sz w:val="18"/>
                      <w:szCs w:val="18"/>
                    </w:rPr>
                  </w:pPr>
                  <w:r w:rsidRPr="007C1557">
                    <w:rPr>
                      <w:rFonts w:ascii="Arial" w:hAnsi="Arial" w:cs="Arial"/>
                      <w:sz w:val="18"/>
                      <w:szCs w:val="18"/>
                      <w:lang w:eastAsia="en-US"/>
                    </w:rPr>
                    <w:t>L’incidence de la pauvreté globale (P</w:t>
                  </w:r>
                  <w:r w:rsidRPr="007C1557">
                    <w:rPr>
                      <w:rFonts w:ascii="Arial" w:hAnsi="Arial" w:cs="Arial"/>
                      <w:sz w:val="18"/>
                      <w:szCs w:val="18"/>
                      <w:vertAlign w:val="subscript"/>
                      <w:lang w:eastAsia="en-US"/>
                    </w:rPr>
                    <w:t>0</w:t>
                  </w:r>
                  <w:r w:rsidRPr="007C1557">
                    <w:rPr>
                      <w:rFonts w:ascii="Arial" w:hAnsi="Arial" w:cs="Arial"/>
                      <w:sz w:val="18"/>
                      <w:szCs w:val="18"/>
                      <w:lang w:eastAsia="en-US"/>
                    </w:rPr>
                    <w:t>) est le pourcentage de la population (ou de ménage) qui n’arrive pas à couvrir ses besoins alimentaires et non alimentaires représentés par le seuil de pauvreté</w:t>
                  </w:r>
                  <w:r w:rsidRPr="007C1557">
                    <w:rPr>
                      <w:rFonts w:ascii="Arial" w:hAnsi="Arial" w:cs="Arial"/>
                      <w:color w:val="FF0000"/>
                      <w:sz w:val="18"/>
                      <w:szCs w:val="18"/>
                    </w:rPr>
                    <w:t xml:space="preserve">. </w:t>
                  </w:r>
                  <w:r w:rsidRPr="007C1557">
                    <w:rPr>
                      <w:rFonts w:ascii="Arial" w:hAnsi="Arial" w:cs="Arial"/>
                      <w:sz w:val="18"/>
                      <w:szCs w:val="18"/>
                    </w:rPr>
                    <w:t xml:space="preserve">Généralement, </w:t>
                  </w:r>
                  <w:r w:rsidRPr="007C1557">
                    <w:rPr>
                      <w:rFonts w:ascii="Arial" w:hAnsi="Arial" w:cs="Arial"/>
                      <w:sz w:val="18"/>
                      <w:szCs w:val="18"/>
                      <w:lang w:eastAsia="en-US"/>
                    </w:rPr>
                    <w:t>P</w:t>
                  </w:r>
                  <w:r w:rsidRPr="007C1557">
                    <w:rPr>
                      <w:rFonts w:ascii="Arial" w:hAnsi="Arial" w:cs="Arial"/>
                      <w:sz w:val="18"/>
                      <w:szCs w:val="18"/>
                      <w:vertAlign w:val="subscript"/>
                      <w:lang w:eastAsia="en-US"/>
                    </w:rPr>
                    <w:t xml:space="preserve">0 </w:t>
                  </w:r>
                  <w:r w:rsidRPr="007C1557">
                    <w:rPr>
                      <w:rFonts w:ascii="Arial" w:hAnsi="Arial" w:cs="Arial"/>
                      <w:sz w:val="18"/>
                      <w:szCs w:val="18"/>
                      <w:lang w:eastAsia="en-US"/>
                    </w:rPr>
                    <w:t>est présenté</w:t>
                  </w:r>
                  <w:r w:rsidRPr="007C1557">
                    <w:rPr>
                      <w:rFonts w:ascii="Arial" w:hAnsi="Arial" w:cs="Arial"/>
                      <w:sz w:val="18"/>
                      <w:szCs w:val="18"/>
                    </w:rPr>
                    <w:t>en pourcentage.</w:t>
                  </w:r>
                </w:p>
                <w:p w:rsidR="004F1495" w:rsidRPr="000B459C" w:rsidRDefault="004F1495" w:rsidP="000B459C">
                  <w:pPr>
                    <w:pStyle w:val="Notedebasdepage"/>
                    <w:jc w:val="both"/>
                    <w:rPr>
                      <w:rFonts w:ascii="Arial" w:hAnsi="Arial" w:cs="Arial"/>
                      <w:iCs/>
                      <w:sz w:val="18"/>
                      <w:szCs w:val="18"/>
                    </w:rPr>
                  </w:pPr>
                </w:p>
                <w:p w:rsidR="004F1495" w:rsidRPr="000B459C" w:rsidRDefault="004F1495" w:rsidP="000B459C">
                  <w:pPr>
                    <w:pStyle w:val="Notedebasdepage"/>
                    <w:jc w:val="both"/>
                    <w:rPr>
                      <w:rFonts w:ascii="Arial" w:hAnsi="Arial" w:cs="Arial"/>
                      <w:iCs/>
                      <w:sz w:val="18"/>
                      <w:szCs w:val="18"/>
                    </w:rPr>
                  </w:pPr>
                  <w:r w:rsidRPr="007C1557">
                    <w:rPr>
                      <w:rFonts w:ascii="Arial" w:hAnsi="Arial" w:cs="Arial"/>
                      <w:iCs/>
                      <w:sz w:val="18"/>
                      <w:szCs w:val="18"/>
                    </w:rPr>
                    <w:t>La profondeur de la pauvreté (</w:t>
                  </w:r>
                  <w:r w:rsidRPr="007C1557">
                    <w:rPr>
                      <w:rFonts w:ascii="Arial" w:hAnsi="Arial" w:cs="Arial"/>
                      <w:sz w:val="18"/>
                      <w:szCs w:val="18"/>
                      <w:lang w:eastAsia="en-US"/>
                    </w:rPr>
                    <w:t>P</w:t>
                  </w:r>
                  <w:r w:rsidRPr="007C1557">
                    <w:rPr>
                      <w:rFonts w:ascii="Arial" w:hAnsi="Arial" w:cs="Arial"/>
                      <w:sz w:val="18"/>
                      <w:szCs w:val="18"/>
                      <w:vertAlign w:val="subscript"/>
                      <w:lang w:eastAsia="en-US"/>
                    </w:rPr>
                    <w:t>1</w:t>
                  </w:r>
                  <w:r w:rsidRPr="007C1557">
                    <w:rPr>
                      <w:rFonts w:ascii="Arial" w:hAnsi="Arial" w:cs="Arial"/>
                      <w:iCs/>
                      <w:sz w:val="18"/>
                      <w:szCs w:val="18"/>
                    </w:rPr>
                    <w:t>) indique la distance à laquelle les ménages se trouvent de la ligne de pauvreté. Elle enregistre le déficit collectif moyen de revenu ou de consommation par rapport à la ligne de pauvreté pour l’ensemble de la population.</w:t>
                  </w:r>
                </w:p>
                <w:p w:rsidR="004F1495" w:rsidRPr="000B459C" w:rsidRDefault="004F1495" w:rsidP="000B459C">
                  <w:pPr>
                    <w:pStyle w:val="Notedebasdepage"/>
                    <w:tabs>
                      <w:tab w:val="left" w:pos="2900"/>
                    </w:tabs>
                    <w:ind w:left="360"/>
                    <w:jc w:val="both"/>
                    <w:rPr>
                      <w:rFonts w:ascii="Arial" w:hAnsi="Arial" w:cs="Arial"/>
                      <w:iCs/>
                      <w:sz w:val="18"/>
                      <w:szCs w:val="18"/>
                    </w:rPr>
                  </w:pPr>
                  <w:r w:rsidRPr="007C1557">
                    <w:rPr>
                      <w:rFonts w:ascii="Arial" w:hAnsi="Arial" w:cs="Arial"/>
                      <w:iCs/>
                      <w:sz w:val="18"/>
                      <w:szCs w:val="18"/>
                    </w:rPr>
                    <w:tab/>
                  </w:r>
                </w:p>
                <w:p w:rsidR="004F1495" w:rsidRPr="000B459C" w:rsidRDefault="004F1495" w:rsidP="000B459C">
                  <w:pPr>
                    <w:pStyle w:val="Notedebasdepage"/>
                    <w:jc w:val="both"/>
                    <w:rPr>
                      <w:rFonts w:ascii="Arial" w:hAnsi="Arial" w:cs="Arial"/>
                      <w:iCs/>
                      <w:sz w:val="18"/>
                      <w:szCs w:val="18"/>
                    </w:rPr>
                  </w:pPr>
                  <w:r w:rsidRPr="007C1557">
                    <w:rPr>
                      <w:rFonts w:ascii="Arial" w:hAnsi="Arial" w:cs="Arial"/>
                      <w:sz w:val="18"/>
                      <w:szCs w:val="18"/>
                    </w:rPr>
                    <w:t>La sévérité de la pauvreté (P</w:t>
                  </w:r>
                  <w:r w:rsidRPr="007C1557">
                    <w:rPr>
                      <w:rFonts w:ascii="Arial" w:hAnsi="Arial" w:cs="Arial"/>
                      <w:sz w:val="18"/>
                      <w:szCs w:val="18"/>
                      <w:vertAlign w:val="subscript"/>
                    </w:rPr>
                    <w:t>2</w:t>
                  </w:r>
                  <w:r w:rsidRPr="007C1557">
                    <w:rPr>
                      <w:rFonts w:ascii="Arial" w:hAnsi="Arial" w:cs="Arial"/>
                      <w:sz w:val="18"/>
                      <w:szCs w:val="18"/>
                    </w:rPr>
                    <w:t xml:space="preserve">) </w:t>
                  </w:r>
                  <w:r w:rsidRPr="007C1557">
                    <w:rPr>
                      <w:rFonts w:ascii="Arial" w:hAnsi="Arial" w:cs="Arial"/>
                      <w:iCs/>
                      <w:sz w:val="18"/>
                      <w:szCs w:val="18"/>
                    </w:rPr>
                    <w:t>donne des indications sur l’écart de pauvreté, mais surtout mesure l’inégalité parmi les pauvres. Elle attribue une pondération plus importante aux ménages situés à une plus grande distance du seuil de pauvreté. La prise en compte de la sévérité permet d'évaluer les conditions de vie des plus pauvres qui ne peuvent pas sortir de la pauvreté sans action ou assistance extérieure.</w:t>
                  </w:r>
                </w:p>
              </w:txbxContent>
            </v:textbox>
            <w10:wrap type="square"/>
          </v:shape>
        </w:pict>
      </w:r>
    </w:p>
    <w:p w:rsidR="00314ED8" w:rsidRDefault="00C91AEA">
      <w:pPr>
        <w:jc w:val="both"/>
        <w:rPr>
          <w:rFonts w:ascii="Arial" w:hAnsi="Arial" w:cs="Arial"/>
        </w:rPr>
      </w:pPr>
      <w:r>
        <w:rPr>
          <w:rFonts w:ascii="Arial" w:hAnsi="Arial" w:cs="Arial"/>
          <w:b/>
        </w:rPr>
        <w:t>L</w:t>
      </w:r>
      <w:r w:rsidR="007C1557" w:rsidRPr="007C1557">
        <w:rPr>
          <w:rFonts w:ascii="Arial" w:hAnsi="Arial" w:cs="Arial"/>
          <w:b/>
        </w:rPr>
        <w:t>a pauvreté monétaire est plus prépondérante en milieu rural</w:t>
      </w:r>
      <w:r w:rsidR="00983585">
        <w:rPr>
          <w:rFonts w:ascii="Arial" w:hAnsi="Arial" w:cs="Arial"/>
        </w:rPr>
        <w:t xml:space="preserve">. </w:t>
      </w:r>
      <w:r w:rsidR="004C7887" w:rsidRPr="005E31D0">
        <w:rPr>
          <w:rFonts w:ascii="Arial" w:hAnsi="Arial" w:cs="Arial"/>
        </w:rPr>
        <w:t>En effet, bien que l’aggravation de la pauvreté soit plus marquée en milieu urbain</w:t>
      </w:r>
      <w:r w:rsidR="004C7887">
        <w:rPr>
          <w:rFonts w:ascii="Arial" w:hAnsi="Arial" w:cs="Arial"/>
        </w:rPr>
        <w:t xml:space="preserve"> (4,5% contre 3</w:t>
      </w:r>
      <w:r w:rsidR="004C7887" w:rsidRPr="005E31D0">
        <w:rPr>
          <w:rFonts w:ascii="Arial" w:hAnsi="Arial" w:cs="Arial"/>
        </w:rPr>
        <w:t>,</w:t>
      </w:r>
      <w:r w:rsidR="004C7887">
        <w:rPr>
          <w:rFonts w:ascii="Arial" w:hAnsi="Arial" w:cs="Arial"/>
        </w:rPr>
        <w:t>9% pour le milieu rural), elle reste importante en milieu rural où près de 43,6</w:t>
      </w:r>
      <w:r w:rsidR="004C7887" w:rsidRPr="005E31D0">
        <w:rPr>
          <w:rFonts w:ascii="Arial" w:hAnsi="Arial" w:cs="Arial"/>
        </w:rPr>
        <w:t xml:space="preserve">% des individus sont touchés. </w:t>
      </w:r>
    </w:p>
    <w:p w:rsidR="00314ED8" w:rsidRPr="000E28C5" w:rsidRDefault="00C216A8" w:rsidP="00B34697">
      <w:pPr>
        <w:pStyle w:val="Lgende"/>
        <w:jc w:val="both"/>
        <w:rPr>
          <w:rFonts w:ascii="Arial" w:hAnsi="Arial" w:cs="Arial"/>
          <w:sz w:val="22"/>
          <w:szCs w:val="22"/>
        </w:rPr>
      </w:pPr>
      <w:bookmarkStart w:id="14" w:name="_Toc433391919"/>
      <w:r w:rsidRPr="000E28C5">
        <w:rPr>
          <w:rFonts w:ascii="Arial" w:hAnsi="Arial" w:cs="Arial"/>
          <w:sz w:val="22"/>
          <w:szCs w:val="22"/>
        </w:rPr>
        <w:t xml:space="preserve">Figure </w:t>
      </w:r>
      <w:r w:rsidR="00115FEB" w:rsidRPr="000E28C5">
        <w:rPr>
          <w:rFonts w:ascii="Arial" w:hAnsi="Arial" w:cs="Arial"/>
          <w:sz w:val="22"/>
          <w:szCs w:val="22"/>
        </w:rPr>
        <w:fldChar w:fldCharType="begin"/>
      </w:r>
      <w:r w:rsidRPr="000E28C5">
        <w:rPr>
          <w:rFonts w:ascii="Arial" w:hAnsi="Arial" w:cs="Arial"/>
          <w:sz w:val="22"/>
          <w:szCs w:val="22"/>
        </w:rPr>
        <w:instrText xml:space="preserve"> SEQ Figure \* ARABIC </w:instrText>
      </w:r>
      <w:r w:rsidR="00115FEB" w:rsidRPr="000E28C5">
        <w:rPr>
          <w:rFonts w:ascii="Arial" w:hAnsi="Arial" w:cs="Arial"/>
          <w:sz w:val="22"/>
          <w:szCs w:val="22"/>
        </w:rPr>
        <w:fldChar w:fldCharType="separate"/>
      </w:r>
      <w:r w:rsidR="00DB55D3">
        <w:rPr>
          <w:rFonts w:ascii="Arial" w:hAnsi="Arial" w:cs="Arial"/>
          <w:noProof/>
          <w:sz w:val="22"/>
          <w:szCs w:val="22"/>
        </w:rPr>
        <w:t>1</w:t>
      </w:r>
      <w:r w:rsidR="00115FEB" w:rsidRPr="000E28C5">
        <w:rPr>
          <w:rFonts w:ascii="Arial" w:hAnsi="Arial" w:cs="Arial"/>
          <w:sz w:val="22"/>
          <w:szCs w:val="22"/>
        </w:rPr>
        <w:fldChar w:fldCharType="end"/>
      </w:r>
      <w:r w:rsidR="000B459C" w:rsidRPr="000E28C5">
        <w:rPr>
          <w:rFonts w:ascii="Arial" w:hAnsi="Arial" w:cs="Arial"/>
          <w:sz w:val="22"/>
          <w:szCs w:val="22"/>
        </w:rPr>
        <w:t>: Evolution de l’incidence de pauvreté entre 2011 et 2015 selon le milieu de résidence</w:t>
      </w:r>
      <w:bookmarkEnd w:id="14"/>
    </w:p>
    <w:p w:rsidR="00314ED8" w:rsidRDefault="003E6DBD">
      <w:pPr>
        <w:rPr>
          <w:rFonts w:ascii="Arial" w:hAnsi="Arial" w:cs="Arial"/>
          <w:b/>
          <w:color w:val="E36C0A"/>
          <w:sz w:val="24"/>
          <w:szCs w:val="24"/>
        </w:rPr>
      </w:pPr>
      <w:r>
        <w:rPr>
          <w:rFonts w:ascii="Arial" w:hAnsi="Arial" w:cs="Arial"/>
          <w:b/>
          <w:noProof/>
          <w:color w:val="E36C0A"/>
          <w:sz w:val="24"/>
          <w:szCs w:val="24"/>
          <w:lang w:eastAsia="fr-FR"/>
        </w:rPr>
        <w:drawing>
          <wp:inline distT="0" distB="0" distL="0" distR="0">
            <wp:extent cx="5819775" cy="2876550"/>
            <wp:effectExtent l="19050" t="0" r="9525"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4ED8" w:rsidRDefault="008A3F59">
      <w:pPr>
        <w:jc w:val="both"/>
        <w:rPr>
          <w:rFonts w:ascii="Arial" w:hAnsi="Arial" w:cs="Arial"/>
        </w:rPr>
      </w:pPr>
      <w:r>
        <w:rPr>
          <w:rFonts w:ascii="Arial" w:hAnsi="Arial" w:cs="Arial"/>
        </w:rPr>
        <w:t>En milieu rural, quatre personnes sur dix sont pauvres contre trois personnes sur dix en milieu urbain en 2015.</w:t>
      </w:r>
    </w:p>
    <w:p w:rsidR="00B34697" w:rsidRDefault="00B34697">
      <w:pPr>
        <w:jc w:val="both"/>
        <w:rPr>
          <w:rFonts w:ascii="Arial" w:hAnsi="Arial" w:cs="Arial"/>
        </w:rPr>
      </w:pPr>
    </w:p>
    <w:p w:rsidR="00237E2B" w:rsidRDefault="00237E2B">
      <w:pPr>
        <w:jc w:val="both"/>
        <w:rPr>
          <w:rFonts w:ascii="Arial" w:hAnsi="Arial" w:cs="Arial"/>
        </w:rPr>
      </w:pPr>
    </w:p>
    <w:p w:rsidR="00237E2B" w:rsidRDefault="00237E2B">
      <w:pPr>
        <w:jc w:val="both"/>
        <w:rPr>
          <w:rFonts w:ascii="Arial" w:hAnsi="Arial" w:cs="Arial"/>
        </w:rPr>
      </w:pPr>
    </w:p>
    <w:p w:rsidR="00B34697" w:rsidRDefault="00B34697">
      <w:pPr>
        <w:jc w:val="both"/>
        <w:rPr>
          <w:rFonts w:ascii="Arial" w:hAnsi="Arial" w:cs="Arial"/>
        </w:rPr>
      </w:pPr>
    </w:p>
    <w:p w:rsidR="00314ED8" w:rsidRPr="00C216A8" w:rsidRDefault="00C216A8">
      <w:pPr>
        <w:spacing w:after="0"/>
        <w:jc w:val="both"/>
        <w:rPr>
          <w:rFonts w:ascii="Arial" w:hAnsi="Arial" w:cs="Arial"/>
        </w:rPr>
      </w:pPr>
      <w:bookmarkStart w:id="15" w:name="_Toc432425307"/>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3</w:t>
      </w:r>
      <w:r w:rsidR="00115FEB" w:rsidRPr="00C216A8">
        <w:rPr>
          <w:rFonts w:ascii="Arial" w:hAnsi="Arial" w:cs="Arial"/>
        </w:rPr>
        <w:fldChar w:fldCharType="end"/>
      </w:r>
      <w:r w:rsidR="007C1557" w:rsidRPr="00C216A8">
        <w:rPr>
          <w:rFonts w:ascii="Arial" w:hAnsi="Arial" w:cs="Arial"/>
        </w:rPr>
        <w:t>: Indices de  pauvreté monétaire suivant le milieu de résidence</w:t>
      </w:r>
      <w:bookmarkEnd w:id="15"/>
    </w:p>
    <w:tbl>
      <w:tblPr>
        <w:tblW w:w="8969" w:type="dxa"/>
        <w:tblInd w:w="70" w:type="dxa"/>
        <w:tblCellMar>
          <w:left w:w="70" w:type="dxa"/>
          <w:right w:w="70" w:type="dxa"/>
        </w:tblCellMar>
        <w:tblLook w:val="04A0" w:firstRow="1" w:lastRow="0" w:firstColumn="1" w:lastColumn="0" w:noHBand="0" w:noVBand="1"/>
      </w:tblPr>
      <w:tblGrid>
        <w:gridCol w:w="1682"/>
        <w:gridCol w:w="1821"/>
        <w:gridCol w:w="1065"/>
        <w:gridCol w:w="1150"/>
        <w:gridCol w:w="1093"/>
        <w:gridCol w:w="1149"/>
        <w:gridCol w:w="1009"/>
      </w:tblGrid>
      <w:tr w:rsidR="00EC0C1D" w:rsidRPr="00EC0C1D" w:rsidTr="00BB67C1">
        <w:trPr>
          <w:trHeight w:val="294"/>
        </w:trPr>
        <w:tc>
          <w:tcPr>
            <w:tcW w:w="1682" w:type="dxa"/>
            <w:tcBorders>
              <w:top w:val="double" w:sz="6" w:space="0" w:color="auto"/>
              <w:left w:val="nil"/>
              <w:bottom w:val="nil"/>
              <w:right w:val="nil"/>
            </w:tcBorders>
            <w:shd w:val="clear" w:color="auto" w:fill="auto"/>
            <w:vAlign w:val="bottom"/>
            <w:hideMark/>
          </w:tcPr>
          <w:p w:rsidR="00314ED8" w:rsidRDefault="007C1557">
            <w:pPr>
              <w:spacing w:after="0" w:line="240" w:lineRule="auto"/>
              <w:rPr>
                <w:rFonts w:ascii="Arial" w:eastAsia="Times New Roman" w:hAnsi="Arial" w:cs="Arial"/>
                <w:b/>
                <w:bCs/>
                <w:color w:val="000000"/>
                <w:lang w:eastAsia="fr-FR"/>
              </w:rPr>
            </w:pPr>
            <w:r w:rsidRPr="007C1557">
              <w:rPr>
                <w:rFonts w:ascii="Arial" w:eastAsia="Times New Roman" w:hAnsi="Arial" w:cs="Arial"/>
                <w:b/>
                <w:bCs/>
                <w:color w:val="000000"/>
                <w:lang w:eastAsia="fr-FR"/>
              </w:rPr>
              <w:t> </w:t>
            </w:r>
          </w:p>
        </w:tc>
        <w:tc>
          <w:tcPr>
            <w:tcW w:w="4036" w:type="dxa"/>
            <w:gridSpan w:val="3"/>
            <w:tcBorders>
              <w:top w:val="double" w:sz="6" w:space="0" w:color="auto"/>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2011</w:t>
            </w:r>
          </w:p>
        </w:tc>
        <w:tc>
          <w:tcPr>
            <w:tcW w:w="3251" w:type="dxa"/>
            <w:gridSpan w:val="3"/>
            <w:tcBorders>
              <w:top w:val="double" w:sz="6" w:space="0" w:color="auto"/>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w:t>
            </w:r>
            <w:r w:rsidR="00EC0C1D">
              <w:rPr>
                <w:rFonts w:ascii="Arial" w:eastAsia="Times New Roman" w:hAnsi="Arial" w:cs="Arial"/>
                <w:b/>
                <w:bCs/>
                <w:color w:val="000000"/>
                <w:lang w:eastAsia="fr-FR"/>
              </w:rPr>
              <w:t>5</w:t>
            </w:r>
          </w:p>
        </w:tc>
      </w:tr>
      <w:tr w:rsidR="00EC0C1D" w:rsidRPr="00EC0C1D" w:rsidTr="00BB67C1">
        <w:trPr>
          <w:trHeight w:val="281"/>
        </w:trPr>
        <w:tc>
          <w:tcPr>
            <w:tcW w:w="1682" w:type="dxa"/>
            <w:tcBorders>
              <w:top w:val="nil"/>
              <w:left w:val="nil"/>
              <w:bottom w:val="single" w:sz="8" w:space="0" w:color="000000"/>
              <w:right w:val="nil"/>
            </w:tcBorders>
            <w:shd w:val="clear" w:color="auto" w:fill="auto"/>
            <w:vAlign w:val="bottom"/>
            <w:hideMark/>
          </w:tcPr>
          <w:p w:rsidR="00314ED8" w:rsidRDefault="007C1557">
            <w:pPr>
              <w:spacing w:after="0" w:line="240" w:lineRule="auto"/>
              <w:rPr>
                <w:rFonts w:ascii="Arial" w:eastAsia="Times New Roman" w:hAnsi="Arial" w:cs="Arial"/>
                <w:b/>
                <w:bCs/>
                <w:color w:val="000000"/>
                <w:lang w:eastAsia="fr-FR"/>
              </w:rPr>
            </w:pPr>
            <w:r w:rsidRPr="007C1557">
              <w:rPr>
                <w:rFonts w:ascii="Arial" w:eastAsia="Times New Roman" w:hAnsi="Arial" w:cs="Arial"/>
                <w:b/>
                <w:bCs/>
                <w:color w:val="000000"/>
                <w:lang w:eastAsia="fr-FR"/>
              </w:rPr>
              <w:t> </w:t>
            </w:r>
          </w:p>
        </w:tc>
        <w:tc>
          <w:tcPr>
            <w:tcW w:w="1821"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 xml:space="preserve">0 </w:t>
            </w:r>
            <w:r w:rsidRPr="007C1557">
              <w:rPr>
                <w:rFonts w:ascii="Arial" w:eastAsia="Times New Roman" w:hAnsi="Arial" w:cs="Arial"/>
                <w:color w:val="000000"/>
                <w:lang w:eastAsia="fr-FR"/>
              </w:rPr>
              <w:t>(%)</w:t>
            </w:r>
          </w:p>
        </w:tc>
        <w:tc>
          <w:tcPr>
            <w:tcW w:w="1065"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1</w:t>
            </w:r>
          </w:p>
        </w:tc>
        <w:tc>
          <w:tcPr>
            <w:tcW w:w="1150"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2</w:t>
            </w:r>
          </w:p>
        </w:tc>
        <w:tc>
          <w:tcPr>
            <w:tcW w:w="1093"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 xml:space="preserve">0 </w:t>
            </w:r>
            <w:r w:rsidRPr="007C1557">
              <w:rPr>
                <w:rFonts w:ascii="Arial" w:eastAsia="Times New Roman" w:hAnsi="Arial" w:cs="Arial"/>
                <w:color w:val="000000"/>
                <w:lang w:eastAsia="fr-FR"/>
              </w:rPr>
              <w:t>(%)</w:t>
            </w:r>
          </w:p>
        </w:tc>
        <w:tc>
          <w:tcPr>
            <w:tcW w:w="1149"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1</w:t>
            </w:r>
          </w:p>
        </w:tc>
        <w:tc>
          <w:tcPr>
            <w:tcW w:w="1009"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2</w:t>
            </w:r>
          </w:p>
        </w:tc>
      </w:tr>
      <w:tr w:rsidR="00EC0C1D" w:rsidRPr="00EC0C1D" w:rsidTr="00BB67C1">
        <w:trPr>
          <w:trHeight w:val="294"/>
        </w:trPr>
        <w:tc>
          <w:tcPr>
            <w:tcW w:w="1682" w:type="dxa"/>
            <w:vMerge w:val="restart"/>
            <w:tcBorders>
              <w:top w:val="single" w:sz="4" w:space="0" w:color="auto"/>
              <w:left w:val="nil"/>
              <w:bottom w:val="nil"/>
              <w:right w:val="nil"/>
            </w:tcBorders>
            <w:shd w:val="clear" w:color="auto" w:fill="auto"/>
            <w:vAlign w:val="bottom"/>
            <w:hideMark/>
          </w:tcPr>
          <w:p w:rsidR="00314ED8" w:rsidRDefault="007C1557">
            <w:pPr>
              <w:spacing w:after="0" w:line="240" w:lineRule="auto"/>
              <w:rPr>
                <w:rFonts w:ascii="Arial" w:eastAsia="Times New Roman" w:hAnsi="Arial" w:cs="Arial"/>
                <w:b/>
                <w:color w:val="000000"/>
                <w:lang w:eastAsia="fr-FR"/>
              </w:rPr>
            </w:pPr>
            <w:r w:rsidRPr="007C1557">
              <w:rPr>
                <w:rFonts w:ascii="Arial" w:eastAsia="Times New Roman" w:hAnsi="Arial" w:cs="Arial"/>
                <w:b/>
                <w:color w:val="000000"/>
                <w:lang w:eastAsia="fr-FR"/>
              </w:rPr>
              <w:t>Urbain</w:t>
            </w:r>
          </w:p>
        </w:tc>
        <w:tc>
          <w:tcPr>
            <w:tcW w:w="1821" w:type="dxa"/>
            <w:tcBorders>
              <w:top w:val="single" w:sz="4" w:space="0" w:color="auto"/>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31,35</w:t>
            </w:r>
          </w:p>
        </w:tc>
        <w:tc>
          <w:tcPr>
            <w:tcW w:w="1065" w:type="dxa"/>
            <w:tcBorders>
              <w:top w:val="single" w:sz="4" w:space="0" w:color="auto"/>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0,088</w:t>
            </w:r>
          </w:p>
        </w:tc>
        <w:tc>
          <w:tcPr>
            <w:tcW w:w="1150" w:type="dxa"/>
            <w:tcBorders>
              <w:top w:val="single" w:sz="4" w:space="0" w:color="auto"/>
              <w:left w:val="nil"/>
              <w:bottom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0,036</w:t>
            </w:r>
          </w:p>
        </w:tc>
        <w:tc>
          <w:tcPr>
            <w:tcW w:w="1093" w:type="dxa"/>
            <w:tcBorders>
              <w:top w:val="single" w:sz="4" w:space="0" w:color="auto"/>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35,83</w:t>
            </w:r>
          </w:p>
        </w:tc>
        <w:tc>
          <w:tcPr>
            <w:tcW w:w="1149" w:type="dxa"/>
            <w:tcBorders>
              <w:top w:val="single" w:sz="4" w:space="0" w:color="auto"/>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0,14</w:t>
            </w:r>
          </w:p>
        </w:tc>
        <w:tc>
          <w:tcPr>
            <w:tcW w:w="1009" w:type="dxa"/>
            <w:tcBorders>
              <w:top w:val="single" w:sz="4" w:space="0" w:color="auto"/>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0,07</w:t>
            </w:r>
          </w:p>
        </w:tc>
      </w:tr>
      <w:tr w:rsidR="00BB67C1" w:rsidRPr="00EC0C1D" w:rsidTr="00BB67C1">
        <w:trPr>
          <w:trHeight w:val="281"/>
        </w:trPr>
        <w:tc>
          <w:tcPr>
            <w:tcW w:w="1682"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b/>
                <w:color w:val="000000"/>
                <w:lang w:eastAsia="fr-FR"/>
              </w:rPr>
            </w:pPr>
          </w:p>
        </w:tc>
        <w:tc>
          <w:tcPr>
            <w:tcW w:w="1821"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(0,024)</w:t>
            </w:r>
          </w:p>
        </w:tc>
        <w:tc>
          <w:tcPr>
            <w:tcW w:w="1065" w:type="dxa"/>
            <w:tcBorders>
              <w:top w:val="nil"/>
              <w:left w:val="nil"/>
              <w:bottom w:val="nil"/>
              <w:right w:val="nil"/>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150" w:type="dxa"/>
            <w:tcBorders>
              <w:top w:val="nil"/>
              <w:left w:val="nil"/>
              <w:bottom w:val="nil"/>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093" w:type="dxa"/>
            <w:tcBorders>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w:t>
            </w:r>
          </w:p>
        </w:tc>
        <w:tc>
          <w:tcPr>
            <w:tcW w:w="1149" w:type="dxa"/>
            <w:tcBorders>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0,00</w:t>
            </w:r>
          </w:p>
        </w:tc>
        <w:tc>
          <w:tcPr>
            <w:tcW w:w="1009" w:type="dxa"/>
            <w:tcBorders>
              <w:bottom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0,00</w:t>
            </w:r>
          </w:p>
        </w:tc>
      </w:tr>
      <w:tr w:rsidR="00EC0C1D" w:rsidRPr="00EC0C1D" w:rsidTr="00BB67C1">
        <w:trPr>
          <w:trHeight w:val="268"/>
        </w:trPr>
        <w:tc>
          <w:tcPr>
            <w:tcW w:w="1682" w:type="dxa"/>
            <w:vMerge w:val="restart"/>
            <w:tcBorders>
              <w:top w:val="nil"/>
              <w:left w:val="nil"/>
              <w:bottom w:val="single" w:sz="8" w:space="0" w:color="000000"/>
              <w:right w:val="nil"/>
            </w:tcBorders>
            <w:shd w:val="clear" w:color="auto" w:fill="auto"/>
            <w:vAlign w:val="bottom"/>
            <w:hideMark/>
          </w:tcPr>
          <w:p w:rsidR="00314ED8" w:rsidRDefault="007C1557">
            <w:pPr>
              <w:spacing w:after="0" w:line="240" w:lineRule="auto"/>
              <w:rPr>
                <w:rFonts w:ascii="Arial" w:eastAsia="Times New Roman" w:hAnsi="Arial" w:cs="Arial"/>
                <w:b/>
                <w:color w:val="000000"/>
                <w:lang w:eastAsia="fr-FR"/>
              </w:rPr>
            </w:pPr>
            <w:r w:rsidRPr="007C1557">
              <w:rPr>
                <w:rFonts w:ascii="Arial" w:eastAsia="Times New Roman" w:hAnsi="Arial" w:cs="Arial"/>
                <w:b/>
                <w:color w:val="000000"/>
                <w:lang w:eastAsia="fr-FR"/>
              </w:rPr>
              <w:t>Rural</w:t>
            </w:r>
          </w:p>
        </w:tc>
        <w:tc>
          <w:tcPr>
            <w:tcW w:w="1821"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39,69</w:t>
            </w:r>
          </w:p>
        </w:tc>
        <w:tc>
          <w:tcPr>
            <w:tcW w:w="1065"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0,105</w:t>
            </w:r>
          </w:p>
        </w:tc>
        <w:tc>
          <w:tcPr>
            <w:tcW w:w="1150" w:type="dxa"/>
            <w:tcBorders>
              <w:top w:val="nil"/>
              <w:left w:val="nil"/>
              <w:bottom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0,04</w:t>
            </w:r>
          </w:p>
        </w:tc>
        <w:tc>
          <w:tcPr>
            <w:tcW w:w="1093" w:type="dxa"/>
            <w:tcBorders>
              <w:top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43,56</w:t>
            </w:r>
          </w:p>
        </w:tc>
        <w:tc>
          <w:tcPr>
            <w:tcW w:w="1149" w:type="dxa"/>
            <w:tcBorders>
              <w:top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0,22</w:t>
            </w:r>
          </w:p>
        </w:tc>
        <w:tc>
          <w:tcPr>
            <w:tcW w:w="1009" w:type="dxa"/>
            <w:tcBorders>
              <w:top w:val="nil"/>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0,15</w:t>
            </w:r>
          </w:p>
        </w:tc>
      </w:tr>
      <w:tr w:rsidR="00EC0C1D" w:rsidRPr="00EC0C1D" w:rsidTr="00BB67C1">
        <w:trPr>
          <w:trHeight w:val="281"/>
        </w:trPr>
        <w:tc>
          <w:tcPr>
            <w:tcW w:w="1682"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821"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(0,022)</w:t>
            </w:r>
          </w:p>
        </w:tc>
        <w:tc>
          <w:tcPr>
            <w:tcW w:w="1065" w:type="dxa"/>
            <w:tcBorders>
              <w:top w:val="nil"/>
              <w:left w:val="nil"/>
              <w:bottom w:val="single" w:sz="8" w:space="0" w:color="000000"/>
              <w:right w:val="nil"/>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150" w:type="dxa"/>
            <w:tcBorders>
              <w:top w:val="nil"/>
              <w:left w:val="nil"/>
              <w:bottom w:val="single" w:sz="8" w:space="0" w:color="000000"/>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093" w:type="dxa"/>
            <w:tcBorders>
              <w:top w:val="nil"/>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w:t>
            </w:r>
          </w:p>
        </w:tc>
        <w:tc>
          <w:tcPr>
            <w:tcW w:w="1149" w:type="dxa"/>
            <w:tcBorders>
              <w:top w:val="nil"/>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0,00</w:t>
            </w:r>
          </w:p>
        </w:tc>
        <w:tc>
          <w:tcPr>
            <w:tcW w:w="1009" w:type="dxa"/>
            <w:tcBorders>
              <w:top w:val="nil"/>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0,00</w:t>
            </w:r>
          </w:p>
        </w:tc>
      </w:tr>
      <w:tr w:rsidR="00EC0C1D" w:rsidRPr="00EC0C1D" w:rsidTr="00BB67C1">
        <w:trPr>
          <w:trHeight w:val="281"/>
        </w:trPr>
        <w:tc>
          <w:tcPr>
            <w:tcW w:w="1682" w:type="dxa"/>
            <w:vMerge w:val="restart"/>
            <w:tcBorders>
              <w:top w:val="nil"/>
              <w:left w:val="nil"/>
              <w:bottom w:val="double" w:sz="6" w:space="0" w:color="000000"/>
              <w:right w:val="nil"/>
            </w:tcBorders>
            <w:shd w:val="clear" w:color="auto" w:fill="auto"/>
            <w:vAlign w:val="bottom"/>
            <w:hideMark/>
          </w:tcPr>
          <w:p w:rsidR="00314ED8" w:rsidRDefault="007C1557">
            <w:pPr>
              <w:spacing w:after="0" w:line="240" w:lineRule="auto"/>
              <w:rPr>
                <w:rFonts w:ascii="Arial" w:eastAsia="Times New Roman" w:hAnsi="Arial" w:cs="Arial"/>
                <w:b/>
                <w:bCs/>
                <w:color w:val="000000"/>
                <w:lang w:eastAsia="fr-FR"/>
              </w:rPr>
            </w:pPr>
            <w:r w:rsidRPr="007C1557">
              <w:rPr>
                <w:rFonts w:ascii="Arial" w:eastAsia="Times New Roman" w:hAnsi="Arial" w:cs="Arial"/>
                <w:b/>
                <w:bCs/>
                <w:color w:val="000000"/>
                <w:lang w:eastAsia="fr-FR"/>
              </w:rPr>
              <w:t>Ensemble</w:t>
            </w:r>
          </w:p>
        </w:tc>
        <w:tc>
          <w:tcPr>
            <w:tcW w:w="1821"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36,2</w:t>
            </w:r>
          </w:p>
        </w:tc>
        <w:tc>
          <w:tcPr>
            <w:tcW w:w="1065"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0,098</w:t>
            </w:r>
          </w:p>
        </w:tc>
        <w:tc>
          <w:tcPr>
            <w:tcW w:w="1150" w:type="dxa"/>
            <w:tcBorders>
              <w:top w:val="nil"/>
              <w:left w:val="nil"/>
              <w:bottom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0,039</w:t>
            </w:r>
          </w:p>
        </w:tc>
        <w:tc>
          <w:tcPr>
            <w:tcW w:w="1093" w:type="dxa"/>
            <w:tcBorders>
              <w:top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40,08</w:t>
            </w:r>
          </w:p>
        </w:tc>
        <w:tc>
          <w:tcPr>
            <w:tcW w:w="1149" w:type="dxa"/>
            <w:tcBorders>
              <w:top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0,18</w:t>
            </w:r>
          </w:p>
        </w:tc>
        <w:tc>
          <w:tcPr>
            <w:tcW w:w="1009" w:type="dxa"/>
            <w:tcBorders>
              <w:top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0,12</w:t>
            </w:r>
          </w:p>
        </w:tc>
      </w:tr>
      <w:tr w:rsidR="00BB67C1" w:rsidRPr="00EC0C1D" w:rsidTr="00BB67C1">
        <w:trPr>
          <w:trHeight w:val="294"/>
        </w:trPr>
        <w:tc>
          <w:tcPr>
            <w:tcW w:w="1682" w:type="dxa"/>
            <w:vMerge/>
            <w:tcBorders>
              <w:top w:val="nil"/>
              <w:left w:val="nil"/>
              <w:bottom w:val="single" w:sz="4" w:space="0" w:color="auto"/>
              <w:right w:val="nil"/>
            </w:tcBorders>
            <w:vAlign w:val="center"/>
            <w:hideMark/>
          </w:tcPr>
          <w:p w:rsidR="00314ED8" w:rsidRDefault="00314ED8">
            <w:pPr>
              <w:spacing w:after="0" w:line="240" w:lineRule="auto"/>
              <w:rPr>
                <w:rFonts w:ascii="Arial" w:eastAsia="Times New Roman" w:hAnsi="Arial" w:cs="Arial"/>
                <w:b/>
                <w:bCs/>
                <w:color w:val="000000"/>
                <w:lang w:eastAsia="fr-FR"/>
              </w:rPr>
            </w:pPr>
          </w:p>
        </w:tc>
        <w:tc>
          <w:tcPr>
            <w:tcW w:w="1821"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065" w:type="dxa"/>
            <w:tcBorders>
              <w:top w:val="nil"/>
              <w:left w:val="nil"/>
              <w:bottom w:val="single" w:sz="4" w:space="0" w:color="auto"/>
              <w:right w:val="nil"/>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150" w:type="dxa"/>
            <w:tcBorders>
              <w:top w:val="nil"/>
              <w:left w:val="nil"/>
              <w:bottom w:val="single" w:sz="4" w:space="0" w:color="auto"/>
            </w:tcBorders>
            <w:shd w:val="clear" w:color="auto" w:fill="auto"/>
            <w:vAlign w:val="bottom"/>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093" w:type="dxa"/>
            <w:tcBorders>
              <w:top w:val="nil"/>
              <w:bottom w:val="single" w:sz="4" w:space="0" w:color="auto"/>
            </w:tcBorders>
            <w:shd w:val="clear" w:color="auto" w:fill="auto"/>
            <w:noWrap/>
            <w:vAlign w:val="center"/>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w:t>
            </w:r>
            <w:r>
              <w:rPr>
                <w:rFonts w:ascii="Arial" w:eastAsia="Times New Roman" w:hAnsi="Arial" w:cs="Arial"/>
                <w:color w:val="000000"/>
                <w:lang w:eastAsia="fr-FR"/>
              </w:rPr>
              <w:t>)</w:t>
            </w:r>
          </w:p>
        </w:tc>
        <w:tc>
          <w:tcPr>
            <w:tcW w:w="1149" w:type="dxa"/>
            <w:tcBorders>
              <w:top w:val="nil"/>
              <w:bottom w:val="single" w:sz="4" w:space="0" w:color="auto"/>
            </w:tcBorders>
            <w:shd w:val="clear" w:color="auto" w:fill="auto"/>
            <w:noWrap/>
            <w:vAlign w:val="center"/>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c>
          <w:tcPr>
            <w:tcW w:w="1009" w:type="dxa"/>
            <w:tcBorders>
              <w:top w:val="nil"/>
              <w:bottom w:val="single" w:sz="4" w:space="0" w:color="auto"/>
            </w:tcBorders>
            <w:shd w:val="clear" w:color="auto" w:fill="auto"/>
            <w:noWrap/>
            <w:vAlign w:val="center"/>
            <w:hideMark/>
          </w:tcPr>
          <w:p w:rsidR="00314ED8" w:rsidRDefault="00EC0C1D">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r>
    </w:tbl>
    <w:p w:rsidR="00314ED8" w:rsidRDefault="007C1557">
      <w:pPr>
        <w:rPr>
          <w:rFonts w:ascii="Arial" w:hAnsi="Arial" w:cs="Arial"/>
          <w:b/>
        </w:rPr>
      </w:pPr>
      <w:r w:rsidRPr="007C1557">
        <w:rPr>
          <w:rFonts w:ascii="Arial" w:hAnsi="Arial" w:cs="Arial"/>
          <w:u w:val="single"/>
        </w:rPr>
        <w:t>Source</w:t>
      </w:r>
      <w:r w:rsidRPr="007C1557">
        <w:rPr>
          <w:rFonts w:ascii="Arial" w:hAnsi="Arial" w:cs="Arial"/>
          <w:b/>
        </w:rPr>
        <w:t xml:space="preserve"> : </w:t>
      </w:r>
      <w:r w:rsidRPr="007C1557">
        <w:rPr>
          <w:rFonts w:ascii="Arial" w:hAnsi="Arial" w:cs="Arial"/>
        </w:rPr>
        <w:t>INSAE, EMICoV 2015</w:t>
      </w:r>
    </w:p>
    <w:p w:rsidR="00314ED8" w:rsidRDefault="007C1557">
      <w:pPr>
        <w:jc w:val="both"/>
        <w:rPr>
          <w:rFonts w:ascii="Arial" w:eastAsia="Times New Roman" w:hAnsi="Arial" w:cs="Arial"/>
          <w:color w:val="000000"/>
          <w:lang w:eastAsia="fr-FR"/>
        </w:rPr>
      </w:pPr>
      <w:r w:rsidRPr="007C1557">
        <w:rPr>
          <w:rFonts w:ascii="Arial" w:hAnsi="Arial" w:cs="Arial"/>
          <w:b/>
        </w:rPr>
        <w:t xml:space="preserve">De fortes disparités régionales de la pauvreté </w:t>
      </w:r>
      <w:r w:rsidR="008A3F59">
        <w:rPr>
          <w:rFonts w:ascii="Arial" w:hAnsi="Arial" w:cs="Arial"/>
          <w:b/>
        </w:rPr>
        <w:t xml:space="preserve">monétaire </w:t>
      </w:r>
      <w:r w:rsidR="00FF7DCF">
        <w:rPr>
          <w:rFonts w:ascii="Arial" w:hAnsi="Arial" w:cs="Arial"/>
          <w:b/>
        </w:rPr>
        <w:t>existent</w:t>
      </w:r>
      <w:r w:rsidRPr="007C1557">
        <w:rPr>
          <w:rFonts w:ascii="Arial" w:hAnsi="Arial" w:cs="Arial"/>
          <w:b/>
        </w:rPr>
        <w:t xml:space="preserve"> en 2015</w:t>
      </w:r>
      <w:r w:rsidR="008A3F59">
        <w:rPr>
          <w:rFonts w:ascii="Arial" w:hAnsi="Arial" w:cs="Arial"/>
        </w:rPr>
        <w:t xml:space="preserve">. </w:t>
      </w:r>
      <w:r w:rsidRPr="007C1557">
        <w:rPr>
          <w:rFonts w:ascii="Arial" w:hAnsi="Arial" w:cs="Arial"/>
        </w:rPr>
        <w:t xml:space="preserve">En </w:t>
      </w:r>
      <w:r w:rsidR="008A3F59">
        <w:rPr>
          <w:rFonts w:ascii="Arial" w:hAnsi="Arial" w:cs="Arial"/>
        </w:rPr>
        <w:t>effet</w:t>
      </w:r>
      <w:r w:rsidRPr="007C1557">
        <w:rPr>
          <w:rFonts w:ascii="Arial" w:hAnsi="Arial" w:cs="Arial"/>
        </w:rPr>
        <w:t>, sept départements sur douze ont connu une incidence supérieure à la moyenne nationale. Ainsi, la pauvreté a touché plus de 40% de la population dans les départements de l’Atacora (42,33%), l’Atlantique (41,34%), les Collines (47,20%), du Couffo (</w:t>
      </w:r>
      <w:r w:rsidR="0004100E">
        <w:rPr>
          <w:rFonts w:ascii="Arial" w:eastAsia="Times New Roman" w:hAnsi="Arial" w:cs="Arial"/>
          <w:color w:val="000000"/>
          <w:lang w:eastAsia="fr-FR"/>
        </w:rPr>
        <w:t>49,31%), de la Donga (42,48%), du Mono (46,83%) et du Zou (42,80%). A l’opposé, les autres départements ont connu une incidence de pauvreté en dessous de la moyenne nationale, notamment le Littoral et l’Ouémé  qui ont affiché une incidence de plus de douze points en moin</w:t>
      </w:r>
      <w:r w:rsidR="00EA4D90">
        <w:rPr>
          <w:rFonts w:ascii="Arial" w:eastAsia="Times New Roman" w:hAnsi="Arial" w:cs="Arial"/>
          <w:color w:val="000000"/>
          <w:lang w:eastAsia="fr-FR"/>
        </w:rPr>
        <w:t>s par rapport au niveau national.</w:t>
      </w:r>
    </w:p>
    <w:p w:rsidR="000E28C5" w:rsidRDefault="000E28C5">
      <w:pPr>
        <w:spacing w:after="0" w:line="240" w:lineRule="auto"/>
        <w:jc w:val="both"/>
        <w:rPr>
          <w:rFonts w:ascii="Arial" w:hAnsi="Arial" w:cs="Arial"/>
        </w:rPr>
      </w:pPr>
    </w:p>
    <w:p w:rsidR="00314ED8" w:rsidRDefault="000E28C5">
      <w:pPr>
        <w:spacing w:after="0" w:line="240" w:lineRule="auto"/>
        <w:jc w:val="both"/>
        <w:rPr>
          <w:rFonts w:ascii="Arial" w:hAnsi="Arial" w:cs="Arial"/>
        </w:rPr>
      </w:pPr>
      <w:bookmarkStart w:id="16" w:name="_Toc433391920"/>
      <w:r w:rsidRPr="000E28C5">
        <w:rPr>
          <w:rFonts w:ascii="Arial" w:hAnsi="Arial" w:cs="Arial"/>
        </w:rPr>
        <w:t xml:space="preserve">Figure </w:t>
      </w:r>
      <w:r w:rsidR="00115FEB" w:rsidRPr="000E28C5">
        <w:rPr>
          <w:rFonts w:ascii="Arial" w:hAnsi="Arial" w:cs="Arial"/>
        </w:rPr>
        <w:fldChar w:fldCharType="begin"/>
      </w:r>
      <w:r w:rsidRPr="000E28C5">
        <w:rPr>
          <w:rFonts w:ascii="Arial" w:hAnsi="Arial" w:cs="Arial"/>
        </w:rPr>
        <w:instrText xml:space="preserve"> SEQ Figure \* ARABIC </w:instrText>
      </w:r>
      <w:r w:rsidR="00115FEB" w:rsidRPr="000E28C5">
        <w:rPr>
          <w:rFonts w:ascii="Arial" w:hAnsi="Arial" w:cs="Arial"/>
        </w:rPr>
        <w:fldChar w:fldCharType="separate"/>
      </w:r>
      <w:r w:rsidR="00DB55D3">
        <w:rPr>
          <w:rFonts w:ascii="Arial" w:hAnsi="Arial" w:cs="Arial"/>
          <w:noProof/>
        </w:rPr>
        <w:t>2</w:t>
      </w:r>
      <w:r w:rsidR="00115FEB" w:rsidRPr="000E28C5">
        <w:rPr>
          <w:rFonts w:ascii="Arial" w:hAnsi="Arial" w:cs="Arial"/>
        </w:rPr>
        <w:fldChar w:fldCharType="end"/>
      </w:r>
      <w:r w:rsidR="00A3678C" w:rsidRPr="005E31D0">
        <w:rPr>
          <w:rFonts w:ascii="Arial" w:hAnsi="Arial" w:cs="Arial"/>
        </w:rPr>
        <w:t xml:space="preserve">: Etat d’aggravation de la pauvreté dans les </w:t>
      </w:r>
      <w:r w:rsidR="00A3678C" w:rsidRPr="0004100E">
        <w:rPr>
          <w:rFonts w:ascii="Arial" w:hAnsi="Arial" w:cs="Arial"/>
        </w:rPr>
        <w:t>départements</w:t>
      </w:r>
      <w:r w:rsidR="00EA4D90">
        <w:rPr>
          <w:rFonts w:ascii="Arial" w:hAnsi="Arial" w:cs="Arial"/>
        </w:rPr>
        <w:t xml:space="preserve"> entre 2011 et 2015</w:t>
      </w:r>
      <w:bookmarkEnd w:id="16"/>
    </w:p>
    <w:p w:rsidR="00314ED8" w:rsidRDefault="003E6DBD">
      <w:pPr>
        <w:spacing w:after="0"/>
        <w:rPr>
          <w:rFonts w:ascii="Arial" w:hAnsi="Arial" w:cs="Arial"/>
          <w:b/>
          <w:color w:val="E36C0A"/>
          <w:sz w:val="24"/>
          <w:szCs w:val="24"/>
        </w:rPr>
      </w:pPr>
      <w:r>
        <w:rPr>
          <w:rFonts w:ascii="Arial" w:hAnsi="Arial" w:cs="Arial"/>
          <w:b/>
          <w:noProof/>
          <w:color w:val="E36C0A"/>
          <w:sz w:val="24"/>
          <w:szCs w:val="24"/>
          <w:lang w:eastAsia="fr-FR"/>
        </w:rPr>
        <w:drawing>
          <wp:inline distT="0" distB="0" distL="0" distR="0">
            <wp:extent cx="5760753" cy="3438525"/>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760720" cy="3438505"/>
                    </a:xfrm>
                    <a:prstGeom prst="rect">
                      <a:avLst/>
                    </a:prstGeom>
                    <a:noFill/>
                    <a:ln w="9525">
                      <a:noFill/>
                      <a:miter lim="800000"/>
                      <a:headEnd/>
                      <a:tailEnd/>
                    </a:ln>
                  </pic:spPr>
                </pic:pic>
              </a:graphicData>
            </a:graphic>
          </wp:inline>
        </w:drawing>
      </w:r>
    </w:p>
    <w:p w:rsidR="00314ED8" w:rsidRDefault="005218A3">
      <w:pPr>
        <w:spacing w:after="0" w:line="240" w:lineRule="auto"/>
        <w:rPr>
          <w:rFonts w:ascii="Arial" w:hAnsi="Arial" w:cs="Arial"/>
          <w:sz w:val="20"/>
          <w:szCs w:val="20"/>
        </w:rPr>
      </w:pPr>
      <w:r w:rsidRPr="00E327C5">
        <w:rPr>
          <w:rFonts w:ascii="Arial" w:hAnsi="Arial" w:cs="Arial"/>
          <w:sz w:val="20"/>
          <w:szCs w:val="20"/>
          <w:u w:val="single"/>
        </w:rPr>
        <w:t>NB</w:t>
      </w:r>
      <w:r w:rsidRPr="00E327C5">
        <w:rPr>
          <w:rFonts w:ascii="Arial" w:hAnsi="Arial" w:cs="Arial"/>
          <w:sz w:val="20"/>
          <w:szCs w:val="20"/>
        </w:rPr>
        <w:t> : Tous les départements situés au-dessus de la ligne de stabilité sont celles qui ont connu une aggravation de le</w:t>
      </w:r>
      <w:r>
        <w:rPr>
          <w:rFonts w:ascii="Arial" w:hAnsi="Arial" w:cs="Arial"/>
          <w:sz w:val="20"/>
          <w:szCs w:val="20"/>
        </w:rPr>
        <w:t>ur incidence de pauvreté entre 2011 et 2015</w:t>
      </w:r>
      <w:r w:rsidRPr="00E327C5">
        <w:rPr>
          <w:rFonts w:ascii="Arial" w:hAnsi="Arial" w:cs="Arial"/>
          <w:sz w:val="20"/>
          <w:szCs w:val="20"/>
        </w:rPr>
        <w:t>.</w:t>
      </w:r>
    </w:p>
    <w:p w:rsidR="00314ED8" w:rsidRDefault="00314ED8">
      <w:pPr>
        <w:spacing w:after="0" w:line="240" w:lineRule="auto"/>
        <w:rPr>
          <w:rFonts w:ascii="Arial" w:hAnsi="Arial" w:cs="Arial"/>
        </w:rPr>
      </w:pPr>
    </w:p>
    <w:p w:rsidR="00950C27" w:rsidRDefault="00950C27">
      <w:pPr>
        <w:spacing w:after="0" w:line="240" w:lineRule="auto"/>
        <w:rPr>
          <w:rFonts w:ascii="Arial" w:hAnsi="Arial" w:cs="Arial"/>
        </w:rPr>
      </w:pPr>
    </w:p>
    <w:p w:rsidR="00314ED8" w:rsidRDefault="00A3678C">
      <w:pPr>
        <w:jc w:val="both"/>
        <w:rPr>
          <w:rFonts w:ascii="Arial" w:hAnsi="Arial" w:cs="Arial"/>
        </w:rPr>
      </w:pPr>
      <w:r w:rsidRPr="004249F2">
        <w:rPr>
          <w:rFonts w:ascii="Arial" w:hAnsi="Arial" w:cs="Arial"/>
        </w:rPr>
        <w:lastRenderedPageBreak/>
        <w:t>Par rapport à l’année 2011, la proportion de pauvres a augmenté dans la quasi-totalité des départements du Bénin</w:t>
      </w:r>
      <w:r>
        <w:rPr>
          <w:rFonts w:ascii="Arial" w:hAnsi="Arial" w:cs="Arial"/>
        </w:rPr>
        <w:t xml:space="preserve"> en 2015. E</w:t>
      </w:r>
      <w:r w:rsidRPr="004249F2">
        <w:rPr>
          <w:rFonts w:ascii="Arial" w:hAnsi="Arial" w:cs="Arial"/>
        </w:rPr>
        <w:t>xcepté le Littoral où l’incidence a</w:t>
      </w:r>
      <w:r>
        <w:rPr>
          <w:rFonts w:ascii="Arial" w:hAnsi="Arial" w:cs="Arial"/>
        </w:rPr>
        <w:t xml:space="preserve"> connu un léger repli (-0,15%), l</w:t>
      </w:r>
      <w:r w:rsidRPr="004249F2">
        <w:rPr>
          <w:rFonts w:ascii="Arial" w:hAnsi="Arial" w:cs="Arial"/>
        </w:rPr>
        <w:t xml:space="preserve">’accroissement de la population pauvre dans </w:t>
      </w:r>
      <w:r>
        <w:rPr>
          <w:rFonts w:ascii="Arial" w:hAnsi="Arial" w:cs="Arial"/>
        </w:rPr>
        <w:t>les autres</w:t>
      </w:r>
      <w:r w:rsidRPr="004249F2">
        <w:rPr>
          <w:rFonts w:ascii="Arial" w:hAnsi="Arial" w:cs="Arial"/>
        </w:rPr>
        <w:t xml:space="preserve"> départements varie de 1,13% et 7,17%.</w:t>
      </w:r>
    </w:p>
    <w:p w:rsidR="00314ED8" w:rsidRDefault="005B2212">
      <w:pPr>
        <w:jc w:val="both"/>
        <w:rPr>
          <w:rFonts w:ascii="Arial" w:hAnsi="Arial" w:cs="Arial"/>
        </w:rPr>
      </w:pPr>
      <w:r>
        <w:rPr>
          <w:rFonts w:ascii="Arial" w:hAnsi="Arial" w:cs="Arial"/>
        </w:rPr>
        <w:t>Par ordre de grandeur</w:t>
      </w:r>
      <w:r w:rsidR="00A3678C">
        <w:rPr>
          <w:rFonts w:ascii="Arial" w:hAnsi="Arial" w:cs="Arial"/>
        </w:rPr>
        <w:t>, on note le</w:t>
      </w:r>
      <w:r w:rsidR="00A3678C" w:rsidRPr="005E31D0">
        <w:rPr>
          <w:rFonts w:ascii="Arial" w:hAnsi="Arial" w:cs="Arial"/>
        </w:rPr>
        <w:t xml:space="preserve"> département</w:t>
      </w:r>
      <w:r w:rsidR="003A7E81">
        <w:rPr>
          <w:rFonts w:ascii="Arial" w:hAnsi="Arial" w:cs="Arial"/>
        </w:rPr>
        <w:t xml:space="preserve"> </w:t>
      </w:r>
      <w:bookmarkStart w:id="17" w:name="_GoBack"/>
      <w:bookmarkEnd w:id="17"/>
      <w:r w:rsidR="00A3678C" w:rsidRPr="00FA1B4D">
        <w:rPr>
          <w:rFonts w:ascii="Arial" w:hAnsi="Arial" w:cs="Arial"/>
        </w:rPr>
        <w:t>du Borgou (+</w:t>
      </w:r>
      <w:r w:rsidR="00A3678C">
        <w:rPr>
          <w:rFonts w:ascii="Arial" w:hAnsi="Arial" w:cs="Arial"/>
        </w:rPr>
        <w:t>7,17</w:t>
      </w:r>
      <w:r w:rsidR="00A3678C" w:rsidRPr="00FA1B4D">
        <w:rPr>
          <w:rFonts w:ascii="Arial" w:hAnsi="Arial" w:cs="Arial"/>
        </w:rPr>
        <w:t xml:space="preserve"> points</w:t>
      </w:r>
      <w:r w:rsidR="00A3678C">
        <w:rPr>
          <w:rFonts w:ascii="Arial" w:hAnsi="Arial" w:cs="Arial"/>
        </w:rPr>
        <w:t>),</w:t>
      </w:r>
      <w:r w:rsidR="00A3678C" w:rsidRPr="005E31D0">
        <w:rPr>
          <w:rFonts w:ascii="Arial" w:hAnsi="Arial" w:cs="Arial"/>
        </w:rPr>
        <w:t xml:space="preserve"> de la Donga (+5,</w:t>
      </w:r>
      <w:r w:rsidR="00A3678C">
        <w:rPr>
          <w:rFonts w:ascii="Arial" w:hAnsi="Arial" w:cs="Arial"/>
        </w:rPr>
        <w:t>8</w:t>
      </w:r>
      <w:r w:rsidR="00A3678C" w:rsidRPr="005E31D0">
        <w:rPr>
          <w:rFonts w:ascii="Arial" w:hAnsi="Arial" w:cs="Arial"/>
        </w:rPr>
        <w:t>4 points)</w:t>
      </w:r>
      <w:r w:rsidR="00A3678C">
        <w:rPr>
          <w:rFonts w:ascii="Arial" w:hAnsi="Arial" w:cs="Arial"/>
        </w:rPr>
        <w:t>, de l’Alibori (3,59 points), du Mono (+3,30%), du Couffo (+2,73 points) ,</w:t>
      </w:r>
      <w:r w:rsidR="00A3678C" w:rsidRPr="005E31D0">
        <w:rPr>
          <w:rFonts w:ascii="Arial" w:hAnsi="Arial" w:cs="Arial"/>
        </w:rPr>
        <w:t xml:space="preserve"> de l’Atacora (+</w:t>
      </w:r>
      <w:r w:rsidR="00A3678C">
        <w:rPr>
          <w:rFonts w:ascii="Arial" w:hAnsi="Arial" w:cs="Arial"/>
        </w:rPr>
        <w:t>2,59</w:t>
      </w:r>
      <w:r w:rsidR="00A3678C" w:rsidRPr="005E31D0">
        <w:rPr>
          <w:rFonts w:ascii="Arial" w:hAnsi="Arial" w:cs="Arial"/>
        </w:rPr>
        <w:t xml:space="preserve"> points), </w:t>
      </w:r>
      <w:r w:rsidR="00A3678C" w:rsidRPr="00FA1B4D">
        <w:rPr>
          <w:rFonts w:ascii="Arial" w:hAnsi="Arial" w:cs="Arial"/>
        </w:rPr>
        <w:t xml:space="preserve">de </w:t>
      </w:r>
      <w:r w:rsidR="00A3678C">
        <w:rPr>
          <w:rFonts w:ascii="Arial" w:hAnsi="Arial" w:cs="Arial"/>
        </w:rPr>
        <w:t>l’Atlantique (+2,33</w:t>
      </w:r>
      <w:r w:rsidR="00A3678C" w:rsidRPr="00FA1B4D">
        <w:rPr>
          <w:rFonts w:ascii="Arial" w:hAnsi="Arial" w:cs="Arial"/>
        </w:rPr>
        <w:t xml:space="preserve"> points)</w:t>
      </w:r>
      <w:r w:rsidR="00A3678C">
        <w:rPr>
          <w:rFonts w:ascii="Arial" w:hAnsi="Arial" w:cs="Arial"/>
        </w:rPr>
        <w:t>, de l’Ouémé (2,12 points), du Zou (+1,31 points),</w:t>
      </w:r>
      <w:r w:rsidR="00A3678C" w:rsidRPr="005E31D0">
        <w:rPr>
          <w:rFonts w:ascii="Arial" w:hAnsi="Arial" w:cs="Arial"/>
        </w:rPr>
        <w:t>du Plateau (+</w:t>
      </w:r>
      <w:r w:rsidR="00A3678C">
        <w:rPr>
          <w:rFonts w:ascii="Arial" w:hAnsi="Arial" w:cs="Arial"/>
        </w:rPr>
        <w:t>1,26</w:t>
      </w:r>
      <w:r w:rsidR="00A3678C" w:rsidRPr="005E31D0">
        <w:rPr>
          <w:rFonts w:ascii="Arial" w:hAnsi="Arial" w:cs="Arial"/>
        </w:rPr>
        <w:t xml:space="preserve"> points)</w:t>
      </w:r>
      <w:r w:rsidR="00A3678C">
        <w:rPr>
          <w:rFonts w:ascii="Arial" w:hAnsi="Arial" w:cs="Arial"/>
        </w:rPr>
        <w:t xml:space="preserve"> et les Collines (+1,13 points). </w:t>
      </w:r>
    </w:p>
    <w:p w:rsidR="00A77EAB" w:rsidRDefault="00A3678C" w:rsidP="00A77EAB">
      <w:pPr>
        <w:jc w:val="both"/>
        <w:rPr>
          <w:rFonts w:ascii="Arial" w:hAnsi="Arial" w:cs="Arial"/>
        </w:rPr>
      </w:pPr>
      <w:r w:rsidRPr="005E31D0">
        <w:rPr>
          <w:rFonts w:ascii="Arial" w:hAnsi="Arial" w:cs="Arial"/>
        </w:rPr>
        <w:t>Par a</w:t>
      </w:r>
      <w:r>
        <w:rPr>
          <w:rFonts w:ascii="Arial" w:hAnsi="Arial" w:cs="Arial"/>
        </w:rPr>
        <w:t xml:space="preserve">illeurs, il faut noter une accentuation aussi bien de l’écart entre l’indicateur du niveau de vie et le seuil de pauvreté, que </w:t>
      </w:r>
      <w:r w:rsidRPr="005E31D0">
        <w:rPr>
          <w:rFonts w:ascii="Arial" w:hAnsi="Arial" w:cs="Arial"/>
        </w:rPr>
        <w:t>des inégalités parmi les pauvres dans</w:t>
      </w:r>
      <w:r>
        <w:rPr>
          <w:rFonts w:ascii="Arial" w:hAnsi="Arial" w:cs="Arial"/>
        </w:rPr>
        <w:t xml:space="preserve"> tous les  départements.</w:t>
      </w:r>
    </w:p>
    <w:p w:rsidR="00314ED8" w:rsidRDefault="00C216A8" w:rsidP="00047EBA">
      <w:pPr>
        <w:spacing w:after="0"/>
        <w:jc w:val="both"/>
        <w:rPr>
          <w:rFonts w:ascii="Arial" w:hAnsi="Arial" w:cs="Arial"/>
        </w:rPr>
      </w:pPr>
      <w:bookmarkStart w:id="18" w:name="_Toc432425308"/>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4</w:t>
      </w:r>
      <w:r w:rsidR="00115FEB" w:rsidRPr="00C216A8">
        <w:rPr>
          <w:rFonts w:ascii="Arial" w:hAnsi="Arial" w:cs="Arial"/>
        </w:rPr>
        <w:fldChar w:fldCharType="end"/>
      </w:r>
      <w:r w:rsidR="007C1557" w:rsidRPr="007C1557">
        <w:rPr>
          <w:rFonts w:ascii="Arial" w:hAnsi="Arial" w:cs="Arial"/>
        </w:rPr>
        <w:t>: Indices de pauvreté monétaire par département</w:t>
      </w:r>
      <w:bookmarkEnd w:id="18"/>
    </w:p>
    <w:tbl>
      <w:tblPr>
        <w:tblW w:w="9076" w:type="dxa"/>
        <w:tblInd w:w="70" w:type="dxa"/>
        <w:tblCellMar>
          <w:left w:w="70" w:type="dxa"/>
          <w:right w:w="70" w:type="dxa"/>
        </w:tblCellMar>
        <w:tblLook w:val="04A0" w:firstRow="1" w:lastRow="0" w:firstColumn="1" w:lastColumn="0" w:noHBand="0" w:noVBand="1"/>
      </w:tblPr>
      <w:tblGrid>
        <w:gridCol w:w="1314"/>
        <w:gridCol w:w="1564"/>
        <w:gridCol w:w="772"/>
        <w:gridCol w:w="1565"/>
        <w:gridCol w:w="1283"/>
        <w:gridCol w:w="1297"/>
        <w:gridCol w:w="1281"/>
      </w:tblGrid>
      <w:tr w:rsidR="0096312F" w:rsidRPr="0096312F" w:rsidTr="00CF48D7">
        <w:trPr>
          <w:trHeight w:val="325"/>
        </w:trPr>
        <w:tc>
          <w:tcPr>
            <w:tcW w:w="1314" w:type="dxa"/>
            <w:tcBorders>
              <w:top w:val="double" w:sz="6" w:space="0" w:color="auto"/>
              <w:left w:val="nil"/>
              <w:bottom w:val="nil"/>
              <w:right w:val="nil"/>
            </w:tcBorders>
            <w:shd w:val="clear" w:color="auto" w:fill="auto"/>
            <w:vAlign w:val="bottom"/>
            <w:hideMark/>
          </w:tcPr>
          <w:p w:rsidR="00314ED8" w:rsidRDefault="0096312F">
            <w:pPr>
              <w:spacing w:after="0" w:line="240" w:lineRule="auto"/>
              <w:rPr>
                <w:rFonts w:ascii="Arial" w:eastAsia="Times New Roman" w:hAnsi="Arial" w:cs="Arial"/>
                <w:color w:val="000000"/>
                <w:lang w:eastAsia="fr-FR"/>
              </w:rPr>
            </w:pPr>
            <w:r w:rsidRPr="0096312F">
              <w:rPr>
                <w:rFonts w:ascii="Arial" w:eastAsia="Times New Roman" w:hAnsi="Arial" w:cs="Arial"/>
                <w:color w:val="000000"/>
                <w:lang w:eastAsia="fr-FR"/>
              </w:rPr>
              <w:t> </w:t>
            </w:r>
          </w:p>
        </w:tc>
        <w:tc>
          <w:tcPr>
            <w:tcW w:w="3901" w:type="dxa"/>
            <w:gridSpan w:val="3"/>
            <w:tcBorders>
              <w:top w:val="double" w:sz="6" w:space="0" w:color="auto"/>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2011</w:t>
            </w:r>
          </w:p>
        </w:tc>
        <w:tc>
          <w:tcPr>
            <w:tcW w:w="3861" w:type="dxa"/>
            <w:gridSpan w:val="3"/>
            <w:tcBorders>
              <w:top w:val="double" w:sz="6" w:space="0" w:color="auto"/>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2015</w:t>
            </w:r>
          </w:p>
        </w:tc>
      </w:tr>
      <w:tr w:rsidR="0096312F" w:rsidRPr="0096312F" w:rsidTr="00CF48D7">
        <w:trPr>
          <w:trHeight w:val="385"/>
        </w:trPr>
        <w:tc>
          <w:tcPr>
            <w:tcW w:w="1314" w:type="dxa"/>
            <w:tcBorders>
              <w:top w:val="nil"/>
              <w:left w:val="nil"/>
              <w:bottom w:val="single" w:sz="8" w:space="0" w:color="000000"/>
              <w:right w:val="nil"/>
            </w:tcBorders>
            <w:shd w:val="clear" w:color="auto" w:fill="auto"/>
            <w:vAlign w:val="bottom"/>
            <w:hideMark/>
          </w:tcPr>
          <w:p w:rsidR="00314ED8" w:rsidRDefault="0096312F">
            <w:pPr>
              <w:spacing w:after="0" w:line="240" w:lineRule="auto"/>
              <w:rPr>
                <w:rFonts w:ascii="Arial" w:eastAsia="Times New Roman" w:hAnsi="Arial" w:cs="Arial"/>
                <w:color w:val="000000"/>
                <w:lang w:eastAsia="fr-FR"/>
              </w:rPr>
            </w:pPr>
            <w:r w:rsidRPr="0096312F">
              <w:rPr>
                <w:rFonts w:ascii="Arial" w:eastAsia="Times New Roman" w:hAnsi="Arial" w:cs="Arial"/>
                <w:color w:val="000000"/>
                <w:lang w:eastAsia="fr-FR"/>
              </w:rPr>
              <w:t> </w:t>
            </w:r>
          </w:p>
        </w:tc>
        <w:tc>
          <w:tcPr>
            <w:tcW w:w="1564"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 xml:space="preserve">0 </w:t>
            </w:r>
            <w:r w:rsidRPr="0096312F">
              <w:rPr>
                <w:rFonts w:ascii="Arial" w:eastAsia="Times New Roman" w:hAnsi="Arial" w:cs="Arial"/>
                <w:color w:val="000000"/>
                <w:lang w:eastAsia="fr-FR"/>
              </w:rPr>
              <w:t>(%)</w:t>
            </w:r>
          </w:p>
        </w:tc>
        <w:tc>
          <w:tcPr>
            <w:tcW w:w="772" w:type="dxa"/>
            <w:tcBorders>
              <w:top w:val="nil"/>
              <w:left w:val="nil"/>
              <w:bottom w:val="single" w:sz="8" w:space="0" w:color="000000"/>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1</w:t>
            </w:r>
          </w:p>
        </w:tc>
        <w:tc>
          <w:tcPr>
            <w:tcW w:w="1564"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2</w:t>
            </w:r>
          </w:p>
        </w:tc>
        <w:tc>
          <w:tcPr>
            <w:tcW w:w="1283"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 xml:space="preserve">0 </w:t>
            </w:r>
            <w:r w:rsidRPr="0096312F">
              <w:rPr>
                <w:rFonts w:ascii="Arial" w:eastAsia="Times New Roman" w:hAnsi="Arial" w:cs="Arial"/>
                <w:color w:val="000000"/>
                <w:lang w:eastAsia="fr-FR"/>
              </w:rPr>
              <w:t>(%)</w:t>
            </w:r>
          </w:p>
        </w:tc>
        <w:tc>
          <w:tcPr>
            <w:tcW w:w="1297" w:type="dxa"/>
            <w:tcBorders>
              <w:top w:val="nil"/>
              <w:left w:val="nil"/>
              <w:bottom w:val="single" w:sz="8" w:space="0" w:color="000000"/>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1</w:t>
            </w:r>
          </w:p>
        </w:tc>
        <w:tc>
          <w:tcPr>
            <w:tcW w:w="1281"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P</w:t>
            </w:r>
            <w:r w:rsidRPr="0096312F">
              <w:rPr>
                <w:rFonts w:ascii="Arial" w:eastAsia="Times New Roman" w:hAnsi="Arial" w:cs="Arial"/>
                <w:color w:val="000000"/>
                <w:vertAlign w:val="subscript"/>
                <w:lang w:eastAsia="fr-FR"/>
              </w:rPr>
              <w:t>2</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Alibori</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36,29</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0,092</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0,033</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39,88</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0,20</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0,13</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Atacora</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39,74</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0,096</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0,034</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42,33</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0,22</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0,14</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Atlantique</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39,01</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0,115</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0,048</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41,34</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0,13</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0,06</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Borgou</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31,46</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0,079</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0,028</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38,63</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0,23</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0,16</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Collines</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46,07</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0,122</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0,047</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47,20</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0,20</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Couffo</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46,58</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0,133</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0,056</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49,31</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0,23</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0,15</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Donga</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36,64</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0,095</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0,034</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42,48</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0,22</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0,15</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Littoral</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25,88</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0,072</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0,031</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25,73</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0,10</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0,05</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Mono</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43,53</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0,113</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0,042</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46,83</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0,20</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Ouémé</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25,43</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0,061</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0,023</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27,55</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0,07</w:t>
            </w:r>
          </w:p>
        </w:tc>
      </w:tr>
      <w:tr w:rsidR="0096312F" w:rsidRPr="0096312F" w:rsidTr="00CF48D7">
        <w:trPr>
          <w:trHeight w:val="295"/>
        </w:trPr>
        <w:tc>
          <w:tcPr>
            <w:tcW w:w="1314" w:type="dxa"/>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Plateau</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36,01</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0,108</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0,047</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37,27</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0,14</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0,09</w:t>
            </w:r>
          </w:p>
        </w:tc>
      </w:tr>
      <w:tr w:rsidR="0096312F" w:rsidRPr="0096312F" w:rsidTr="00CF48D7">
        <w:trPr>
          <w:trHeight w:val="310"/>
        </w:trPr>
        <w:tc>
          <w:tcPr>
            <w:tcW w:w="1314" w:type="dxa"/>
            <w:tcBorders>
              <w:top w:val="nil"/>
              <w:left w:val="nil"/>
              <w:bottom w:val="single" w:sz="8" w:space="0" w:color="000000"/>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Zou</w:t>
            </w:r>
          </w:p>
        </w:tc>
        <w:tc>
          <w:tcPr>
            <w:tcW w:w="1564"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41,49</w:t>
            </w:r>
          </w:p>
        </w:tc>
        <w:tc>
          <w:tcPr>
            <w:tcW w:w="772" w:type="dxa"/>
            <w:tcBorders>
              <w:top w:val="nil"/>
              <w:left w:val="nil"/>
              <w:bottom w:val="single" w:sz="8" w:space="0" w:color="000000"/>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0,126</w:t>
            </w:r>
          </w:p>
        </w:tc>
        <w:tc>
          <w:tcPr>
            <w:tcW w:w="1564"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0,054</w:t>
            </w:r>
          </w:p>
        </w:tc>
        <w:tc>
          <w:tcPr>
            <w:tcW w:w="1283"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42,80</w:t>
            </w:r>
          </w:p>
        </w:tc>
        <w:tc>
          <w:tcPr>
            <w:tcW w:w="1297"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0,20</w:t>
            </w:r>
          </w:p>
        </w:tc>
        <w:tc>
          <w:tcPr>
            <w:tcW w:w="1281" w:type="dxa"/>
            <w:tcBorders>
              <w:top w:val="nil"/>
              <w:left w:val="nil"/>
              <w:bottom w:val="single" w:sz="8" w:space="0" w:color="000000"/>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0,13</w:t>
            </w:r>
          </w:p>
        </w:tc>
      </w:tr>
      <w:tr w:rsidR="0096312F" w:rsidRPr="0096312F" w:rsidTr="00CF48D7">
        <w:trPr>
          <w:trHeight w:val="295"/>
        </w:trPr>
        <w:tc>
          <w:tcPr>
            <w:tcW w:w="1314" w:type="dxa"/>
            <w:vMerge w:val="restart"/>
            <w:tcBorders>
              <w:top w:val="nil"/>
              <w:left w:val="nil"/>
              <w:bottom w:val="double" w:sz="6" w:space="0" w:color="000000"/>
              <w:right w:val="nil"/>
            </w:tcBorders>
            <w:shd w:val="clear" w:color="auto" w:fill="auto"/>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Ensemble</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36,2</w:t>
            </w:r>
          </w:p>
        </w:tc>
        <w:tc>
          <w:tcPr>
            <w:tcW w:w="772" w:type="dxa"/>
            <w:tcBorders>
              <w:top w:val="nil"/>
              <w:left w:val="nil"/>
              <w:bottom w:val="nil"/>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0,098</w:t>
            </w:r>
          </w:p>
        </w:tc>
        <w:tc>
          <w:tcPr>
            <w:tcW w:w="1564"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0,039</w:t>
            </w:r>
          </w:p>
        </w:tc>
        <w:tc>
          <w:tcPr>
            <w:tcW w:w="1283"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40,08</w:t>
            </w:r>
          </w:p>
        </w:tc>
        <w:tc>
          <w:tcPr>
            <w:tcW w:w="1297"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0,18</w:t>
            </w:r>
          </w:p>
        </w:tc>
        <w:tc>
          <w:tcPr>
            <w:tcW w:w="1281" w:type="dxa"/>
            <w:tcBorders>
              <w:top w:val="nil"/>
              <w:left w:val="nil"/>
              <w:bottom w:val="nil"/>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sidRPr="0096312F">
              <w:rPr>
                <w:rFonts w:ascii="Arial" w:eastAsia="Times New Roman" w:hAnsi="Arial" w:cs="Arial"/>
                <w:color w:val="000000"/>
                <w:lang w:eastAsia="fr-FR"/>
              </w:rPr>
              <w:t>0,12</w:t>
            </w:r>
          </w:p>
        </w:tc>
      </w:tr>
      <w:tr w:rsidR="0096312F" w:rsidRPr="0096312F" w:rsidTr="00CF48D7">
        <w:trPr>
          <w:trHeight w:val="310"/>
        </w:trPr>
        <w:tc>
          <w:tcPr>
            <w:tcW w:w="1314" w:type="dxa"/>
            <w:vMerge/>
            <w:tcBorders>
              <w:top w:val="nil"/>
              <w:left w:val="nil"/>
              <w:bottom w:val="double" w:sz="6" w:space="0" w:color="000000"/>
              <w:right w:val="nil"/>
            </w:tcBorders>
            <w:vAlign w:val="center"/>
            <w:hideMark/>
          </w:tcPr>
          <w:p w:rsidR="00314ED8" w:rsidRDefault="00314ED8">
            <w:pPr>
              <w:spacing w:after="0" w:line="240" w:lineRule="auto"/>
              <w:rPr>
                <w:rFonts w:ascii="Arial" w:eastAsia="Times New Roman" w:hAnsi="Arial" w:cs="Arial"/>
                <w:b/>
                <w:bCs/>
                <w:color w:val="000000"/>
                <w:lang w:eastAsia="fr-FR"/>
              </w:rPr>
            </w:pPr>
          </w:p>
        </w:tc>
        <w:tc>
          <w:tcPr>
            <w:tcW w:w="1564" w:type="dxa"/>
            <w:tcBorders>
              <w:top w:val="nil"/>
              <w:left w:val="nil"/>
              <w:bottom w:val="double" w:sz="6" w:space="0" w:color="auto"/>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96312F">
              <w:rPr>
                <w:rFonts w:ascii="Arial" w:eastAsia="Times New Roman" w:hAnsi="Arial" w:cs="Arial"/>
                <w:color w:val="000000"/>
                <w:lang w:eastAsia="fr-FR"/>
              </w:rPr>
              <w:t>0,016</w:t>
            </w:r>
            <w:r>
              <w:rPr>
                <w:rFonts w:ascii="Arial" w:eastAsia="Times New Roman" w:hAnsi="Arial" w:cs="Arial"/>
                <w:color w:val="000000"/>
                <w:lang w:eastAsia="fr-FR"/>
              </w:rPr>
              <w:t>)</w:t>
            </w:r>
          </w:p>
        </w:tc>
        <w:tc>
          <w:tcPr>
            <w:tcW w:w="772" w:type="dxa"/>
            <w:tcBorders>
              <w:top w:val="nil"/>
              <w:left w:val="nil"/>
              <w:bottom w:val="double" w:sz="6" w:space="0" w:color="auto"/>
              <w:right w:val="nil"/>
            </w:tcBorders>
            <w:shd w:val="clear" w:color="auto" w:fill="auto"/>
            <w:noWrap/>
            <w:vAlign w:val="bottom"/>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96312F">
              <w:rPr>
                <w:rFonts w:ascii="Arial" w:eastAsia="Times New Roman" w:hAnsi="Arial" w:cs="Arial"/>
                <w:color w:val="000000"/>
                <w:lang w:eastAsia="fr-FR"/>
              </w:rPr>
              <w:t>0</w:t>
            </w:r>
            <w:r>
              <w:rPr>
                <w:rFonts w:ascii="Arial" w:eastAsia="Times New Roman" w:hAnsi="Arial" w:cs="Arial"/>
                <w:color w:val="000000"/>
                <w:lang w:eastAsia="fr-FR"/>
              </w:rPr>
              <w:t>,00)</w:t>
            </w:r>
          </w:p>
        </w:tc>
        <w:tc>
          <w:tcPr>
            <w:tcW w:w="1564" w:type="dxa"/>
            <w:tcBorders>
              <w:top w:val="nil"/>
              <w:left w:val="nil"/>
              <w:bottom w:val="double" w:sz="6" w:space="0" w:color="auto"/>
              <w:right w:val="nil"/>
            </w:tcBorders>
            <w:shd w:val="clear" w:color="auto" w:fill="auto"/>
            <w:vAlign w:val="bottom"/>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96312F">
              <w:rPr>
                <w:rFonts w:ascii="Arial" w:eastAsia="Times New Roman" w:hAnsi="Arial" w:cs="Arial"/>
                <w:color w:val="000000"/>
                <w:lang w:eastAsia="fr-FR"/>
              </w:rPr>
              <w:t>0</w:t>
            </w:r>
            <w:r>
              <w:rPr>
                <w:rFonts w:ascii="Arial" w:eastAsia="Times New Roman" w:hAnsi="Arial" w:cs="Arial"/>
                <w:color w:val="000000"/>
                <w:lang w:eastAsia="fr-FR"/>
              </w:rPr>
              <w:t>,00)</w:t>
            </w:r>
          </w:p>
        </w:tc>
        <w:tc>
          <w:tcPr>
            <w:tcW w:w="1283" w:type="dxa"/>
            <w:tcBorders>
              <w:top w:val="nil"/>
              <w:left w:val="nil"/>
              <w:bottom w:val="double" w:sz="6" w:space="0" w:color="auto"/>
              <w:right w:val="nil"/>
            </w:tcBorders>
            <w:shd w:val="clear" w:color="auto" w:fill="auto"/>
            <w:vAlign w:val="center"/>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EC0C1D">
              <w:rPr>
                <w:rFonts w:ascii="Arial" w:eastAsia="Times New Roman" w:hAnsi="Arial" w:cs="Arial"/>
                <w:color w:val="000000"/>
                <w:lang w:eastAsia="fr-FR"/>
              </w:rPr>
              <w:t>0,02</w:t>
            </w:r>
            <w:r>
              <w:rPr>
                <w:rFonts w:ascii="Arial" w:eastAsia="Times New Roman" w:hAnsi="Arial" w:cs="Arial"/>
                <w:color w:val="000000"/>
                <w:lang w:eastAsia="fr-FR"/>
              </w:rPr>
              <w:t>)</w:t>
            </w:r>
          </w:p>
        </w:tc>
        <w:tc>
          <w:tcPr>
            <w:tcW w:w="1297" w:type="dxa"/>
            <w:tcBorders>
              <w:top w:val="nil"/>
              <w:left w:val="nil"/>
              <w:bottom w:val="double" w:sz="6" w:space="0" w:color="auto"/>
              <w:right w:val="nil"/>
            </w:tcBorders>
            <w:shd w:val="clear" w:color="auto" w:fill="auto"/>
            <w:vAlign w:val="center"/>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EC0C1D">
              <w:rPr>
                <w:rFonts w:ascii="Arial" w:eastAsia="Times New Roman" w:hAnsi="Arial" w:cs="Arial"/>
                <w:color w:val="000000"/>
                <w:lang w:eastAsia="fr-FR"/>
              </w:rPr>
              <w:t>0,00</w:t>
            </w:r>
            <w:r>
              <w:rPr>
                <w:rFonts w:ascii="Arial" w:eastAsia="Times New Roman" w:hAnsi="Arial" w:cs="Arial"/>
                <w:color w:val="000000"/>
                <w:lang w:eastAsia="fr-FR"/>
              </w:rPr>
              <w:t>)</w:t>
            </w:r>
          </w:p>
        </w:tc>
        <w:tc>
          <w:tcPr>
            <w:tcW w:w="1281" w:type="dxa"/>
            <w:tcBorders>
              <w:top w:val="nil"/>
              <w:left w:val="nil"/>
              <w:bottom w:val="double" w:sz="6" w:space="0" w:color="auto"/>
              <w:right w:val="nil"/>
            </w:tcBorders>
            <w:shd w:val="clear" w:color="auto" w:fill="auto"/>
            <w:vAlign w:val="center"/>
            <w:hideMark/>
          </w:tcPr>
          <w:p w:rsidR="00314ED8" w:rsidRDefault="0096312F">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EC0C1D">
              <w:rPr>
                <w:rFonts w:ascii="Arial" w:eastAsia="Times New Roman" w:hAnsi="Arial" w:cs="Arial"/>
                <w:color w:val="000000"/>
                <w:lang w:eastAsia="fr-FR"/>
              </w:rPr>
              <w:t>0,00</w:t>
            </w:r>
            <w:r>
              <w:rPr>
                <w:rFonts w:ascii="Arial" w:eastAsia="Times New Roman" w:hAnsi="Arial" w:cs="Arial"/>
                <w:color w:val="000000"/>
                <w:lang w:eastAsia="fr-FR"/>
              </w:rPr>
              <w:t>)</w:t>
            </w:r>
          </w:p>
        </w:tc>
      </w:tr>
    </w:tbl>
    <w:p w:rsidR="00314ED8" w:rsidRDefault="007C1557">
      <w:pPr>
        <w:rPr>
          <w:rFonts w:ascii="Arial" w:hAnsi="Arial" w:cs="Arial"/>
          <w:b/>
        </w:rPr>
      </w:pPr>
      <w:r w:rsidRPr="007C1557">
        <w:rPr>
          <w:rFonts w:ascii="Arial" w:hAnsi="Arial" w:cs="Arial"/>
          <w:u w:val="single"/>
        </w:rPr>
        <w:t>Source</w:t>
      </w:r>
      <w:r w:rsidRPr="007C1557">
        <w:rPr>
          <w:rFonts w:ascii="Arial" w:hAnsi="Arial" w:cs="Arial"/>
          <w:b/>
        </w:rPr>
        <w:t xml:space="preserve"> : </w:t>
      </w:r>
      <w:r w:rsidRPr="007C1557">
        <w:rPr>
          <w:rFonts w:ascii="Arial" w:hAnsi="Arial" w:cs="Arial"/>
        </w:rPr>
        <w:t>INSAE, EMICoV 2015</w:t>
      </w:r>
    </w:p>
    <w:p w:rsidR="00314ED8" w:rsidRDefault="00314ED8">
      <w:pPr>
        <w:jc w:val="both"/>
        <w:rPr>
          <w:rFonts w:ascii="Arial" w:hAnsi="Arial" w:cs="Arial"/>
        </w:rPr>
      </w:pPr>
    </w:p>
    <w:p w:rsidR="00314ED8" w:rsidRPr="00C216A8" w:rsidRDefault="00C216A8" w:rsidP="00C216A8">
      <w:pPr>
        <w:pStyle w:val="Titre2"/>
        <w:numPr>
          <w:ilvl w:val="0"/>
          <w:numId w:val="0"/>
        </w:numPr>
        <w:tabs>
          <w:tab w:val="clear" w:pos="284"/>
          <w:tab w:val="left" w:pos="0"/>
        </w:tabs>
        <w:spacing w:before="0" w:after="0"/>
        <w:ind w:left="360" w:hanging="360"/>
      </w:pPr>
      <w:bookmarkStart w:id="19" w:name="_Toc433391200"/>
      <w:r>
        <w:t xml:space="preserve">1.5. </w:t>
      </w:r>
      <w:r w:rsidR="00D30AB2" w:rsidRPr="00C216A8">
        <w:t>Pauvreté non monétaire</w:t>
      </w:r>
      <w:r w:rsidR="00090A3D" w:rsidRPr="00C216A8">
        <w:t xml:space="preserve"> : </w:t>
      </w:r>
      <w:r w:rsidR="00701299" w:rsidRPr="00C216A8">
        <w:t xml:space="preserve">un léger repli </w:t>
      </w:r>
      <w:r w:rsidR="0086721B" w:rsidRPr="00C216A8">
        <w:t xml:space="preserve">entre </w:t>
      </w:r>
      <w:r w:rsidR="00701299" w:rsidRPr="00C216A8">
        <w:t>2011 et 2015</w:t>
      </w:r>
      <w:bookmarkEnd w:id="19"/>
    </w:p>
    <w:p w:rsidR="00C216A8" w:rsidRDefault="00C216A8" w:rsidP="00C216A8">
      <w:pPr>
        <w:spacing w:after="0"/>
        <w:jc w:val="both"/>
        <w:rPr>
          <w:rFonts w:ascii="Arial" w:hAnsi="Arial" w:cs="Arial"/>
        </w:rPr>
      </w:pPr>
    </w:p>
    <w:p w:rsidR="00314ED8" w:rsidRDefault="00B34558">
      <w:pPr>
        <w:jc w:val="both"/>
        <w:rPr>
          <w:rFonts w:ascii="Arial" w:hAnsi="Arial" w:cs="Arial"/>
        </w:rPr>
      </w:pPr>
      <w:r>
        <w:rPr>
          <w:rFonts w:ascii="Arial" w:hAnsi="Arial" w:cs="Arial"/>
        </w:rPr>
        <w:t>L’indicateur de niveau de vie utilisé est</w:t>
      </w:r>
      <w:r w:rsidR="007C1557" w:rsidRPr="007C1557">
        <w:rPr>
          <w:rFonts w:ascii="Arial" w:hAnsi="Arial" w:cs="Arial"/>
        </w:rPr>
        <w:t xml:space="preserve"> un indice composite </w:t>
      </w:r>
      <w:r>
        <w:rPr>
          <w:rFonts w:ascii="Arial" w:hAnsi="Arial" w:cs="Arial"/>
        </w:rPr>
        <w:t xml:space="preserve">qui </w:t>
      </w:r>
      <w:r w:rsidR="007C1557" w:rsidRPr="007C1557">
        <w:rPr>
          <w:rFonts w:ascii="Arial" w:hAnsi="Arial" w:cs="Arial"/>
        </w:rPr>
        <w:t xml:space="preserve">traduit l’ampleur des privations en termes de confort général du logement, de possession de biens durables et d’hygiène. </w:t>
      </w:r>
    </w:p>
    <w:p w:rsidR="00314ED8" w:rsidRDefault="007A4B28">
      <w:pPr>
        <w:jc w:val="both"/>
        <w:rPr>
          <w:rFonts w:ascii="Arial" w:hAnsi="Arial" w:cs="Arial"/>
        </w:rPr>
      </w:pPr>
      <w:r w:rsidRPr="005D6C4C">
        <w:rPr>
          <w:rFonts w:ascii="Arial" w:hAnsi="Arial" w:cs="Arial"/>
        </w:rPr>
        <w:t>La pauvreté non monétaire a été moins perceptible comparativement à la pauvreté monétaire en 2015</w:t>
      </w:r>
      <w:r>
        <w:rPr>
          <w:rFonts w:ascii="Arial" w:hAnsi="Arial" w:cs="Arial"/>
        </w:rPr>
        <w:t xml:space="preserve">. </w:t>
      </w:r>
      <w:r w:rsidR="007C1557" w:rsidRPr="007C1557">
        <w:rPr>
          <w:rFonts w:ascii="Arial" w:hAnsi="Arial" w:cs="Arial"/>
        </w:rPr>
        <w:t xml:space="preserve">Cette forme de pauvreté a touché </w:t>
      </w:r>
      <w:r w:rsidR="00096F4B" w:rsidRPr="00B34558">
        <w:rPr>
          <w:rFonts w:ascii="Arial" w:eastAsia="Times New Roman" w:hAnsi="Arial" w:cs="Arial"/>
          <w:color w:val="000000"/>
          <w:lang w:eastAsia="fr-FR"/>
        </w:rPr>
        <w:t>29,41</w:t>
      </w:r>
      <w:r w:rsidR="007C1557" w:rsidRPr="007C1557">
        <w:rPr>
          <w:rFonts w:ascii="Arial" w:hAnsi="Arial" w:cs="Arial"/>
        </w:rPr>
        <w:t>% de la population béninoise en 201</w:t>
      </w:r>
      <w:r w:rsidR="007B3A23">
        <w:rPr>
          <w:rFonts w:ascii="Arial" w:hAnsi="Arial" w:cs="Arial"/>
        </w:rPr>
        <w:t>5</w:t>
      </w:r>
      <w:r w:rsidR="007C1557" w:rsidRPr="007C1557">
        <w:rPr>
          <w:rFonts w:ascii="Arial" w:hAnsi="Arial" w:cs="Arial"/>
        </w:rPr>
        <w:t xml:space="preserve"> contre </w:t>
      </w:r>
      <w:r w:rsidR="00096F4B" w:rsidRPr="0081689C">
        <w:rPr>
          <w:rFonts w:ascii="Arial" w:eastAsia="Times New Roman" w:hAnsi="Arial" w:cs="Arial"/>
          <w:color w:val="000000"/>
          <w:lang w:eastAsia="fr-FR"/>
        </w:rPr>
        <w:t>30,16</w:t>
      </w:r>
      <w:r w:rsidR="007C1557" w:rsidRPr="007C1557">
        <w:rPr>
          <w:rFonts w:ascii="Arial" w:hAnsi="Arial" w:cs="Arial"/>
        </w:rPr>
        <w:t>% en 20</w:t>
      </w:r>
      <w:r w:rsidR="007B3A23">
        <w:rPr>
          <w:rFonts w:ascii="Arial" w:hAnsi="Arial" w:cs="Arial"/>
        </w:rPr>
        <w:t>11</w:t>
      </w:r>
      <w:r w:rsidR="007C1557" w:rsidRPr="007C1557">
        <w:rPr>
          <w:rFonts w:ascii="Arial" w:hAnsi="Arial" w:cs="Arial"/>
        </w:rPr>
        <w:t xml:space="preserve">. </w:t>
      </w:r>
    </w:p>
    <w:p w:rsidR="00314ED8" w:rsidRDefault="007A4B28">
      <w:pPr>
        <w:jc w:val="both"/>
        <w:rPr>
          <w:rFonts w:ascii="Arial" w:hAnsi="Arial" w:cs="Arial"/>
        </w:rPr>
      </w:pPr>
      <w:r>
        <w:rPr>
          <w:rFonts w:ascii="Arial" w:hAnsi="Arial" w:cs="Arial"/>
          <w:b/>
        </w:rPr>
        <w:t xml:space="preserve">Elle </w:t>
      </w:r>
      <w:r w:rsidR="0086721B" w:rsidRPr="00DA4DF4">
        <w:rPr>
          <w:rFonts w:ascii="Arial" w:hAnsi="Arial" w:cs="Arial"/>
          <w:b/>
        </w:rPr>
        <w:t>est plus prépondérante en milieu rural</w:t>
      </w:r>
      <w:r w:rsidR="0086721B">
        <w:rPr>
          <w:rFonts w:ascii="Arial" w:hAnsi="Arial" w:cs="Arial"/>
        </w:rPr>
        <w:t>. E</w:t>
      </w:r>
      <w:r w:rsidR="00590029">
        <w:rPr>
          <w:rFonts w:ascii="Arial" w:hAnsi="Arial" w:cs="Arial"/>
        </w:rPr>
        <w:t>n plus</w:t>
      </w:r>
      <w:r w:rsidR="008E764F">
        <w:rPr>
          <w:rFonts w:ascii="Arial" w:hAnsi="Arial" w:cs="Arial"/>
        </w:rPr>
        <w:t xml:space="preserve"> </w:t>
      </w:r>
      <w:r w:rsidR="00590029">
        <w:rPr>
          <w:rFonts w:ascii="Arial" w:hAnsi="Arial" w:cs="Arial"/>
        </w:rPr>
        <w:t xml:space="preserve">d’être le </w:t>
      </w:r>
      <w:r w:rsidR="007C1557" w:rsidRPr="007C1557">
        <w:rPr>
          <w:rFonts w:ascii="Arial" w:hAnsi="Arial" w:cs="Arial"/>
        </w:rPr>
        <w:t xml:space="preserve">plus touché par la pauvreté non monétaire (à l’image de la pauvreté monétaire), les ménages ruraux ont connu une </w:t>
      </w:r>
      <w:r w:rsidR="00424B5F">
        <w:rPr>
          <w:rFonts w:ascii="Arial" w:hAnsi="Arial" w:cs="Arial"/>
        </w:rPr>
        <w:t>détérioration</w:t>
      </w:r>
      <w:r w:rsidR="007C1557" w:rsidRPr="007C1557">
        <w:rPr>
          <w:rFonts w:ascii="Arial" w:hAnsi="Arial" w:cs="Arial"/>
        </w:rPr>
        <w:t xml:space="preserve"> de leurs conditions en 201</w:t>
      </w:r>
      <w:r w:rsidR="00424B5F">
        <w:rPr>
          <w:rFonts w:ascii="Arial" w:hAnsi="Arial" w:cs="Arial"/>
        </w:rPr>
        <w:t>5</w:t>
      </w:r>
      <w:r w:rsidR="007C1557" w:rsidRPr="007C1557">
        <w:rPr>
          <w:rFonts w:ascii="Arial" w:hAnsi="Arial" w:cs="Arial"/>
        </w:rPr>
        <w:t xml:space="preserve"> par rapport à 20</w:t>
      </w:r>
      <w:r w:rsidR="00424B5F">
        <w:rPr>
          <w:rFonts w:ascii="Arial" w:hAnsi="Arial" w:cs="Arial"/>
        </w:rPr>
        <w:t>11</w:t>
      </w:r>
      <w:r w:rsidR="007C1557" w:rsidRPr="007C1557">
        <w:rPr>
          <w:rFonts w:ascii="Arial" w:hAnsi="Arial" w:cs="Arial"/>
        </w:rPr>
        <w:t xml:space="preserve"> (l’incidence est passée de </w:t>
      </w:r>
      <w:r w:rsidR="00624BEE" w:rsidRPr="0081689C">
        <w:rPr>
          <w:rFonts w:ascii="Arial" w:eastAsia="Times New Roman" w:hAnsi="Arial" w:cs="Arial"/>
          <w:color w:val="000000"/>
          <w:lang w:eastAsia="fr-FR"/>
        </w:rPr>
        <w:lastRenderedPageBreak/>
        <w:t>32,88</w:t>
      </w:r>
      <w:r w:rsidR="007C1557" w:rsidRPr="007C1557">
        <w:rPr>
          <w:rFonts w:ascii="Arial" w:hAnsi="Arial" w:cs="Arial"/>
        </w:rPr>
        <w:t xml:space="preserve">% </w:t>
      </w:r>
      <w:r w:rsidR="00624BEE">
        <w:rPr>
          <w:rFonts w:ascii="Arial" w:hAnsi="Arial" w:cs="Arial"/>
        </w:rPr>
        <w:t xml:space="preserve">en 2011 </w:t>
      </w:r>
      <w:r w:rsidR="007C1557" w:rsidRPr="007C1557">
        <w:rPr>
          <w:rFonts w:ascii="Arial" w:hAnsi="Arial" w:cs="Arial"/>
        </w:rPr>
        <w:t xml:space="preserve">à </w:t>
      </w:r>
      <w:r w:rsidR="00624BEE" w:rsidRPr="00B34558">
        <w:rPr>
          <w:rFonts w:ascii="Arial" w:eastAsia="Times New Roman" w:hAnsi="Arial" w:cs="Arial"/>
          <w:color w:val="000000"/>
          <w:lang w:eastAsia="fr-FR"/>
        </w:rPr>
        <w:t>35,86</w:t>
      </w:r>
      <w:r w:rsidR="007C1557" w:rsidRPr="007C1557">
        <w:rPr>
          <w:rFonts w:ascii="Arial" w:hAnsi="Arial" w:cs="Arial"/>
        </w:rPr>
        <w:t>%</w:t>
      </w:r>
      <w:r w:rsidR="00624BEE">
        <w:rPr>
          <w:rFonts w:ascii="Arial" w:hAnsi="Arial" w:cs="Arial"/>
        </w:rPr>
        <w:t xml:space="preserve"> en 2015</w:t>
      </w:r>
      <w:r w:rsidR="007C1557" w:rsidRPr="007C1557">
        <w:rPr>
          <w:rFonts w:ascii="Arial" w:hAnsi="Arial" w:cs="Arial"/>
        </w:rPr>
        <w:t>), contrairement aux ménages urbains qui ont c</w:t>
      </w:r>
      <w:r w:rsidR="00624BEE">
        <w:rPr>
          <w:rFonts w:ascii="Arial" w:hAnsi="Arial" w:cs="Arial"/>
        </w:rPr>
        <w:t>onnu une amélioration</w:t>
      </w:r>
      <w:r w:rsidR="007C1557" w:rsidRPr="007C1557">
        <w:rPr>
          <w:rFonts w:ascii="Arial" w:hAnsi="Arial" w:cs="Arial"/>
        </w:rPr>
        <w:t xml:space="preserve"> (voir tableau </w:t>
      </w:r>
      <w:r w:rsidR="00624BEE">
        <w:rPr>
          <w:rFonts w:ascii="Arial" w:hAnsi="Arial" w:cs="Arial"/>
        </w:rPr>
        <w:t>5</w:t>
      </w:r>
      <w:r w:rsidR="007C1557" w:rsidRPr="007C1557">
        <w:rPr>
          <w:rFonts w:ascii="Arial" w:hAnsi="Arial" w:cs="Arial"/>
        </w:rPr>
        <w:t xml:space="preserve">). </w:t>
      </w:r>
    </w:p>
    <w:p w:rsidR="00A77EAB" w:rsidRDefault="007A4B28" w:rsidP="00A77EAB">
      <w:pPr>
        <w:jc w:val="both"/>
        <w:rPr>
          <w:rFonts w:ascii="Arial" w:hAnsi="Arial" w:cs="Arial"/>
        </w:rPr>
      </w:pPr>
      <w:r>
        <w:rPr>
          <w:rFonts w:ascii="Arial" w:hAnsi="Arial" w:cs="Arial"/>
        </w:rPr>
        <w:t>Toutefois, il convient de souligner que l</w:t>
      </w:r>
      <w:r w:rsidR="007C1557" w:rsidRPr="007C1557">
        <w:rPr>
          <w:rFonts w:ascii="Arial" w:hAnsi="Arial" w:cs="Arial"/>
        </w:rPr>
        <w:t xml:space="preserve">e recul progressif de la pauvreté non monétaire ces dernières années est signe d’une amélioration dans l’accès aux infrastructures de base. En effet, l’incidence de la pauvreté non monétaire est passée de 42% en 2006 à </w:t>
      </w:r>
      <w:r w:rsidR="002638C3">
        <w:rPr>
          <w:rFonts w:ascii="Arial" w:hAnsi="Arial" w:cs="Arial"/>
        </w:rPr>
        <w:t>29,41</w:t>
      </w:r>
      <w:r w:rsidR="007C1557" w:rsidRPr="007C1557">
        <w:rPr>
          <w:rFonts w:ascii="Arial" w:hAnsi="Arial" w:cs="Arial"/>
        </w:rPr>
        <w:t>% en 201</w:t>
      </w:r>
      <w:r w:rsidR="002638C3">
        <w:rPr>
          <w:rFonts w:ascii="Arial" w:hAnsi="Arial" w:cs="Arial"/>
        </w:rPr>
        <w:t>5</w:t>
      </w:r>
      <w:r w:rsidR="007C1557" w:rsidRPr="007C1557">
        <w:rPr>
          <w:rFonts w:ascii="Arial" w:hAnsi="Arial" w:cs="Arial"/>
        </w:rPr>
        <w:t>, soit une baisse d</w:t>
      </w:r>
      <w:r w:rsidR="002638C3">
        <w:rPr>
          <w:rFonts w:ascii="Arial" w:hAnsi="Arial" w:cs="Arial"/>
        </w:rPr>
        <w:t xml:space="preserve">’environ </w:t>
      </w:r>
      <w:r w:rsidR="007C1557" w:rsidRPr="007C1557">
        <w:rPr>
          <w:rFonts w:ascii="Arial" w:hAnsi="Arial" w:cs="Arial"/>
        </w:rPr>
        <w:t xml:space="preserve"> 1</w:t>
      </w:r>
      <w:r w:rsidR="002638C3">
        <w:rPr>
          <w:rFonts w:ascii="Arial" w:hAnsi="Arial" w:cs="Arial"/>
        </w:rPr>
        <w:t>3</w:t>
      </w:r>
      <w:r w:rsidR="007C1557" w:rsidRPr="007C1557">
        <w:rPr>
          <w:rFonts w:ascii="Arial" w:hAnsi="Arial" w:cs="Arial"/>
        </w:rPr>
        <w:t xml:space="preserve"> points</w:t>
      </w:r>
      <w:r w:rsidR="002638C3">
        <w:rPr>
          <w:rFonts w:ascii="Arial" w:hAnsi="Arial" w:cs="Arial"/>
        </w:rPr>
        <w:t>.</w:t>
      </w:r>
    </w:p>
    <w:p w:rsidR="00314ED8" w:rsidRDefault="00C216A8" w:rsidP="00B76C82">
      <w:pPr>
        <w:spacing w:after="0"/>
        <w:jc w:val="both"/>
        <w:rPr>
          <w:rFonts w:ascii="Arial" w:hAnsi="Arial" w:cs="Arial"/>
          <w:b/>
        </w:rPr>
      </w:pPr>
      <w:bookmarkStart w:id="20" w:name="_Toc432425309"/>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5</w:t>
      </w:r>
      <w:r w:rsidR="00115FEB" w:rsidRPr="00C216A8">
        <w:rPr>
          <w:rFonts w:ascii="Arial" w:hAnsi="Arial" w:cs="Arial"/>
        </w:rPr>
        <w:fldChar w:fldCharType="end"/>
      </w:r>
      <w:r w:rsidR="00092DA1">
        <w:rPr>
          <w:rFonts w:ascii="Arial" w:hAnsi="Arial" w:cs="Arial"/>
          <w:b/>
        </w:rPr>
        <w:t xml:space="preserve">: </w:t>
      </w:r>
      <w:r w:rsidR="007C1557" w:rsidRPr="007C1557">
        <w:rPr>
          <w:rFonts w:ascii="Arial" w:hAnsi="Arial" w:cs="Arial"/>
        </w:rPr>
        <w:t>Pauvreté non  monétaire suivant le milieu de résidence</w:t>
      </w:r>
      <w:bookmarkEnd w:id="20"/>
    </w:p>
    <w:tbl>
      <w:tblPr>
        <w:tblW w:w="9066" w:type="dxa"/>
        <w:tblInd w:w="55" w:type="dxa"/>
        <w:tblCellMar>
          <w:left w:w="70" w:type="dxa"/>
          <w:right w:w="70" w:type="dxa"/>
        </w:tblCellMar>
        <w:tblLook w:val="04A0" w:firstRow="1" w:lastRow="0" w:firstColumn="1" w:lastColumn="0" w:noHBand="0" w:noVBand="1"/>
      </w:tblPr>
      <w:tblGrid>
        <w:gridCol w:w="1370"/>
        <w:gridCol w:w="1233"/>
        <w:gridCol w:w="1119"/>
        <w:gridCol w:w="1233"/>
        <w:gridCol w:w="2067"/>
        <w:gridCol w:w="1022"/>
        <w:gridCol w:w="1022"/>
      </w:tblGrid>
      <w:tr w:rsidR="0081689C" w:rsidRPr="0081689C" w:rsidTr="008730A9">
        <w:trPr>
          <w:trHeight w:val="310"/>
        </w:trPr>
        <w:tc>
          <w:tcPr>
            <w:tcW w:w="1370" w:type="dxa"/>
            <w:tcBorders>
              <w:top w:val="double" w:sz="6" w:space="0" w:color="auto"/>
              <w:left w:val="nil"/>
              <w:bottom w:val="nil"/>
              <w:right w:val="nil"/>
            </w:tcBorders>
            <w:shd w:val="clear" w:color="auto" w:fill="auto"/>
            <w:vAlign w:val="bottom"/>
            <w:hideMark/>
          </w:tcPr>
          <w:p w:rsidR="00314ED8" w:rsidRDefault="0081689C">
            <w:pPr>
              <w:spacing w:after="0" w:line="240" w:lineRule="auto"/>
              <w:jc w:val="center"/>
              <w:rPr>
                <w:rFonts w:ascii="Garamond" w:eastAsia="Times New Roman" w:hAnsi="Garamond" w:cs="Times New Roman"/>
                <w:color w:val="000000"/>
                <w:lang w:eastAsia="fr-FR"/>
              </w:rPr>
            </w:pPr>
            <w:r w:rsidRPr="0081689C">
              <w:rPr>
                <w:rFonts w:ascii="Garamond" w:eastAsia="Times New Roman" w:hAnsi="Garamond" w:cs="Times New Roman"/>
                <w:color w:val="000000"/>
                <w:lang w:val="fr-CA" w:eastAsia="fr-FR"/>
              </w:rPr>
              <w:t> </w:t>
            </w:r>
          </w:p>
        </w:tc>
        <w:tc>
          <w:tcPr>
            <w:tcW w:w="3585" w:type="dxa"/>
            <w:gridSpan w:val="3"/>
            <w:tcBorders>
              <w:top w:val="double" w:sz="6" w:space="0" w:color="auto"/>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2011</w:t>
            </w:r>
          </w:p>
        </w:tc>
        <w:tc>
          <w:tcPr>
            <w:tcW w:w="4111" w:type="dxa"/>
            <w:gridSpan w:val="3"/>
            <w:tcBorders>
              <w:top w:val="double" w:sz="6" w:space="0" w:color="auto"/>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2015</w:t>
            </w:r>
          </w:p>
        </w:tc>
      </w:tr>
      <w:tr w:rsidR="00092DA1" w:rsidRPr="0081689C" w:rsidTr="008730A9">
        <w:trPr>
          <w:trHeight w:val="353"/>
        </w:trPr>
        <w:tc>
          <w:tcPr>
            <w:tcW w:w="1370" w:type="dxa"/>
            <w:tcBorders>
              <w:top w:val="nil"/>
              <w:left w:val="nil"/>
              <w:bottom w:val="single" w:sz="8" w:space="0" w:color="000000"/>
              <w:right w:val="nil"/>
            </w:tcBorders>
            <w:shd w:val="clear" w:color="auto" w:fill="auto"/>
            <w:vAlign w:val="bottom"/>
            <w:hideMark/>
          </w:tcPr>
          <w:p w:rsidR="00314ED8" w:rsidRDefault="00092DA1">
            <w:pPr>
              <w:spacing w:after="0" w:line="240" w:lineRule="auto"/>
              <w:jc w:val="center"/>
              <w:rPr>
                <w:rFonts w:ascii="Garamond" w:eastAsia="Times New Roman" w:hAnsi="Garamond" w:cs="Times New Roman"/>
                <w:color w:val="000000"/>
                <w:lang w:eastAsia="fr-FR"/>
              </w:rPr>
            </w:pPr>
            <w:r w:rsidRPr="0081689C">
              <w:rPr>
                <w:rFonts w:ascii="Garamond" w:eastAsia="Times New Roman" w:hAnsi="Garamond" w:cs="Times New Roman"/>
                <w:color w:val="000000"/>
                <w:lang w:val="fr-CA" w:eastAsia="fr-FR"/>
              </w:rPr>
              <w:t> </w:t>
            </w:r>
          </w:p>
        </w:tc>
        <w:tc>
          <w:tcPr>
            <w:tcW w:w="1233"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119"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P1</w:t>
            </w:r>
          </w:p>
        </w:tc>
        <w:tc>
          <w:tcPr>
            <w:tcW w:w="1233"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P2</w:t>
            </w:r>
          </w:p>
        </w:tc>
        <w:tc>
          <w:tcPr>
            <w:tcW w:w="2067" w:type="dxa"/>
            <w:tcBorders>
              <w:top w:val="nil"/>
              <w:left w:val="nil"/>
              <w:bottom w:val="single" w:sz="8" w:space="0" w:color="000000"/>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022" w:type="dxa"/>
            <w:tcBorders>
              <w:top w:val="nil"/>
              <w:left w:val="nil"/>
              <w:bottom w:val="single" w:sz="8" w:space="0" w:color="000000"/>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P1</w:t>
            </w:r>
          </w:p>
        </w:tc>
        <w:tc>
          <w:tcPr>
            <w:tcW w:w="1022" w:type="dxa"/>
            <w:tcBorders>
              <w:top w:val="nil"/>
              <w:left w:val="nil"/>
              <w:bottom w:val="single" w:sz="8" w:space="0" w:color="000000"/>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P2</w:t>
            </w:r>
          </w:p>
        </w:tc>
      </w:tr>
      <w:tr w:rsidR="00B34558" w:rsidRPr="0081689C" w:rsidTr="008730A9">
        <w:trPr>
          <w:trHeight w:val="282"/>
        </w:trPr>
        <w:tc>
          <w:tcPr>
            <w:tcW w:w="1370" w:type="dxa"/>
            <w:vMerge w:val="restart"/>
            <w:tcBorders>
              <w:top w:val="nil"/>
              <w:left w:val="nil"/>
              <w:bottom w:val="nil"/>
              <w:right w:val="nil"/>
            </w:tcBorders>
            <w:shd w:val="clear" w:color="auto" w:fill="auto"/>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Urbain</w:t>
            </w:r>
          </w:p>
        </w:tc>
        <w:tc>
          <w:tcPr>
            <w:tcW w:w="123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26,37</w:t>
            </w:r>
          </w:p>
        </w:tc>
        <w:tc>
          <w:tcPr>
            <w:tcW w:w="111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0,094</w:t>
            </w:r>
          </w:p>
        </w:tc>
        <w:tc>
          <w:tcPr>
            <w:tcW w:w="123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0,05</w:t>
            </w:r>
          </w:p>
        </w:tc>
        <w:tc>
          <w:tcPr>
            <w:tcW w:w="206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21,53</w:t>
            </w:r>
          </w:p>
        </w:tc>
        <w:tc>
          <w:tcPr>
            <w:tcW w:w="1022"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0,09</w:t>
            </w:r>
          </w:p>
        </w:tc>
        <w:tc>
          <w:tcPr>
            <w:tcW w:w="1022"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0,05</w:t>
            </w:r>
          </w:p>
        </w:tc>
      </w:tr>
      <w:tr w:rsidR="00B34558" w:rsidRPr="0081689C" w:rsidTr="008730A9">
        <w:trPr>
          <w:trHeight w:val="282"/>
        </w:trPr>
        <w:tc>
          <w:tcPr>
            <w:tcW w:w="137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233" w:type="dxa"/>
            <w:tcBorders>
              <w:top w:val="nil"/>
              <w:left w:val="nil"/>
              <w:bottom w:val="nil"/>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0,023</w:t>
            </w:r>
            <w:r>
              <w:rPr>
                <w:rFonts w:ascii="Arial" w:eastAsia="Times New Roman" w:hAnsi="Arial" w:cs="Arial"/>
                <w:color w:val="000000"/>
                <w:lang w:eastAsia="fr-FR"/>
              </w:rPr>
              <w:t>)</w:t>
            </w:r>
          </w:p>
        </w:tc>
        <w:tc>
          <w:tcPr>
            <w:tcW w:w="1119" w:type="dxa"/>
            <w:tcBorders>
              <w:top w:val="nil"/>
              <w:left w:val="nil"/>
              <w:bottom w:val="nil"/>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w:t>
            </w:r>
            <w:r>
              <w:rPr>
                <w:rFonts w:ascii="Arial" w:eastAsia="Times New Roman" w:hAnsi="Arial" w:cs="Arial"/>
                <w:color w:val="000000"/>
                <w:lang w:eastAsia="fr-FR"/>
              </w:rPr>
              <w:t>,00)</w:t>
            </w:r>
          </w:p>
        </w:tc>
        <w:tc>
          <w:tcPr>
            <w:tcW w:w="1233" w:type="dxa"/>
            <w:tcBorders>
              <w:top w:val="nil"/>
              <w:left w:val="nil"/>
              <w:bottom w:val="nil"/>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81689C">
              <w:rPr>
                <w:rFonts w:ascii="Arial" w:eastAsia="Times New Roman" w:hAnsi="Arial" w:cs="Arial"/>
                <w:color w:val="000000"/>
                <w:lang w:eastAsia="fr-FR"/>
              </w:rPr>
              <w:t>0</w:t>
            </w:r>
            <w:r>
              <w:rPr>
                <w:rFonts w:ascii="Arial" w:eastAsia="Times New Roman" w:hAnsi="Arial" w:cs="Arial"/>
                <w:color w:val="000000"/>
                <w:lang w:eastAsia="fr-FR"/>
              </w:rPr>
              <w:t>,00)</w:t>
            </w:r>
          </w:p>
        </w:tc>
        <w:tc>
          <w:tcPr>
            <w:tcW w:w="2067" w:type="dxa"/>
            <w:tcBorders>
              <w:top w:val="nil"/>
              <w:left w:val="nil"/>
              <w:bottom w:val="nil"/>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w:t>
            </w:r>
            <w:r>
              <w:rPr>
                <w:rFonts w:ascii="Arial" w:eastAsia="Times New Roman" w:hAnsi="Arial" w:cs="Arial"/>
                <w:color w:val="000000"/>
                <w:lang w:eastAsia="fr-FR"/>
              </w:rPr>
              <w:t>)</w:t>
            </w:r>
          </w:p>
        </w:tc>
        <w:tc>
          <w:tcPr>
            <w:tcW w:w="1022" w:type="dxa"/>
            <w:tcBorders>
              <w:top w:val="nil"/>
              <w:left w:val="nil"/>
              <w:bottom w:val="nil"/>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c>
          <w:tcPr>
            <w:tcW w:w="1022" w:type="dxa"/>
            <w:tcBorders>
              <w:top w:val="nil"/>
              <w:left w:val="nil"/>
              <w:bottom w:val="nil"/>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r>
      <w:tr w:rsidR="00B34558" w:rsidRPr="0081689C" w:rsidTr="007B3A23">
        <w:trPr>
          <w:trHeight w:val="130"/>
        </w:trPr>
        <w:tc>
          <w:tcPr>
            <w:tcW w:w="1370" w:type="dxa"/>
            <w:vMerge w:val="restart"/>
            <w:tcBorders>
              <w:top w:val="nil"/>
              <w:left w:val="nil"/>
              <w:bottom w:val="single" w:sz="8" w:space="0" w:color="000000"/>
              <w:right w:val="nil"/>
            </w:tcBorders>
            <w:shd w:val="clear" w:color="auto" w:fill="auto"/>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Rural</w:t>
            </w:r>
          </w:p>
        </w:tc>
        <w:tc>
          <w:tcPr>
            <w:tcW w:w="123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32,88</w:t>
            </w:r>
          </w:p>
        </w:tc>
        <w:tc>
          <w:tcPr>
            <w:tcW w:w="111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0,14</w:t>
            </w:r>
          </w:p>
        </w:tc>
        <w:tc>
          <w:tcPr>
            <w:tcW w:w="123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0,092</w:t>
            </w:r>
          </w:p>
        </w:tc>
        <w:tc>
          <w:tcPr>
            <w:tcW w:w="206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35,86</w:t>
            </w:r>
          </w:p>
        </w:tc>
        <w:tc>
          <w:tcPr>
            <w:tcW w:w="1022"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0,14</w:t>
            </w:r>
          </w:p>
        </w:tc>
        <w:tc>
          <w:tcPr>
            <w:tcW w:w="1022"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0,09</w:t>
            </w:r>
          </w:p>
        </w:tc>
      </w:tr>
      <w:tr w:rsidR="00B34558" w:rsidRPr="0081689C" w:rsidTr="008730A9">
        <w:trPr>
          <w:trHeight w:val="296"/>
        </w:trPr>
        <w:tc>
          <w:tcPr>
            <w:tcW w:w="1370" w:type="dxa"/>
            <w:vMerge/>
            <w:tcBorders>
              <w:top w:val="nil"/>
              <w:left w:val="nil"/>
              <w:bottom w:val="single" w:sz="8" w:space="0" w:color="000000"/>
              <w:right w:val="nil"/>
            </w:tcBorders>
            <w:vAlign w:val="center"/>
            <w:hideMark/>
          </w:tcPr>
          <w:p w:rsidR="00314ED8" w:rsidRDefault="00314ED8">
            <w:pPr>
              <w:spacing w:after="0" w:line="240" w:lineRule="auto"/>
              <w:jc w:val="center"/>
              <w:rPr>
                <w:rFonts w:ascii="Arial" w:eastAsia="Times New Roman" w:hAnsi="Arial" w:cs="Arial"/>
                <w:color w:val="000000"/>
                <w:lang w:eastAsia="fr-FR"/>
              </w:rPr>
            </w:pPr>
          </w:p>
        </w:tc>
        <w:tc>
          <w:tcPr>
            <w:tcW w:w="1233" w:type="dxa"/>
            <w:tcBorders>
              <w:top w:val="nil"/>
              <w:left w:val="nil"/>
              <w:bottom w:val="single" w:sz="8" w:space="0" w:color="000000"/>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0,021</w:t>
            </w:r>
            <w:r>
              <w:rPr>
                <w:rFonts w:ascii="Arial" w:eastAsia="Times New Roman" w:hAnsi="Arial" w:cs="Arial"/>
                <w:color w:val="000000"/>
                <w:lang w:eastAsia="fr-FR"/>
              </w:rPr>
              <w:t>)</w:t>
            </w:r>
          </w:p>
        </w:tc>
        <w:tc>
          <w:tcPr>
            <w:tcW w:w="1119" w:type="dxa"/>
            <w:tcBorders>
              <w:top w:val="nil"/>
              <w:left w:val="nil"/>
              <w:bottom w:val="single" w:sz="8" w:space="0" w:color="000000"/>
              <w:right w:val="nil"/>
            </w:tcBorders>
            <w:shd w:val="clear" w:color="auto" w:fill="auto"/>
            <w:noWrap/>
            <w:vAlign w:val="bottom"/>
            <w:hideMark/>
          </w:tcPr>
          <w:p w:rsidR="00314ED8" w:rsidRDefault="007B3A23">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81689C">
              <w:rPr>
                <w:rFonts w:ascii="Arial" w:eastAsia="Times New Roman" w:hAnsi="Arial" w:cs="Arial"/>
                <w:color w:val="000000"/>
                <w:lang w:eastAsia="fr-FR"/>
              </w:rPr>
              <w:t>0</w:t>
            </w:r>
            <w:r>
              <w:rPr>
                <w:rFonts w:ascii="Arial" w:eastAsia="Times New Roman" w:hAnsi="Arial" w:cs="Arial"/>
                <w:color w:val="000000"/>
                <w:lang w:eastAsia="fr-FR"/>
              </w:rPr>
              <w:t>,00)</w:t>
            </w:r>
          </w:p>
        </w:tc>
        <w:tc>
          <w:tcPr>
            <w:tcW w:w="1233" w:type="dxa"/>
            <w:tcBorders>
              <w:top w:val="nil"/>
              <w:left w:val="nil"/>
              <w:bottom w:val="single" w:sz="8" w:space="0" w:color="000000"/>
              <w:right w:val="nil"/>
            </w:tcBorders>
            <w:shd w:val="clear" w:color="auto" w:fill="auto"/>
            <w:noWrap/>
            <w:vAlign w:val="bottom"/>
            <w:hideMark/>
          </w:tcPr>
          <w:p w:rsidR="00314ED8" w:rsidRDefault="007B3A23">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81689C">
              <w:rPr>
                <w:rFonts w:ascii="Arial" w:eastAsia="Times New Roman" w:hAnsi="Arial" w:cs="Arial"/>
                <w:color w:val="000000"/>
                <w:lang w:eastAsia="fr-FR"/>
              </w:rPr>
              <w:t>0</w:t>
            </w:r>
            <w:r>
              <w:rPr>
                <w:rFonts w:ascii="Arial" w:eastAsia="Times New Roman" w:hAnsi="Arial" w:cs="Arial"/>
                <w:color w:val="000000"/>
                <w:lang w:eastAsia="fr-FR"/>
              </w:rPr>
              <w:t>,00)</w:t>
            </w:r>
          </w:p>
        </w:tc>
        <w:tc>
          <w:tcPr>
            <w:tcW w:w="2067" w:type="dxa"/>
            <w:tcBorders>
              <w:top w:val="nil"/>
              <w:left w:val="nil"/>
              <w:bottom w:val="single" w:sz="4" w:space="0" w:color="auto"/>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w:t>
            </w:r>
            <w:r>
              <w:rPr>
                <w:rFonts w:ascii="Arial" w:eastAsia="Times New Roman" w:hAnsi="Arial" w:cs="Arial"/>
                <w:color w:val="000000"/>
                <w:lang w:eastAsia="fr-FR"/>
              </w:rPr>
              <w:t>)</w:t>
            </w:r>
          </w:p>
        </w:tc>
        <w:tc>
          <w:tcPr>
            <w:tcW w:w="1022" w:type="dxa"/>
            <w:tcBorders>
              <w:top w:val="nil"/>
              <w:left w:val="nil"/>
              <w:bottom w:val="single" w:sz="4"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c>
          <w:tcPr>
            <w:tcW w:w="1022" w:type="dxa"/>
            <w:tcBorders>
              <w:top w:val="nil"/>
              <w:left w:val="nil"/>
              <w:bottom w:val="single" w:sz="4"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r>
      <w:tr w:rsidR="00B34558" w:rsidRPr="0081689C" w:rsidTr="008730A9">
        <w:trPr>
          <w:trHeight w:val="296"/>
        </w:trPr>
        <w:tc>
          <w:tcPr>
            <w:tcW w:w="1370" w:type="dxa"/>
            <w:vMerge w:val="restart"/>
            <w:tcBorders>
              <w:top w:val="nil"/>
              <w:left w:val="nil"/>
              <w:bottom w:val="double" w:sz="6" w:space="0" w:color="000000"/>
              <w:right w:val="nil"/>
            </w:tcBorders>
            <w:shd w:val="clear" w:color="auto" w:fill="auto"/>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Ensemble</w:t>
            </w:r>
          </w:p>
        </w:tc>
        <w:tc>
          <w:tcPr>
            <w:tcW w:w="123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30,16</w:t>
            </w:r>
          </w:p>
        </w:tc>
        <w:tc>
          <w:tcPr>
            <w:tcW w:w="111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0,121</w:t>
            </w:r>
          </w:p>
        </w:tc>
        <w:tc>
          <w:tcPr>
            <w:tcW w:w="123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0,074</w:t>
            </w:r>
          </w:p>
        </w:tc>
        <w:tc>
          <w:tcPr>
            <w:tcW w:w="2067" w:type="dxa"/>
            <w:tcBorders>
              <w:top w:val="single" w:sz="4" w:space="0" w:color="auto"/>
              <w:left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29,41</w:t>
            </w:r>
          </w:p>
        </w:tc>
        <w:tc>
          <w:tcPr>
            <w:tcW w:w="1022" w:type="dxa"/>
            <w:tcBorders>
              <w:top w:val="single" w:sz="4" w:space="0" w:color="auto"/>
              <w:left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0,12</w:t>
            </w:r>
          </w:p>
        </w:tc>
        <w:tc>
          <w:tcPr>
            <w:tcW w:w="1022" w:type="dxa"/>
            <w:tcBorders>
              <w:top w:val="single" w:sz="4" w:space="0" w:color="auto"/>
              <w:left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0,07</w:t>
            </w:r>
          </w:p>
        </w:tc>
      </w:tr>
      <w:tr w:rsidR="00B34558" w:rsidRPr="0081689C" w:rsidTr="008730A9">
        <w:trPr>
          <w:trHeight w:val="296"/>
        </w:trPr>
        <w:tc>
          <w:tcPr>
            <w:tcW w:w="1370" w:type="dxa"/>
            <w:vMerge/>
            <w:tcBorders>
              <w:top w:val="nil"/>
              <w:left w:val="nil"/>
              <w:bottom w:val="double" w:sz="6" w:space="0" w:color="000000"/>
              <w:right w:val="nil"/>
            </w:tcBorders>
            <w:vAlign w:val="center"/>
            <w:hideMark/>
          </w:tcPr>
          <w:p w:rsidR="00314ED8" w:rsidRDefault="00314ED8">
            <w:pPr>
              <w:spacing w:after="0" w:line="240" w:lineRule="auto"/>
              <w:jc w:val="center"/>
              <w:rPr>
                <w:rFonts w:ascii="Arial" w:eastAsia="Times New Roman" w:hAnsi="Arial" w:cs="Arial"/>
                <w:color w:val="000000"/>
                <w:lang w:eastAsia="fr-FR"/>
              </w:rPr>
            </w:pPr>
          </w:p>
        </w:tc>
        <w:tc>
          <w:tcPr>
            <w:tcW w:w="1233" w:type="dxa"/>
            <w:tcBorders>
              <w:top w:val="nil"/>
              <w:left w:val="nil"/>
              <w:bottom w:val="double" w:sz="6" w:space="0" w:color="auto"/>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0,016</w:t>
            </w:r>
            <w:r>
              <w:rPr>
                <w:rFonts w:ascii="Arial" w:eastAsia="Times New Roman" w:hAnsi="Arial" w:cs="Arial"/>
                <w:color w:val="000000"/>
                <w:lang w:eastAsia="fr-FR"/>
              </w:rPr>
              <w:t>)</w:t>
            </w:r>
          </w:p>
        </w:tc>
        <w:tc>
          <w:tcPr>
            <w:tcW w:w="1119" w:type="dxa"/>
            <w:tcBorders>
              <w:top w:val="nil"/>
              <w:left w:val="nil"/>
              <w:bottom w:val="double" w:sz="6"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81689C">
              <w:rPr>
                <w:rFonts w:ascii="Arial" w:eastAsia="Times New Roman" w:hAnsi="Arial" w:cs="Arial"/>
                <w:color w:val="000000"/>
                <w:lang w:eastAsia="fr-FR"/>
              </w:rPr>
              <w:t>0</w:t>
            </w:r>
            <w:r>
              <w:rPr>
                <w:rFonts w:ascii="Arial" w:eastAsia="Times New Roman" w:hAnsi="Arial" w:cs="Arial"/>
                <w:color w:val="000000"/>
                <w:lang w:eastAsia="fr-FR"/>
              </w:rPr>
              <w:t>,00)</w:t>
            </w:r>
          </w:p>
        </w:tc>
        <w:tc>
          <w:tcPr>
            <w:tcW w:w="1233" w:type="dxa"/>
            <w:tcBorders>
              <w:top w:val="nil"/>
              <w:left w:val="nil"/>
              <w:bottom w:val="double" w:sz="6"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Pr="0081689C">
              <w:rPr>
                <w:rFonts w:ascii="Arial" w:eastAsia="Times New Roman" w:hAnsi="Arial" w:cs="Arial"/>
                <w:color w:val="000000"/>
                <w:lang w:eastAsia="fr-FR"/>
              </w:rPr>
              <w:t>0</w:t>
            </w:r>
            <w:r>
              <w:rPr>
                <w:rFonts w:ascii="Arial" w:eastAsia="Times New Roman" w:hAnsi="Arial" w:cs="Arial"/>
                <w:color w:val="000000"/>
                <w:lang w:eastAsia="fr-FR"/>
              </w:rPr>
              <w:t>,00)</w:t>
            </w:r>
          </w:p>
        </w:tc>
        <w:tc>
          <w:tcPr>
            <w:tcW w:w="2067" w:type="dxa"/>
            <w:tcBorders>
              <w:left w:val="nil"/>
              <w:bottom w:val="single" w:sz="4" w:space="0" w:color="auto"/>
              <w:right w:val="nil"/>
            </w:tcBorders>
            <w:shd w:val="clear" w:color="auto" w:fill="auto"/>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0,02</w:t>
            </w:r>
            <w:r>
              <w:rPr>
                <w:rFonts w:ascii="Arial" w:eastAsia="Times New Roman" w:hAnsi="Arial" w:cs="Arial"/>
                <w:color w:val="000000"/>
                <w:lang w:eastAsia="fr-FR"/>
              </w:rPr>
              <w:t>)</w:t>
            </w:r>
          </w:p>
        </w:tc>
        <w:tc>
          <w:tcPr>
            <w:tcW w:w="1022" w:type="dxa"/>
            <w:tcBorders>
              <w:left w:val="nil"/>
              <w:bottom w:val="single" w:sz="4"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c>
          <w:tcPr>
            <w:tcW w:w="1022" w:type="dxa"/>
            <w:tcBorders>
              <w:left w:val="nil"/>
              <w:bottom w:val="single" w:sz="4" w:space="0" w:color="auto"/>
              <w:right w:val="nil"/>
            </w:tcBorders>
            <w:shd w:val="clear" w:color="auto" w:fill="auto"/>
            <w:noWrap/>
            <w:vAlign w:val="bottom"/>
            <w:hideMark/>
          </w:tcPr>
          <w:p w:rsidR="00314ED8" w:rsidRDefault="00B34558">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w:t>
            </w:r>
            <w:r>
              <w:rPr>
                <w:rFonts w:ascii="Arial" w:eastAsia="Times New Roman" w:hAnsi="Arial" w:cs="Arial"/>
                <w:color w:val="000000"/>
                <w:lang w:eastAsia="fr-FR"/>
              </w:rPr>
              <w:t>)</w:t>
            </w:r>
          </w:p>
        </w:tc>
      </w:tr>
    </w:tbl>
    <w:p w:rsidR="00314ED8" w:rsidRDefault="007C1557">
      <w:pPr>
        <w:spacing w:after="0" w:line="240" w:lineRule="auto"/>
        <w:rPr>
          <w:rFonts w:ascii="Arial" w:hAnsi="Arial" w:cs="Arial"/>
        </w:rPr>
      </w:pPr>
      <w:r w:rsidRPr="007C1557">
        <w:rPr>
          <w:rFonts w:ascii="Arial" w:hAnsi="Arial" w:cs="Arial"/>
          <w:u w:val="single"/>
        </w:rPr>
        <w:t>Source</w:t>
      </w:r>
      <w:r w:rsidRPr="007C1557">
        <w:rPr>
          <w:rFonts w:ascii="Arial" w:hAnsi="Arial" w:cs="Arial"/>
          <w:b/>
        </w:rPr>
        <w:t xml:space="preserve"> : </w:t>
      </w:r>
      <w:r w:rsidRPr="007C1557">
        <w:rPr>
          <w:rFonts w:ascii="Arial" w:hAnsi="Arial" w:cs="Arial"/>
        </w:rPr>
        <w:t>INSAE, EMICoV 2015</w:t>
      </w:r>
    </w:p>
    <w:p w:rsidR="00314ED8" w:rsidRDefault="00314ED8">
      <w:pPr>
        <w:spacing w:after="0" w:line="240" w:lineRule="auto"/>
        <w:rPr>
          <w:rFonts w:ascii="Arial" w:hAnsi="Arial" w:cs="Arial"/>
          <w:b/>
          <w:sz w:val="24"/>
          <w:szCs w:val="24"/>
        </w:rPr>
      </w:pPr>
    </w:p>
    <w:p w:rsidR="00A77EAB" w:rsidRDefault="00324942" w:rsidP="00950C27">
      <w:pPr>
        <w:spacing w:after="0"/>
        <w:jc w:val="both"/>
        <w:rPr>
          <w:rFonts w:ascii="Arial" w:eastAsia="Times New Roman" w:hAnsi="Arial" w:cs="Arial"/>
          <w:lang w:eastAsia="fr-FR"/>
        </w:rPr>
      </w:pPr>
      <w:r w:rsidRPr="00DA4DF4">
        <w:rPr>
          <w:rFonts w:ascii="Arial" w:hAnsi="Arial" w:cs="Arial"/>
          <w:b/>
        </w:rPr>
        <w:t>De fortes disparités régionales de la pauvreté</w:t>
      </w:r>
      <w:r>
        <w:rPr>
          <w:rFonts w:ascii="Arial" w:hAnsi="Arial" w:cs="Arial"/>
          <w:b/>
        </w:rPr>
        <w:t xml:space="preserve"> non</w:t>
      </w:r>
      <w:r w:rsidR="008E764F">
        <w:rPr>
          <w:rFonts w:ascii="Arial" w:hAnsi="Arial" w:cs="Arial"/>
          <w:b/>
        </w:rPr>
        <w:t xml:space="preserve"> </w:t>
      </w:r>
      <w:r>
        <w:rPr>
          <w:rFonts w:ascii="Arial" w:hAnsi="Arial" w:cs="Arial"/>
          <w:b/>
        </w:rPr>
        <w:t xml:space="preserve">monétaire </w:t>
      </w:r>
      <w:r w:rsidR="008102B8">
        <w:rPr>
          <w:rFonts w:ascii="Arial" w:hAnsi="Arial" w:cs="Arial"/>
          <w:b/>
        </w:rPr>
        <w:t xml:space="preserve">existent </w:t>
      </w:r>
      <w:r w:rsidRPr="00DA4DF4">
        <w:rPr>
          <w:rFonts w:ascii="Arial" w:hAnsi="Arial" w:cs="Arial"/>
          <w:b/>
        </w:rPr>
        <w:t>en 2015</w:t>
      </w:r>
      <w:r>
        <w:rPr>
          <w:rFonts w:ascii="Arial" w:hAnsi="Arial" w:cs="Arial"/>
        </w:rPr>
        <w:t>.</w:t>
      </w:r>
      <w:r w:rsidR="008102B8">
        <w:rPr>
          <w:rFonts w:ascii="Arial" w:hAnsi="Arial" w:cs="Arial"/>
        </w:rPr>
        <w:t xml:space="preserve"> La pauvreté non monétaire </w:t>
      </w:r>
      <w:r w:rsidR="00232A17">
        <w:rPr>
          <w:rFonts w:ascii="Arial" w:hAnsi="Arial" w:cs="Arial"/>
        </w:rPr>
        <w:t xml:space="preserve">a </w:t>
      </w:r>
      <w:r w:rsidR="007C1557" w:rsidRPr="007C1557">
        <w:rPr>
          <w:rFonts w:ascii="Arial" w:hAnsi="Arial" w:cs="Arial"/>
        </w:rPr>
        <w:t>touch</w:t>
      </w:r>
      <w:r w:rsidR="00232A17">
        <w:rPr>
          <w:rFonts w:ascii="Arial" w:hAnsi="Arial" w:cs="Arial"/>
        </w:rPr>
        <w:t>é</w:t>
      </w:r>
      <w:r w:rsidR="007C1557" w:rsidRPr="007C1557">
        <w:rPr>
          <w:rFonts w:ascii="Arial" w:hAnsi="Arial" w:cs="Arial"/>
        </w:rPr>
        <w:t xml:space="preserve"> moins de 30% de la population à l’exception des départements de l’</w:t>
      </w:r>
      <w:r w:rsidR="007C1557" w:rsidRPr="007C1557">
        <w:rPr>
          <w:rFonts w:ascii="Arial" w:eastAsia="Times New Roman" w:hAnsi="Arial" w:cs="Arial"/>
          <w:lang w:eastAsia="fr-FR"/>
        </w:rPr>
        <w:t>Atacora (45,2%), du Couffo (43,7%), du Mono (40,7%), de l’Alibori (37,7%), du Zou (33,8%) et du Plateau (30,8%)</w:t>
      </w:r>
      <w:r w:rsidR="007C1557" w:rsidRPr="007C1557">
        <w:rPr>
          <w:rFonts w:ascii="Arial" w:hAnsi="Arial" w:cs="Arial"/>
        </w:rPr>
        <w:t xml:space="preserve">. Par contre, </w:t>
      </w:r>
      <w:r w:rsidR="00232A17">
        <w:rPr>
          <w:rFonts w:ascii="Arial" w:hAnsi="Arial" w:cs="Arial"/>
        </w:rPr>
        <w:t>six</w:t>
      </w:r>
      <w:r w:rsidR="007C1557" w:rsidRPr="007C1557">
        <w:rPr>
          <w:rFonts w:ascii="Arial" w:hAnsi="Arial" w:cs="Arial"/>
        </w:rPr>
        <w:t xml:space="preserve"> (</w:t>
      </w:r>
      <w:r w:rsidR="00232A17">
        <w:rPr>
          <w:rFonts w:ascii="Arial" w:hAnsi="Arial" w:cs="Arial"/>
        </w:rPr>
        <w:t>6</w:t>
      </w:r>
      <w:r w:rsidR="007C1557" w:rsidRPr="007C1557">
        <w:rPr>
          <w:rFonts w:ascii="Arial" w:hAnsi="Arial" w:cs="Arial"/>
        </w:rPr>
        <w:t>) départements ont une incidence de pauvreté non monétaire en-dessous de la moyenne nationale. Au nombre de ces départements, il convient de citer l’Ouémé (14,0%),</w:t>
      </w:r>
      <w:r w:rsidR="008E764F">
        <w:rPr>
          <w:rFonts w:ascii="Arial" w:hAnsi="Arial" w:cs="Arial"/>
        </w:rPr>
        <w:t xml:space="preserve"> </w:t>
      </w:r>
      <w:r w:rsidR="007C1557" w:rsidRPr="007C1557">
        <w:rPr>
          <w:rFonts w:ascii="Arial" w:hAnsi="Arial" w:cs="Arial"/>
        </w:rPr>
        <w:t xml:space="preserve">la Donga (18,0%), l’Atlantique (18,1%), le </w:t>
      </w:r>
      <w:r w:rsidR="007C1557" w:rsidRPr="007C1557">
        <w:rPr>
          <w:rFonts w:ascii="Arial" w:eastAsia="Times New Roman" w:hAnsi="Arial" w:cs="Arial"/>
          <w:lang w:eastAsia="fr-FR"/>
        </w:rPr>
        <w:t>Littoral (21,4%)</w:t>
      </w:r>
      <w:r w:rsidR="00DD20C1">
        <w:rPr>
          <w:rFonts w:ascii="Arial" w:eastAsia="Times New Roman" w:hAnsi="Arial" w:cs="Arial"/>
          <w:lang w:eastAsia="fr-FR"/>
        </w:rPr>
        <w:t xml:space="preserve"> et </w:t>
      </w:r>
      <w:r w:rsidR="00DD20C1" w:rsidRPr="00324942">
        <w:rPr>
          <w:rFonts w:ascii="Arial" w:eastAsia="Times New Roman" w:hAnsi="Arial" w:cs="Arial"/>
          <w:lang w:eastAsia="fr-FR"/>
        </w:rPr>
        <w:t>les Collines (</w:t>
      </w:r>
      <w:r w:rsidR="00DD20C1">
        <w:rPr>
          <w:rFonts w:ascii="Arial" w:eastAsia="Times New Roman" w:hAnsi="Arial" w:cs="Arial"/>
          <w:lang w:eastAsia="fr-FR"/>
        </w:rPr>
        <w:t>25,6</w:t>
      </w:r>
      <w:r w:rsidR="00DD20C1" w:rsidRPr="00324942">
        <w:rPr>
          <w:rFonts w:ascii="Arial" w:eastAsia="Times New Roman" w:hAnsi="Arial" w:cs="Arial"/>
          <w:lang w:eastAsia="fr-FR"/>
        </w:rPr>
        <w:t>%)</w:t>
      </w:r>
      <w:r w:rsidR="00DD20C1">
        <w:rPr>
          <w:rFonts w:ascii="Arial" w:eastAsia="Times New Roman" w:hAnsi="Arial" w:cs="Arial"/>
          <w:lang w:eastAsia="fr-FR"/>
        </w:rPr>
        <w:t xml:space="preserve">. </w:t>
      </w:r>
    </w:p>
    <w:p w:rsidR="00A77EAB" w:rsidRDefault="00A77EAB" w:rsidP="00A77EAB">
      <w:pPr>
        <w:jc w:val="both"/>
        <w:rPr>
          <w:rFonts w:ascii="Arial" w:eastAsia="Times New Roman" w:hAnsi="Arial" w:cs="Arial"/>
          <w:lang w:eastAsia="fr-FR"/>
        </w:rPr>
      </w:pPr>
    </w:p>
    <w:p w:rsidR="00314ED8" w:rsidRDefault="00C216A8" w:rsidP="00B76C82">
      <w:pPr>
        <w:spacing w:after="0" w:line="240" w:lineRule="auto"/>
        <w:jc w:val="both"/>
        <w:rPr>
          <w:rFonts w:ascii="Arial" w:hAnsi="Arial" w:cs="Arial"/>
          <w:b/>
        </w:rPr>
      </w:pPr>
      <w:bookmarkStart w:id="21" w:name="_Toc432425310"/>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6</w:t>
      </w:r>
      <w:r w:rsidR="00115FEB" w:rsidRPr="00C216A8">
        <w:rPr>
          <w:rFonts w:ascii="Arial" w:hAnsi="Arial" w:cs="Arial"/>
        </w:rPr>
        <w:fldChar w:fldCharType="end"/>
      </w:r>
      <w:r w:rsidR="007C1557" w:rsidRPr="007C1557">
        <w:rPr>
          <w:rFonts w:ascii="Arial" w:hAnsi="Arial" w:cs="Arial"/>
          <w:b/>
        </w:rPr>
        <w:t xml:space="preserve">: </w:t>
      </w:r>
      <w:r w:rsidR="007C1557" w:rsidRPr="007C1557">
        <w:rPr>
          <w:rFonts w:ascii="Arial" w:hAnsi="Arial" w:cs="Arial"/>
        </w:rPr>
        <w:t>Indices de pauvreté non monétaire par département</w:t>
      </w:r>
      <w:bookmarkEnd w:id="21"/>
    </w:p>
    <w:tbl>
      <w:tblPr>
        <w:tblW w:w="8939" w:type="dxa"/>
        <w:tblCellMar>
          <w:left w:w="70" w:type="dxa"/>
          <w:right w:w="70" w:type="dxa"/>
        </w:tblCellMar>
        <w:tblLook w:val="04A0" w:firstRow="1" w:lastRow="0" w:firstColumn="1" w:lastColumn="0" w:noHBand="0" w:noVBand="1"/>
      </w:tblPr>
      <w:tblGrid>
        <w:gridCol w:w="3019"/>
        <w:gridCol w:w="2960"/>
        <w:gridCol w:w="2960"/>
      </w:tblGrid>
      <w:tr w:rsidR="00324942" w:rsidRPr="00324942" w:rsidTr="00324942">
        <w:trPr>
          <w:trHeight w:val="299"/>
        </w:trPr>
        <w:tc>
          <w:tcPr>
            <w:tcW w:w="3019" w:type="dxa"/>
            <w:tcBorders>
              <w:top w:val="double" w:sz="6" w:space="0" w:color="auto"/>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960" w:type="dxa"/>
            <w:tcBorders>
              <w:top w:val="double" w:sz="6" w:space="0" w:color="auto"/>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2011</w:t>
            </w:r>
          </w:p>
        </w:tc>
        <w:tc>
          <w:tcPr>
            <w:tcW w:w="2960" w:type="dxa"/>
            <w:tcBorders>
              <w:top w:val="double" w:sz="6" w:space="0" w:color="auto"/>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2015</w:t>
            </w:r>
          </w:p>
        </w:tc>
      </w:tr>
      <w:tr w:rsidR="00324942" w:rsidRPr="00324942" w:rsidTr="00324942">
        <w:trPr>
          <w:trHeight w:val="340"/>
        </w:trPr>
        <w:tc>
          <w:tcPr>
            <w:tcW w:w="3019" w:type="dxa"/>
            <w:tcBorders>
              <w:top w:val="nil"/>
              <w:left w:val="nil"/>
              <w:bottom w:val="nil"/>
              <w:right w:val="nil"/>
            </w:tcBorders>
            <w:shd w:val="clear" w:color="auto" w:fill="auto"/>
            <w:vAlign w:val="center"/>
            <w:hideMark/>
          </w:tcPr>
          <w:p w:rsidR="00314ED8" w:rsidRDefault="00314ED8">
            <w:pPr>
              <w:spacing w:after="0" w:line="240" w:lineRule="auto"/>
              <w:jc w:val="center"/>
              <w:rPr>
                <w:rFonts w:ascii="Arial" w:eastAsia="Times New Roman" w:hAnsi="Arial" w:cs="Arial"/>
                <w:color w:val="000000"/>
                <w:lang w:eastAsia="fr-FR"/>
              </w:rPr>
            </w:pPr>
          </w:p>
        </w:tc>
        <w:tc>
          <w:tcPr>
            <w:tcW w:w="2960" w:type="dxa"/>
            <w:tcBorders>
              <w:top w:val="single" w:sz="8" w:space="0" w:color="000000"/>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 xml:space="preserve">0 </w:t>
            </w:r>
            <w:r w:rsidRPr="007C1557">
              <w:rPr>
                <w:rFonts w:ascii="Arial" w:eastAsia="Times New Roman" w:hAnsi="Arial" w:cs="Arial"/>
                <w:color w:val="000000"/>
                <w:lang w:eastAsia="fr-FR"/>
              </w:rPr>
              <w:t>(%)</w:t>
            </w:r>
          </w:p>
        </w:tc>
        <w:tc>
          <w:tcPr>
            <w:tcW w:w="2960" w:type="dxa"/>
            <w:tcBorders>
              <w:top w:val="single" w:sz="8" w:space="0" w:color="000000"/>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w:t>
            </w:r>
            <w:r w:rsidRPr="007C1557">
              <w:rPr>
                <w:rFonts w:ascii="Arial" w:eastAsia="Times New Roman" w:hAnsi="Arial" w:cs="Arial"/>
                <w:color w:val="000000"/>
                <w:vertAlign w:val="subscript"/>
                <w:lang w:eastAsia="fr-FR"/>
              </w:rPr>
              <w:t xml:space="preserve">0 </w:t>
            </w:r>
            <w:r w:rsidRPr="007C1557">
              <w:rPr>
                <w:rFonts w:ascii="Arial" w:eastAsia="Times New Roman" w:hAnsi="Arial" w:cs="Arial"/>
                <w:color w:val="000000"/>
                <w:lang w:eastAsia="fr-FR"/>
              </w:rPr>
              <w:t>(%)</w:t>
            </w:r>
          </w:p>
        </w:tc>
      </w:tr>
      <w:tr w:rsidR="00324942" w:rsidRPr="00324942" w:rsidTr="00324942">
        <w:trPr>
          <w:trHeight w:val="271"/>
        </w:trPr>
        <w:tc>
          <w:tcPr>
            <w:tcW w:w="3019" w:type="dxa"/>
            <w:tcBorders>
              <w:top w:val="single" w:sz="8" w:space="0" w:color="000000"/>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Alibori</w:t>
            </w:r>
          </w:p>
        </w:tc>
        <w:tc>
          <w:tcPr>
            <w:tcW w:w="2960" w:type="dxa"/>
            <w:tcBorders>
              <w:top w:val="single" w:sz="8" w:space="0" w:color="000000"/>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41,4</w:t>
            </w:r>
          </w:p>
        </w:tc>
        <w:tc>
          <w:tcPr>
            <w:tcW w:w="2960" w:type="dxa"/>
            <w:tcBorders>
              <w:top w:val="single" w:sz="8" w:space="0" w:color="000000"/>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37,7</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Atacora</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58,4</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45,2</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Atlantique</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24,3</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18,1</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Borgou</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29,5</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29,8</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Collines</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22,6</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25,6</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Couffo</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37,2</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43,7</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Donga</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23,8</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18,0</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Littoral</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21,4</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Mono</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41,2</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40,7</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Ouémé</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14,0</w:t>
            </w:r>
          </w:p>
        </w:tc>
      </w:tr>
      <w:tr w:rsidR="00324942" w:rsidRPr="00324942" w:rsidTr="00324942">
        <w:trPr>
          <w:trHeight w:val="271"/>
        </w:trPr>
        <w:tc>
          <w:tcPr>
            <w:tcW w:w="3019" w:type="dxa"/>
            <w:tcBorders>
              <w:top w:val="nil"/>
              <w:left w:val="nil"/>
              <w:bottom w:val="nil"/>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Plateau</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28,1</w:t>
            </w:r>
          </w:p>
        </w:tc>
        <w:tc>
          <w:tcPr>
            <w:tcW w:w="2960" w:type="dxa"/>
            <w:tcBorders>
              <w:top w:val="nil"/>
              <w:left w:val="nil"/>
              <w:bottom w:val="nil"/>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30,8</w:t>
            </w:r>
          </w:p>
        </w:tc>
      </w:tr>
      <w:tr w:rsidR="00324942" w:rsidRPr="00324942" w:rsidTr="00324942">
        <w:trPr>
          <w:trHeight w:val="285"/>
        </w:trPr>
        <w:tc>
          <w:tcPr>
            <w:tcW w:w="3019" w:type="dxa"/>
            <w:tcBorders>
              <w:top w:val="nil"/>
              <w:left w:val="nil"/>
              <w:bottom w:val="single" w:sz="8" w:space="0" w:color="000000"/>
              <w:right w:val="nil"/>
            </w:tcBorders>
            <w:shd w:val="clear" w:color="auto" w:fill="auto"/>
            <w:vAlign w:val="center"/>
            <w:hideMark/>
          </w:tcPr>
          <w:p w:rsidR="00314ED8" w:rsidRDefault="007C1557">
            <w:pPr>
              <w:spacing w:after="0" w:line="240" w:lineRule="auto"/>
              <w:rPr>
                <w:rFonts w:ascii="Arial" w:eastAsia="Times New Roman" w:hAnsi="Arial" w:cs="Arial"/>
                <w:bCs/>
                <w:color w:val="000000"/>
                <w:lang w:eastAsia="fr-FR"/>
              </w:rPr>
            </w:pPr>
            <w:r w:rsidRPr="007C1557">
              <w:rPr>
                <w:rFonts w:ascii="Arial" w:eastAsia="Times New Roman" w:hAnsi="Arial" w:cs="Arial"/>
                <w:bCs/>
                <w:color w:val="000000"/>
                <w:lang w:eastAsia="fr-FR"/>
              </w:rPr>
              <w:t>Zou</w:t>
            </w:r>
          </w:p>
        </w:tc>
        <w:tc>
          <w:tcPr>
            <w:tcW w:w="2960" w:type="dxa"/>
            <w:tcBorders>
              <w:top w:val="nil"/>
              <w:left w:val="nil"/>
              <w:bottom w:val="single" w:sz="8" w:space="0" w:color="000000"/>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27,9</w:t>
            </w:r>
          </w:p>
        </w:tc>
        <w:tc>
          <w:tcPr>
            <w:tcW w:w="2960" w:type="dxa"/>
            <w:tcBorders>
              <w:top w:val="nil"/>
              <w:left w:val="nil"/>
              <w:bottom w:val="single" w:sz="8" w:space="0" w:color="000000"/>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33,8</w:t>
            </w:r>
          </w:p>
        </w:tc>
      </w:tr>
      <w:tr w:rsidR="00324942" w:rsidRPr="00324942" w:rsidTr="00324942">
        <w:trPr>
          <w:trHeight w:val="285"/>
        </w:trPr>
        <w:tc>
          <w:tcPr>
            <w:tcW w:w="3019" w:type="dxa"/>
            <w:tcBorders>
              <w:top w:val="nil"/>
              <w:left w:val="nil"/>
              <w:bottom w:val="double" w:sz="6" w:space="0" w:color="auto"/>
              <w:right w:val="nil"/>
            </w:tcBorders>
            <w:shd w:val="clear" w:color="auto" w:fill="auto"/>
            <w:vAlign w:val="center"/>
            <w:hideMark/>
          </w:tcPr>
          <w:p w:rsidR="00314ED8" w:rsidRDefault="00E45A93">
            <w:pPr>
              <w:spacing w:after="0" w:line="240" w:lineRule="auto"/>
              <w:rPr>
                <w:rFonts w:ascii="Arial" w:eastAsia="Times New Roman" w:hAnsi="Arial" w:cs="Arial"/>
                <w:bCs/>
                <w:color w:val="000000"/>
                <w:lang w:eastAsia="fr-FR"/>
              </w:rPr>
            </w:pPr>
            <w:r>
              <w:rPr>
                <w:rFonts w:ascii="Arial" w:eastAsia="Times New Roman" w:hAnsi="Arial" w:cs="Arial"/>
                <w:bCs/>
                <w:color w:val="000000"/>
                <w:lang w:eastAsia="fr-FR"/>
              </w:rPr>
              <w:t>Ensemble</w:t>
            </w:r>
          </w:p>
        </w:tc>
        <w:tc>
          <w:tcPr>
            <w:tcW w:w="2960" w:type="dxa"/>
            <w:tcBorders>
              <w:top w:val="nil"/>
              <w:left w:val="nil"/>
              <w:bottom w:val="double" w:sz="6" w:space="0" w:color="auto"/>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30,2</w:t>
            </w:r>
          </w:p>
        </w:tc>
        <w:tc>
          <w:tcPr>
            <w:tcW w:w="2960" w:type="dxa"/>
            <w:tcBorders>
              <w:top w:val="nil"/>
              <w:left w:val="nil"/>
              <w:bottom w:val="double" w:sz="6" w:space="0" w:color="auto"/>
              <w:right w:val="nil"/>
            </w:tcBorders>
            <w:shd w:val="clear" w:color="auto" w:fill="auto"/>
            <w:vAlign w:val="center"/>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29,4</w:t>
            </w:r>
          </w:p>
        </w:tc>
      </w:tr>
    </w:tbl>
    <w:p w:rsidR="00314ED8" w:rsidRDefault="007C1557">
      <w:pPr>
        <w:widowControl w:val="0"/>
        <w:autoSpaceDE w:val="0"/>
        <w:autoSpaceDN w:val="0"/>
        <w:adjustRightInd w:val="0"/>
        <w:spacing w:after="0" w:line="240" w:lineRule="auto"/>
        <w:jc w:val="both"/>
        <w:rPr>
          <w:rFonts w:ascii="Arial" w:eastAsia="Cambria" w:hAnsi="Arial" w:cs="Arial"/>
        </w:rPr>
      </w:pPr>
      <w:r w:rsidRPr="007C1557">
        <w:rPr>
          <w:rFonts w:ascii="Arial" w:eastAsia="Cambria" w:hAnsi="Arial" w:cs="Arial"/>
          <w:u w:val="single"/>
        </w:rPr>
        <w:t>Source</w:t>
      </w:r>
      <w:r w:rsidRPr="007C1557">
        <w:rPr>
          <w:rFonts w:ascii="Arial" w:eastAsia="Cambria" w:hAnsi="Arial" w:cs="Arial"/>
        </w:rPr>
        <w:t xml:space="preserve"> : </w:t>
      </w:r>
      <w:r w:rsidRPr="007C1557">
        <w:rPr>
          <w:rFonts w:ascii="Arial" w:hAnsi="Arial" w:cs="Arial"/>
          <w:color w:val="000000"/>
        </w:rPr>
        <w:t>INSAE, EMICoV 2011 et  2015</w:t>
      </w:r>
    </w:p>
    <w:p w:rsidR="00314ED8" w:rsidRDefault="00314ED8">
      <w:pPr>
        <w:tabs>
          <w:tab w:val="left" w:pos="1253"/>
        </w:tabs>
        <w:ind w:left="51"/>
        <w:jc w:val="both"/>
        <w:rPr>
          <w:rFonts w:ascii="Arial" w:hAnsi="Arial" w:cs="Arial"/>
        </w:rPr>
      </w:pPr>
    </w:p>
    <w:p w:rsidR="00314ED8" w:rsidRDefault="00617590">
      <w:pPr>
        <w:jc w:val="both"/>
        <w:rPr>
          <w:rFonts w:ascii="Arial" w:hAnsi="Arial" w:cs="Arial"/>
        </w:rPr>
      </w:pPr>
      <w:r>
        <w:rPr>
          <w:rFonts w:ascii="Arial" w:eastAsia="Times New Roman" w:hAnsi="Arial" w:cs="Arial"/>
          <w:lang w:eastAsia="fr-FR"/>
        </w:rPr>
        <w:t xml:space="preserve">Par rapport à 2011, </w:t>
      </w:r>
      <w:r w:rsidR="00B93FE5">
        <w:rPr>
          <w:rFonts w:ascii="Arial" w:eastAsia="Times New Roman" w:hAnsi="Arial" w:cs="Arial"/>
          <w:lang w:eastAsia="fr-FR"/>
        </w:rPr>
        <w:t>les conditions d’existence</w:t>
      </w:r>
      <w:r w:rsidR="008102B8">
        <w:rPr>
          <w:rFonts w:ascii="Arial" w:eastAsia="Times New Roman" w:hAnsi="Arial" w:cs="Arial"/>
          <w:lang w:eastAsia="fr-FR"/>
        </w:rPr>
        <w:t xml:space="preserve"> des individus se sont relativement</w:t>
      </w:r>
      <w:r w:rsidR="007C1557" w:rsidRPr="007C1557">
        <w:rPr>
          <w:rFonts w:ascii="Arial" w:eastAsia="Times New Roman" w:hAnsi="Arial" w:cs="Arial"/>
          <w:lang w:eastAsia="fr-FR"/>
        </w:rPr>
        <w:t xml:space="preserve"> améliorée</w:t>
      </w:r>
      <w:r w:rsidR="008102B8">
        <w:rPr>
          <w:rFonts w:ascii="Arial" w:eastAsia="Times New Roman" w:hAnsi="Arial" w:cs="Arial"/>
          <w:lang w:eastAsia="fr-FR"/>
        </w:rPr>
        <w:t>s</w:t>
      </w:r>
      <w:r w:rsidR="007C1557" w:rsidRPr="007C1557">
        <w:rPr>
          <w:rFonts w:ascii="Arial" w:eastAsia="Times New Roman" w:hAnsi="Arial" w:cs="Arial"/>
          <w:lang w:eastAsia="fr-FR"/>
        </w:rPr>
        <w:t xml:space="preserve">. En effet, six (6) départements ont connu une amélioration de l’incidence de pauvreté non </w:t>
      </w:r>
      <w:r w:rsidR="007C1557" w:rsidRPr="007C1557">
        <w:rPr>
          <w:rFonts w:ascii="Arial" w:eastAsia="Times New Roman" w:hAnsi="Arial" w:cs="Arial"/>
          <w:lang w:eastAsia="fr-FR"/>
        </w:rPr>
        <w:lastRenderedPageBreak/>
        <w:t>monétaire en</w:t>
      </w:r>
      <w:r w:rsidR="008102B8">
        <w:rPr>
          <w:rFonts w:ascii="Arial" w:eastAsia="Times New Roman" w:hAnsi="Arial" w:cs="Arial"/>
          <w:lang w:eastAsia="fr-FR"/>
        </w:rPr>
        <w:t xml:space="preserve">tre 2011 et </w:t>
      </w:r>
      <w:r w:rsidR="007C1557" w:rsidRPr="007C1557">
        <w:rPr>
          <w:rFonts w:ascii="Arial" w:eastAsia="Times New Roman" w:hAnsi="Arial" w:cs="Arial"/>
          <w:lang w:eastAsia="fr-FR"/>
        </w:rPr>
        <w:t>2015</w:t>
      </w:r>
      <w:r w:rsidR="008102B8">
        <w:rPr>
          <w:rFonts w:ascii="Arial" w:eastAsia="Times New Roman" w:hAnsi="Arial" w:cs="Arial"/>
          <w:lang w:eastAsia="fr-FR"/>
        </w:rPr>
        <w:t xml:space="preserve">. </w:t>
      </w:r>
      <w:r w:rsidR="007C1557" w:rsidRPr="007C1557">
        <w:rPr>
          <w:rFonts w:ascii="Arial" w:eastAsia="Times New Roman" w:hAnsi="Arial" w:cs="Arial"/>
          <w:lang w:eastAsia="fr-FR"/>
        </w:rPr>
        <w:t>Les départements de l’Atacora (-13,2 points), de l’Atlantique (-6,2 points), de l’Ouémé (-6,1 points),de la Donga (-5,8 points) et</w:t>
      </w:r>
      <w:r w:rsidR="008E764F">
        <w:rPr>
          <w:rFonts w:ascii="Arial" w:eastAsia="Times New Roman" w:hAnsi="Arial" w:cs="Arial"/>
          <w:lang w:eastAsia="fr-FR"/>
        </w:rPr>
        <w:t xml:space="preserve"> </w:t>
      </w:r>
      <w:r w:rsidR="007C1557" w:rsidRPr="007C1557">
        <w:rPr>
          <w:rFonts w:ascii="Arial" w:eastAsia="Times New Roman" w:hAnsi="Arial" w:cs="Arial"/>
          <w:lang w:eastAsia="fr-FR"/>
        </w:rPr>
        <w:t>de l’Alibori (-3,7 points)ont  enregistré une amélioration  plus importante qui se situe au-dessus de celle enregistré au niveau national (-1,4 point)</w:t>
      </w:r>
      <w:r w:rsidR="007C1557" w:rsidRPr="007C1557">
        <w:rPr>
          <w:rFonts w:ascii="Arial" w:hAnsi="Arial" w:cs="Arial"/>
        </w:rPr>
        <w:t xml:space="preserve"> (voir tableau 6).</w:t>
      </w:r>
    </w:p>
    <w:p w:rsidR="00950C27" w:rsidRDefault="00950C27">
      <w:pPr>
        <w:spacing w:after="0" w:line="240" w:lineRule="auto"/>
        <w:jc w:val="both"/>
        <w:rPr>
          <w:rFonts w:ascii="Arial" w:hAnsi="Arial" w:cs="Arial"/>
        </w:rPr>
      </w:pPr>
    </w:p>
    <w:p w:rsidR="00237E2B" w:rsidRDefault="00237E2B">
      <w:pPr>
        <w:spacing w:after="0" w:line="240" w:lineRule="auto"/>
        <w:jc w:val="both"/>
        <w:rPr>
          <w:rFonts w:ascii="Arial" w:hAnsi="Arial" w:cs="Arial"/>
        </w:rPr>
      </w:pPr>
    </w:p>
    <w:p w:rsidR="00314ED8" w:rsidRDefault="000E28C5">
      <w:pPr>
        <w:spacing w:after="0" w:line="240" w:lineRule="auto"/>
        <w:jc w:val="both"/>
        <w:rPr>
          <w:rFonts w:ascii="Arial" w:hAnsi="Arial" w:cs="Arial"/>
          <w:b/>
        </w:rPr>
      </w:pPr>
      <w:bookmarkStart w:id="22" w:name="_Toc433391921"/>
      <w:r w:rsidRPr="000E28C5">
        <w:rPr>
          <w:rFonts w:ascii="Arial" w:hAnsi="Arial" w:cs="Arial"/>
        </w:rPr>
        <w:t xml:space="preserve">Figure </w:t>
      </w:r>
      <w:r w:rsidR="00115FEB" w:rsidRPr="000E28C5">
        <w:rPr>
          <w:rFonts w:ascii="Arial" w:hAnsi="Arial" w:cs="Arial"/>
        </w:rPr>
        <w:fldChar w:fldCharType="begin"/>
      </w:r>
      <w:r w:rsidRPr="000E28C5">
        <w:rPr>
          <w:rFonts w:ascii="Arial" w:hAnsi="Arial" w:cs="Arial"/>
        </w:rPr>
        <w:instrText xml:space="preserve"> SEQ Figure \* ARABIC </w:instrText>
      </w:r>
      <w:r w:rsidR="00115FEB" w:rsidRPr="000E28C5">
        <w:rPr>
          <w:rFonts w:ascii="Arial" w:hAnsi="Arial" w:cs="Arial"/>
        </w:rPr>
        <w:fldChar w:fldCharType="separate"/>
      </w:r>
      <w:r w:rsidR="00DB55D3">
        <w:rPr>
          <w:rFonts w:ascii="Arial" w:hAnsi="Arial" w:cs="Arial"/>
          <w:noProof/>
        </w:rPr>
        <w:t>3</w:t>
      </w:r>
      <w:r w:rsidR="00115FEB" w:rsidRPr="000E28C5">
        <w:rPr>
          <w:rFonts w:ascii="Arial" w:hAnsi="Arial" w:cs="Arial"/>
        </w:rPr>
        <w:fldChar w:fldCharType="end"/>
      </w:r>
      <w:r w:rsidR="007C1557" w:rsidRPr="007C1557">
        <w:rPr>
          <w:rFonts w:ascii="Arial" w:hAnsi="Arial" w:cs="Arial"/>
          <w:b/>
        </w:rPr>
        <w:t xml:space="preserve">: </w:t>
      </w:r>
      <w:r w:rsidR="007C1557" w:rsidRPr="007C1557">
        <w:rPr>
          <w:rFonts w:ascii="Arial" w:hAnsi="Arial" w:cs="Arial"/>
        </w:rPr>
        <w:t>Etat d’aggravation de la pauvreté non monétaire dans les départements entre 2011 et 2015</w:t>
      </w:r>
      <w:bookmarkEnd w:id="22"/>
    </w:p>
    <w:p w:rsidR="00314ED8" w:rsidRDefault="003E6DBD">
      <w:pPr>
        <w:spacing w:after="0" w:line="240" w:lineRule="auto"/>
        <w:jc w:val="both"/>
        <w:rPr>
          <w:rFonts w:ascii="Arial" w:hAnsi="Arial" w:cs="Arial"/>
          <w:b/>
        </w:rPr>
      </w:pPr>
      <w:r>
        <w:rPr>
          <w:rFonts w:ascii="Arial" w:hAnsi="Arial" w:cs="Arial"/>
          <w:b/>
          <w:noProof/>
          <w:lang w:eastAsia="fr-FR"/>
        </w:rPr>
        <w:drawing>
          <wp:inline distT="0" distB="0" distL="0" distR="0">
            <wp:extent cx="5753100" cy="29241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753100" cy="2924175"/>
                    </a:xfrm>
                    <a:prstGeom prst="rect">
                      <a:avLst/>
                    </a:prstGeom>
                    <a:noFill/>
                    <a:ln w="9525">
                      <a:noFill/>
                      <a:miter lim="800000"/>
                      <a:headEnd/>
                      <a:tailEnd/>
                    </a:ln>
                  </pic:spPr>
                </pic:pic>
              </a:graphicData>
            </a:graphic>
          </wp:inline>
        </w:drawing>
      </w:r>
    </w:p>
    <w:p w:rsidR="00314ED8" w:rsidRDefault="007C1557">
      <w:pPr>
        <w:spacing w:after="0" w:line="240" w:lineRule="auto"/>
        <w:rPr>
          <w:rFonts w:ascii="Arial" w:hAnsi="Arial" w:cs="Arial"/>
        </w:rPr>
      </w:pPr>
      <w:r w:rsidRPr="007C1557">
        <w:rPr>
          <w:rFonts w:ascii="Arial" w:hAnsi="Arial" w:cs="Arial"/>
          <w:sz w:val="20"/>
          <w:szCs w:val="20"/>
          <w:u w:val="single"/>
        </w:rPr>
        <w:t>NB</w:t>
      </w:r>
      <w:r w:rsidRPr="007C1557">
        <w:rPr>
          <w:rFonts w:ascii="Arial" w:hAnsi="Arial" w:cs="Arial"/>
          <w:sz w:val="20"/>
          <w:szCs w:val="20"/>
        </w:rPr>
        <w:t> : Tous les départements situés au-dessus de la ligne de stabilité sont celles qui ont connu une aggravation de leur incidence de pauvreté en</w:t>
      </w:r>
      <w:r w:rsidR="005B2D2A">
        <w:rPr>
          <w:rFonts w:ascii="Arial" w:hAnsi="Arial" w:cs="Arial"/>
          <w:sz w:val="20"/>
          <w:szCs w:val="20"/>
        </w:rPr>
        <w:t>tre</w:t>
      </w:r>
      <w:r w:rsidRPr="007C1557">
        <w:rPr>
          <w:rFonts w:ascii="Arial" w:hAnsi="Arial" w:cs="Arial"/>
          <w:sz w:val="20"/>
          <w:szCs w:val="20"/>
        </w:rPr>
        <w:t xml:space="preserve"> 20</w:t>
      </w:r>
      <w:r w:rsidR="00A52355">
        <w:rPr>
          <w:rFonts w:ascii="Arial" w:hAnsi="Arial" w:cs="Arial"/>
          <w:sz w:val="20"/>
          <w:szCs w:val="20"/>
        </w:rPr>
        <w:t>11</w:t>
      </w:r>
      <w:r w:rsidRPr="007C1557">
        <w:rPr>
          <w:rFonts w:ascii="Arial" w:hAnsi="Arial" w:cs="Arial"/>
          <w:sz w:val="20"/>
          <w:szCs w:val="20"/>
        </w:rPr>
        <w:t xml:space="preserve"> et 201</w:t>
      </w:r>
      <w:r w:rsidR="00A52355">
        <w:rPr>
          <w:rFonts w:ascii="Arial" w:hAnsi="Arial" w:cs="Arial"/>
          <w:sz w:val="20"/>
          <w:szCs w:val="20"/>
        </w:rPr>
        <w:t>5</w:t>
      </w:r>
      <w:r w:rsidRPr="007C1557">
        <w:rPr>
          <w:rFonts w:ascii="Arial" w:hAnsi="Arial" w:cs="Arial"/>
          <w:sz w:val="20"/>
          <w:szCs w:val="20"/>
        </w:rPr>
        <w:t>.</w:t>
      </w:r>
    </w:p>
    <w:p w:rsidR="00314ED8" w:rsidRDefault="00314ED8">
      <w:pPr>
        <w:rPr>
          <w:rFonts w:ascii="Arial" w:hAnsi="Arial" w:cs="Arial"/>
          <w:b/>
          <w:color w:val="E36C0A"/>
          <w:sz w:val="24"/>
          <w:szCs w:val="24"/>
        </w:rPr>
      </w:pPr>
    </w:p>
    <w:tbl>
      <w:tblPr>
        <w:tblStyle w:val="Grilledutableau"/>
        <w:tblW w:w="0" w:type="auto"/>
        <w:tblInd w:w="250" w:type="dxa"/>
        <w:tblLook w:val="04A0" w:firstRow="1" w:lastRow="0" w:firstColumn="1" w:lastColumn="0" w:noHBand="0" w:noVBand="1"/>
      </w:tblPr>
      <w:tblGrid>
        <w:gridCol w:w="9038"/>
      </w:tblGrid>
      <w:tr w:rsidR="005B2D2A" w:rsidTr="00423BB4">
        <w:tc>
          <w:tcPr>
            <w:tcW w:w="9038" w:type="dxa"/>
            <w:shd w:val="clear" w:color="auto" w:fill="BFBFBF" w:themeFill="background1" w:themeFillShade="BF"/>
          </w:tcPr>
          <w:p w:rsidR="00314ED8" w:rsidRDefault="007C1557">
            <w:pPr>
              <w:pStyle w:val="Paragraphedeliste"/>
              <w:numPr>
                <w:ilvl w:val="0"/>
                <w:numId w:val="18"/>
              </w:numPr>
              <w:spacing w:after="200" w:line="276" w:lineRule="auto"/>
              <w:rPr>
                <w:rFonts w:ascii="Arial" w:hAnsi="Arial" w:cs="Arial"/>
              </w:rPr>
            </w:pPr>
            <w:r w:rsidRPr="007C1557">
              <w:rPr>
                <w:rFonts w:ascii="Arial" w:hAnsi="Arial" w:cs="Arial"/>
              </w:rPr>
              <w:t>Cadran A (Ouémé, Donga, Atlantique): Baisse en 2015 mais niveau en dessous de la moyenne nationale.</w:t>
            </w:r>
          </w:p>
          <w:p w:rsidR="00314ED8" w:rsidRDefault="007C1557">
            <w:pPr>
              <w:pStyle w:val="Paragraphedeliste"/>
              <w:numPr>
                <w:ilvl w:val="0"/>
                <w:numId w:val="18"/>
              </w:numPr>
              <w:spacing w:after="200" w:line="276" w:lineRule="auto"/>
              <w:rPr>
                <w:rFonts w:ascii="Arial" w:hAnsi="Arial" w:cs="Arial"/>
              </w:rPr>
            </w:pPr>
            <w:r w:rsidRPr="007C1557">
              <w:rPr>
                <w:rFonts w:ascii="Arial" w:hAnsi="Arial" w:cs="Arial"/>
              </w:rPr>
              <w:t xml:space="preserve">Cadran B (Alibori, Mono, Atacora): Baisse en 2015 mais niveau </w:t>
            </w:r>
            <w:r w:rsidR="005405FF" w:rsidRPr="007C1557">
              <w:rPr>
                <w:rFonts w:ascii="Arial" w:hAnsi="Arial" w:cs="Arial"/>
              </w:rPr>
              <w:t>au-dessus</w:t>
            </w:r>
            <w:r w:rsidRPr="007C1557">
              <w:rPr>
                <w:rFonts w:ascii="Arial" w:hAnsi="Arial" w:cs="Arial"/>
              </w:rPr>
              <w:t xml:space="preserve"> de la moyenne nationale.</w:t>
            </w:r>
          </w:p>
          <w:p w:rsidR="00314ED8" w:rsidRDefault="007C1557">
            <w:pPr>
              <w:pStyle w:val="Paragraphedeliste"/>
              <w:numPr>
                <w:ilvl w:val="0"/>
                <w:numId w:val="18"/>
              </w:numPr>
              <w:spacing w:after="200" w:line="276" w:lineRule="auto"/>
              <w:rPr>
                <w:rFonts w:ascii="Arial" w:hAnsi="Arial" w:cs="Arial"/>
                <w:b/>
                <w:color w:val="E36C0A"/>
                <w:sz w:val="24"/>
                <w:szCs w:val="24"/>
              </w:rPr>
            </w:pPr>
            <w:r w:rsidRPr="007C1557">
              <w:rPr>
                <w:rFonts w:ascii="Arial" w:hAnsi="Arial" w:cs="Arial"/>
              </w:rPr>
              <w:t>Cadran C (</w:t>
            </w:r>
            <w:r w:rsidR="005405FF" w:rsidRPr="007C1557">
              <w:rPr>
                <w:rFonts w:ascii="Arial" w:hAnsi="Arial" w:cs="Arial"/>
              </w:rPr>
              <w:t>Littoral</w:t>
            </w:r>
            <w:r w:rsidRPr="007C1557">
              <w:rPr>
                <w:rFonts w:ascii="Arial" w:hAnsi="Arial" w:cs="Arial"/>
              </w:rPr>
              <w:t>, Collines, Plateau, Borgou, Zou, Couffo): Hausse en 2015 par rapport à 2011.</w:t>
            </w:r>
          </w:p>
        </w:tc>
      </w:tr>
    </w:tbl>
    <w:p w:rsidR="00314ED8" w:rsidRDefault="00314ED8">
      <w:pPr>
        <w:pStyle w:val="Paragraphedeliste"/>
        <w:ind w:left="405"/>
        <w:rPr>
          <w:rFonts w:ascii="Arial" w:hAnsi="Arial" w:cs="Arial"/>
          <w:b/>
          <w:color w:val="E36C0A"/>
          <w:sz w:val="24"/>
          <w:szCs w:val="24"/>
        </w:rPr>
      </w:pPr>
    </w:p>
    <w:p w:rsidR="00314ED8" w:rsidRPr="00C216A8" w:rsidRDefault="00C216A8" w:rsidP="00C216A8">
      <w:pPr>
        <w:pStyle w:val="Titre2"/>
        <w:numPr>
          <w:ilvl w:val="0"/>
          <w:numId w:val="0"/>
        </w:numPr>
        <w:tabs>
          <w:tab w:val="clear" w:pos="284"/>
          <w:tab w:val="left" w:pos="0"/>
        </w:tabs>
        <w:spacing w:before="0" w:after="0"/>
        <w:ind w:left="360" w:hanging="360"/>
      </w:pPr>
      <w:bookmarkStart w:id="23" w:name="_Toc433391201"/>
      <w:r>
        <w:t>1.6.</w:t>
      </w:r>
      <w:r w:rsidR="007C1557" w:rsidRPr="00C216A8">
        <w:t xml:space="preserve"> Pauvreté subjective : une appréhension forte du risque de pauvreté mais en recul.</w:t>
      </w:r>
      <w:bookmarkEnd w:id="23"/>
    </w:p>
    <w:p w:rsidR="00C216A8" w:rsidRDefault="00C216A8" w:rsidP="00C216A8">
      <w:pPr>
        <w:spacing w:after="0"/>
        <w:jc w:val="both"/>
        <w:rPr>
          <w:rFonts w:ascii="Arial" w:hAnsi="Arial" w:cs="Arial"/>
        </w:rPr>
      </w:pPr>
    </w:p>
    <w:p w:rsidR="00314ED8" w:rsidRDefault="007C1557">
      <w:pPr>
        <w:jc w:val="both"/>
        <w:rPr>
          <w:rFonts w:ascii="Arial" w:hAnsi="Arial" w:cs="Arial"/>
        </w:rPr>
      </w:pPr>
      <w:r w:rsidRPr="007C1557">
        <w:rPr>
          <w:rFonts w:ascii="Arial" w:hAnsi="Arial" w:cs="Arial"/>
        </w:rPr>
        <w:t xml:space="preserve">Elle est captée à travers la perception que les individus ont du risque de pauvreté qu’ils pensent encourir pour eux-mêmes ou pour leurs proches, mais aussi sur leurs conditions de vie. </w:t>
      </w:r>
    </w:p>
    <w:p w:rsidR="00BD2F9C" w:rsidRDefault="00BD2F9C">
      <w:pPr>
        <w:spacing w:after="0" w:line="240" w:lineRule="auto"/>
        <w:jc w:val="both"/>
        <w:rPr>
          <w:rFonts w:ascii="Arial" w:hAnsi="Arial" w:cs="Arial"/>
          <w:b/>
        </w:rPr>
      </w:pPr>
    </w:p>
    <w:p w:rsidR="00BD2F9C" w:rsidRDefault="00BD2F9C">
      <w:pPr>
        <w:spacing w:after="0" w:line="240" w:lineRule="auto"/>
        <w:jc w:val="both"/>
        <w:rPr>
          <w:rFonts w:ascii="Arial" w:hAnsi="Arial" w:cs="Arial"/>
          <w:b/>
        </w:rPr>
      </w:pPr>
    </w:p>
    <w:p w:rsidR="00BD2F9C" w:rsidRDefault="00BD2F9C">
      <w:pPr>
        <w:spacing w:after="0" w:line="240" w:lineRule="auto"/>
        <w:jc w:val="both"/>
        <w:rPr>
          <w:rFonts w:ascii="Arial" w:hAnsi="Arial" w:cs="Arial"/>
          <w:b/>
        </w:rPr>
      </w:pPr>
    </w:p>
    <w:p w:rsidR="00BD2F9C" w:rsidRDefault="00BD2F9C">
      <w:pPr>
        <w:spacing w:after="0" w:line="240" w:lineRule="auto"/>
        <w:jc w:val="both"/>
        <w:rPr>
          <w:rFonts w:ascii="Arial" w:hAnsi="Arial" w:cs="Arial"/>
          <w:b/>
        </w:rPr>
      </w:pPr>
    </w:p>
    <w:p w:rsidR="00BD2F9C" w:rsidRDefault="00BD2F9C">
      <w:pPr>
        <w:spacing w:after="0" w:line="240" w:lineRule="auto"/>
        <w:jc w:val="both"/>
        <w:rPr>
          <w:rFonts w:ascii="Arial" w:hAnsi="Arial" w:cs="Arial"/>
          <w:b/>
        </w:rPr>
      </w:pPr>
    </w:p>
    <w:p w:rsidR="00314ED8" w:rsidRDefault="00423BB4">
      <w:pPr>
        <w:spacing w:after="0" w:line="240" w:lineRule="auto"/>
        <w:jc w:val="both"/>
        <w:rPr>
          <w:rFonts w:ascii="Arial" w:hAnsi="Arial" w:cs="Arial"/>
        </w:rPr>
      </w:pPr>
      <w:r>
        <w:rPr>
          <w:rFonts w:ascii="Arial" w:hAnsi="Arial" w:cs="Arial"/>
          <w:b/>
        </w:rPr>
        <w:lastRenderedPageBreak/>
        <w:t>E</w:t>
      </w:r>
      <w:r w:rsidRPr="000B459C">
        <w:rPr>
          <w:rFonts w:ascii="Arial" w:hAnsi="Arial" w:cs="Arial"/>
          <w:b/>
        </w:rPr>
        <w:t>ncadré</w:t>
      </w:r>
      <w:r>
        <w:rPr>
          <w:rFonts w:ascii="Arial" w:hAnsi="Arial" w:cs="Arial"/>
        </w:rPr>
        <w:t xml:space="preserve"> 2</w:t>
      </w:r>
      <w:r w:rsidRPr="000B459C">
        <w:rPr>
          <w:rFonts w:ascii="Arial" w:hAnsi="Arial" w:cs="Arial"/>
        </w:rPr>
        <w:t xml:space="preserve"> : </w:t>
      </w:r>
      <w:r>
        <w:rPr>
          <w:rFonts w:ascii="Arial" w:hAnsi="Arial" w:cs="Arial"/>
        </w:rPr>
        <w:t>Quelques indicateurs de la pauvreté subjective</w:t>
      </w:r>
    </w:p>
    <w:p w:rsidR="00314ED8" w:rsidRDefault="00DA1BC2">
      <w:pPr>
        <w:spacing w:after="0" w:line="240" w:lineRule="auto"/>
        <w:jc w:val="both"/>
        <w:rPr>
          <w:rFonts w:ascii="Arial" w:hAnsi="Arial" w:cs="Arial"/>
        </w:rPr>
      </w:pPr>
      <w:r>
        <w:rPr>
          <w:rFonts w:ascii="Arial" w:hAnsi="Arial" w:cs="Arial"/>
          <w:noProof/>
          <w:u w:val="single"/>
          <w:lang w:eastAsia="fr-FR"/>
        </w:rPr>
        <w:pict>
          <v:shape id="Text Box 7" o:spid="_x0000_s1027" type="#_x0000_t202" style="position:absolute;left:0;text-align:left;margin-left:0;margin-top:7.85pt;width:456.6pt;height:116.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" strokecolor="black [3213]" strokeweight="3pt">
            <v:stroke linestyle="thickThin"/>
            <v:shadow color="#868686"/>
            <v:textbox>
              <w:txbxContent>
                <w:p w:rsidR="004F1495" w:rsidRDefault="004F1495">
                  <w:pPr>
                    <w:jc w:val="both"/>
                    <w:rPr>
                      <w:rFonts w:ascii="Arial" w:hAnsi="Arial" w:cs="Arial"/>
                      <w:iCs/>
                      <w:sz w:val="18"/>
                      <w:szCs w:val="18"/>
                    </w:rPr>
                  </w:pPr>
                  <w:r w:rsidRPr="007C1557">
                    <w:rPr>
                      <w:rFonts w:ascii="Arial" w:hAnsi="Arial" w:cs="Arial"/>
                      <w:sz w:val="18"/>
                      <w:szCs w:val="18"/>
                    </w:rPr>
                    <w:t>D</w:t>
                  </w:r>
                  <w:r w:rsidRPr="007C1557">
                    <w:rPr>
                      <w:rFonts w:ascii="Arial" w:eastAsia="Calibri" w:hAnsi="Arial" w:cs="Arial"/>
                      <w:sz w:val="18"/>
                      <w:szCs w:val="18"/>
                    </w:rPr>
                    <w:t>eux questions, à plusieurs modalités de réponses, de perception générale</w:t>
                  </w:r>
                  <w:r w:rsidRPr="007C1557">
                    <w:rPr>
                      <w:rFonts w:ascii="Arial" w:hAnsi="Arial" w:cs="Arial"/>
                      <w:sz w:val="18"/>
                      <w:szCs w:val="18"/>
                    </w:rPr>
                    <w:t xml:space="preserve"> sont considérées</w:t>
                  </w:r>
                  <w:r w:rsidRPr="007C1557">
                    <w:rPr>
                      <w:rFonts w:ascii="Arial" w:eastAsia="Calibri" w:hAnsi="Arial" w:cs="Arial"/>
                      <w:sz w:val="18"/>
                      <w:szCs w:val="18"/>
                    </w:rPr>
                    <w:t xml:space="preserve">. </w:t>
                  </w:r>
                  <w:r w:rsidRPr="007C1557">
                    <w:rPr>
                      <w:rFonts w:ascii="Arial" w:hAnsi="Arial" w:cs="Arial"/>
                      <w:sz w:val="18"/>
                      <w:szCs w:val="18"/>
                    </w:rPr>
                    <w:t>La première  question int</w:t>
                  </w:r>
                  <w:r w:rsidRPr="007C1557">
                    <w:rPr>
                      <w:rFonts w:ascii="Arial" w:eastAsia="Calibri" w:hAnsi="Arial" w:cs="Arial"/>
                      <w:sz w:val="18"/>
                      <w:szCs w:val="18"/>
                    </w:rPr>
                    <w:t xml:space="preserve">erroge les ménages sur la manière dont ils perçoivent leur niveau de vie. Cinq réponses sont  possibles: " des 20% les plus pauvres ",  " des 20% moyennent pauvres ", " des 20% qui sont au milieu </w:t>
                  </w:r>
                  <w:r w:rsidRPr="007C1557">
                    <w:rPr>
                      <w:rFonts w:ascii="Arial" w:hAnsi="Arial" w:cs="Arial"/>
                      <w:sz w:val="18"/>
                      <w:szCs w:val="18"/>
                    </w:rPr>
                    <w:t xml:space="preserve">", </w:t>
                  </w:r>
                  <w:r w:rsidRPr="007C1557">
                    <w:rPr>
                      <w:rFonts w:ascii="Arial" w:eastAsia="Calibri" w:hAnsi="Arial" w:cs="Arial"/>
                      <w:sz w:val="18"/>
                      <w:szCs w:val="18"/>
                    </w:rPr>
                    <w:t xml:space="preserve"> " des 20% moyennent riches ", " des 20% les plus riches ".</w:t>
                  </w:r>
                  <w:r w:rsidRPr="007C1557">
                    <w:rPr>
                      <w:rFonts w:ascii="Arial" w:hAnsi="Arial" w:cs="Arial"/>
                      <w:sz w:val="18"/>
                      <w:szCs w:val="18"/>
                    </w:rPr>
                    <w:t xml:space="preserve"> La seconde porte sur l’opinion de l’individu par rapport à son niveau de vie et les </w:t>
                  </w:r>
                  <w:r w:rsidRPr="007C1557">
                    <w:rPr>
                      <w:rFonts w:ascii="Arial" w:eastAsia="Calibri" w:hAnsi="Arial" w:cs="Arial"/>
                      <w:sz w:val="18"/>
                      <w:szCs w:val="18"/>
                    </w:rPr>
                    <w:t>quatre modalités de réponses sont : - "</w:t>
                  </w:r>
                  <w:r w:rsidRPr="007C1557">
                    <w:rPr>
                      <w:rFonts w:ascii="Arial" w:hAnsi="Arial" w:cs="Arial"/>
                      <w:sz w:val="18"/>
                      <w:szCs w:val="18"/>
                    </w:rPr>
                    <w:t xml:space="preserve">vit </w:t>
                  </w:r>
                  <w:r w:rsidRPr="007C1557">
                    <w:rPr>
                      <w:rFonts w:ascii="Arial" w:eastAsia="Calibri" w:hAnsi="Arial" w:cs="Arial"/>
                      <w:sz w:val="18"/>
                      <w:szCs w:val="18"/>
                    </w:rPr>
                    <w:t>bien ", "</w:t>
                  </w:r>
                  <w:r w:rsidRPr="007C1557">
                    <w:rPr>
                      <w:rFonts w:ascii="Arial" w:hAnsi="Arial" w:cs="Arial"/>
                      <w:sz w:val="18"/>
                      <w:szCs w:val="18"/>
                    </w:rPr>
                    <w:t>Ca va à peu près</w:t>
                  </w:r>
                  <w:r w:rsidRPr="007C1557">
                    <w:rPr>
                      <w:rFonts w:ascii="Arial" w:eastAsia="Calibri" w:hAnsi="Arial" w:cs="Arial"/>
                      <w:sz w:val="18"/>
                      <w:szCs w:val="18"/>
                    </w:rPr>
                    <w:t>"</w:t>
                  </w:r>
                  <w:r w:rsidRPr="007C1557">
                    <w:rPr>
                      <w:rFonts w:ascii="Arial" w:hAnsi="Arial" w:cs="Arial"/>
                      <w:sz w:val="18"/>
                      <w:szCs w:val="18"/>
                    </w:rPr>
                    <w:t>,  </w:t>
                  </w:r>
                  <w:r w:rsidRPr="007C1557">
                    <w:rPr>
                      <w:rFonts w:ascii="Arial" w:eastAsia="Calibri" w:hAnsi="Arial" w:cs="Arial"/>
                      <w:sz w:val="18"/>
                      <w:szCs w:val="18"/>
                    </w:rPr>
                    <w:t xml:space="preserve"> " ça va moyennement et il faut faire attention ", "je vis difficilement"</w:t>
                  </w:r>
                  <w:r w:rsidRPr="007C1557">
                    <w:rPr>
                      <w:rFonts w:ascii="Arial" w:hAnsi="Arial" w:cs="Arial"/>
                      <w:sz w:val="18"/>
                      <w:szCs w:val="18"/>
                    </w:rPr>
                    <w:t>. La seconde question int</w:t>
                  </w:r>
                  <w:r w:rsidRPr="007C1557">
                    <w:rPr>
                      <w:rFonts w:ascii="Arial" w:eastAsia="Calibri" w:hAnsi="Arial" w:cs="Arial"/>
                      <w:sz w:val="18"/>
                      <w:szCs w:val="18"/>
                    </w:rPr>
                    <w:t xml:space="preserve">erroge les ménages sur la manière dont ils perçoivent leur niveau de vie. Cinq réponses sont  possibles: - " des 20% les plus pauvres ",  " des 20% moyennent pauvres ", " des 20% qui sont au milieu </w:t>
                  </w:r>
                  <w:r w:rsidRPr="007C1557">
                    <w:rPr>
                      <w:rFonts w:ascii="Arial" w:hAnsi="Arial" w:cs="Arial"/>
                      <w:sz w:val="18"/>
                      <w:szCs w:val="18"/>
                    </w:rPr>
                    <w:t xml:space="preserve">", </w:t>
                  </w:r>
                  <w:r w:rsidRPr="007C1557">
                    <w:rPr>
                      <w:rFonts w:ascii="Arial" w:eastAsia="Calibri" w:hAnsi="Arial" w:cs="Arial"/>
                      <w:sz w:val="18"/>
                      <w:szCs w:val="18"/>
                    </w:rPr>
                    <w:t xml:space="preserve"> " des 20% moyennent riches ", " des 20% les plus riches ". </w:t>
                  </w:r>
                </w:p>
              </w:txbxContent>
            </v:textbox>
            <w10:wrap type="square"/>
          </v:shape>
        </w:pict>
      </w:r>
      <w:r w:rsidR="007C1557" w:rsidRPr="007C1557">
        <w:rPr>
          <w:rFonts w:ascii="Arial" w:eastAsia="Cambria" w:hAnsi="Arial" w:cs="Arial"/>
          <w:u w:val="single"/>
        </w:rPr>
        <w:t>Source</w:t>
      </w:r>
      <w:r w:rsidR="006A5D70" w:rsidRPr="00983585">
        <w:rPr>
          <w:rFonts w:ascii="Arial" w:eastAsia="Cambria" w:hAnsi="Arial" w:cs="Arial"/>
        </w:rPr>
        <w:t xml:space="preserve"> : INSAE, </w:t>
      </w:r>
      <w:r w:rsidR="006A5D70">
        <w:rPr>
          <w:rFonts w:ascii="Arial" w:eastAsia="Cambria" w:hAnsi="Arial" w:cs="Arial"/>
        </w:rPr>
        <w:t>EMICoV, 2015</w:t>
      </w:r>
    </w:p>
    <w:p w:rsidR="008E764F" w:rsidRDefault="008E764F">
      <w:pPr>
        <w:jc w:val="both"/>
        <w:rPr>
          <w:rFonts w:ascii="Arial" w:hAnsi="Arial" w:cs="Arial"/>
        </w:rPr>
      </w:pPr>
    </w:p>
    <w:p w:rsidR="00314ED8" w:rsidRDefault="006A5D70">
      <w:pPr>
        <w:jc w:val="both"/>
        <w:rPr>
          <w:rFonts w:ascii="Arial" w:hAnsi="Arial" w:cs="Arial"/>
        </w:rPr>
      </w:pPr>
      <w:r>
        <w:rPr>
          <w:rFonts w:ascii="Arial" w:hAnsi="Arial" w:cs="Arial"/>
        </w:rPr>
        <w:t xml:space="preserve">En 2015, </w:t>
      </w:r>
      <w:r w:rsidR="00090A3D">
        <w:rPr>
          <w:rFonts w:ascii="Arial" w:hAnsi="Arial" w:cs="Arial"/>
        </w:rPr>
        <w:t>la proportion de la population qui se considère globalement comme pauvre</w:t>
      </w:r>
      <w:r w:rsidR="00090A3D">
        <w:rPr>
          <w:rStyle w:val="Appelnotedebasdep"/>
          <w:rFonts w:ascii="Arial" w:hAnsi="Arial" w:cs="Arial"/>
        </w:rPr>
        <w:footnoteReference w:id="5"/>
      </w:r>
      <w:r w:rsidR="00090A3D">
        <w:rPr>
          <w:rFonts w:ascii="Arial" w:hAnsi="Arial" w:cs="Arial"/>
        </w:rPr>
        <w:t xml:space="preserve"> demeure élevée mais en régression par rapport à 2011. Elle est passée de 71,6 % en 2011 à 66,6% en 2015. L’ampleur reste importante aussi </w:t>
      </w:r>
      <w:r>
        <w:rPr>
          <w:rFonts w:ascii="Arial" w:hAnsi="Arial" w:cs="Arial"/>
        </w:rPr>
        <w:t xml:space="preserve">bien pour ceux qui </w:t>
      </w:r>
      <w:r w:rsidR="00B93FE5">
        <w:rPr>
          <w:rFonts w:ascii="Arial" w:hAnsi="Arial" w:cs="Arial"/>
        </w:rPr>
        <w:t xml:space="preserve">se </w:t>
      </w:r>
      <w:r>
        <w:rPr>
          <w:rFonts w:ascii="Arial" w:hAnsi="Arial" w:cs="Arial"/>
        </w:rPr>
        <w:t>considèrent</w:t>
      </w:r>
      <w:r w:rsidR="00090A3D">
        <w:rPr>
          <w:rFonts w:ascii="Arial" w:hAnsi="Arial" w:cs="Arial"/>
        </w:rPr>
        <w:t xml:space="preserve"> dans les 20% les plus pauvres (24,7% en 2015 contre 28,1% en 2011) que pour ceux qui ont mentionnés faire partie des 20% moyennement pauvres (41,9% en 2015 contre 43,6% en 2011).</w:t>
      </w:r>
    </w:p>
    <w:p w:rsidR="00314ED8" w:rsidRDefault="00090A3D">
      <w:pPr>
        <w:jc w:val="both"/>
        <w:rPr>
          <w:rFonts w:ascii="Arial" w:hAnsi="Arial" w:cs="Arial"/>
        </w:rPr>
      </w:pPr>
      <w:r>
        <w:rPr>
          <w:rFonts w:ascii="Arial" w:hAnsi="Arial" w:cs="Arial"/>
        </w:rPr>
        <w:t>La même tendance est observée selon le milieu de résidence. En effet, la propo</w:t>
      </w:r>
      <w:r w:rsidR="006A5D70">
        <w:rPr>
          <w:rFonts w:ascii="Arial" w:hAnsi="Arial" w:cs="Arial"/>
        </w:rPr>
        <w:t xml:space="preserve">rtion de personnes qui se considèrent </w:t>
      </w:r>
      <w:r>
        <w:rPr>
          <w:rFonts w:ascii="Arial" w:hAnsi="Arial" w:cs="Arial"/>
        </w:rPr>
        <w:t xml:space="preserve">pauvres en milieu urbain est passée de 77% en 2011 à 66% en 2015.  En milieu rural, elle est de 73% en 2011 contre 67,2% en 2015. </w:t>
      </w:r>
    </w:p>
    <w:p w:rsidR="00314ED8" w:rsidRDefault="000E28C5">
      <w:pPr>
        <w:spacing w:after="0" w:line="240" w:lineRule="auto"/>
        <w:jc w:val="both"/>
        <w:rPr>
          <w:rFonts w:ascii="Arial" w:hAnsi="Arial" w:cs="Arial"/>
        </w:rPr>
      </w:pPr>
      <w:bookmarkStart w:id="24" w:name="_Toc433391922"/>
      <w:r w:rsidRPr="000E28C5">
        <w:rPr>
          <w:rFonts w:ascii="Arial" w:hAnsi="Arial" w:cs="Arial"/>
        </w:rPr>
        <w:t xml:space="preserve">Figure </w:t>
      </w:r>
      <w:r w:rsidR="00115FEB" w:rsidRPr="000E28C5">
        <w:rPr>
          <w:rFonts w:ascii="Arial" w:hAnsi="Arial" w:cs="Arial"/>
        </w:rPr>
        <w:fldChar w:fldCharType="begin"/>
      </w:r>
      <w:r w:rsidRPr="000E28C5">
        <w:rPr>
          <w:rFonts w:ascii="Arial" w:hAnsi="Arial" w:cs="Arial"/>
        </w:rPr>
        <w:instrText xml:space="preserve"> SEQ Figure \* ARABIC </w:instrText>
      </w:r>
      <w:r w:rsidR="00115FEB" w:rsidRPr="000E28C5">
        <w:rPr>
          <w:rFonts w:ascii="Arial" w:hAnsi="Arial" w:cs="Arial"/>
        </w:rPr>
        <w:fldChar w:fldCharType="separate"/>
      </w:r>
      <w:r w:rsidR="00DB55D3">
        <w:rPr>
          <w:rFonts w:ascii="Arial" w:hAnsi="Arial" w:cs="Arial"/>
          <w:noProof/>
        </w:rPr>
        <w:t>4</w:t>
      </w:r>
      <w:r w:rsidR="00115FEB" w:rsidRPr="000E28C5">
        <w:rPr>
          <w:rFonts w:ascii="Arial" w:hAnsi="Arial" w:cs="Arial"/>
        </w:rPr>
        <w:fldChar w:fldCharType="end"/>
      </w:r>
      <w:r w:rsidR="00090A3D">
        <w:rPr>
          <w:rFonts w:ascii="Arial" w:hAnsi="Arial" w:cs="Arial"/>
        </w:rPr>
        <w:t>: Perception des individus par rapport à</w:t>
      </w:r>
      <w:r w:rsidR="00F6628B">
        <w:rPr>
          <w:rFonts w:ascii="Arial" w:hAnsi="Arial" w:cs="Arial"/>
        </w:rPr>
        <w:t xml:space="preserve"> leur</w:t>
      </w:r>
      <w:r w:rsidR="00090A3D">
        <w:rPr>
          <w:rFonts w:ascii="Arial" w:hAnsi="Arial" w:cs="Arial"/>
        </w:rPr>
        <w:t xml:space="preserve"> niveau de vie</w:t>
      </w:r>
      <w:bookmarkEnd w:id="24"/>
    </w:p>
    <w:p w:rsidR="00314ED8" w:rsidRDefault="003E6DBD" w:rsidP="00950C27">
      <w:pPr>
        <w:spacing w:after="0"/>
        <w:jc w:val="center"/>
        <w:rPr>
          <w:rFonts w:ascii="Arial" w:hAnsi="Arial" w:cs="Arial"/>
        </w:rPr>
      </w:pPr>
      <w:r>
        <w:rPr>
          <w:rFonts w:ascii="Arial" w:hAnsi="Arial" w:cs="Arial"/>
          <w:noProof/>
          <w:lang w:eastAsia="fr-FR"/>
        </w:rPr>
        <w:drawing>
          <wp:inline distT="0" distB="0" distL="0" distR="0">
            <wp:extent cx="5753100" cy="2628900"/>
            <wp:effectExtent l="19050" t="0" r="1905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0C27" w:rsidRDefault="00950C27">
      <w:pPr>
        <w:jc w:val="both"/>
        <w:rPr>
          <w:rFonts w:ascii="Arial" w:hAnsi="Arial" w:cs="Arial"/>
        </w:rPr>
      </w:pPr>
    </w:p>
    <w:p w:rsidR="00314ED8" w:rsidRDefault="001775C4">
      <w:pPr>
        <w:jc w:val="both"/>
        <w:rPr>
          <w:rFonts w:ascii="Arial" w:hAnsi="Arial" w:cs="Arial"/>
        </w:rPr>
      </w:pPr>
      <w:r>
        <w:rPr>
          <w:rFonts w:ascii="Arial" w:hAnsi="Arial" w:cs="Arial"/>
        </w:rPr>
        <w:t xml:space="preserve">Par ailleurs, deux personnes sur dix </w:t>
      </w:r>
      <w:r w:rsidR="007C1557" w:rsidRPr="007C1557">
        <w:rPr>
          <w:rFonts w:ascii="Arial" w:hAnsi="Arial" w:cs="Arial"/>
        </w:rPr>
        <w:t>prétendent que leur ménage vit difficilement</w:t>
      </w:r>
      <w:r>
        <w:rPr>
          <w:rFonts w:ascii="Arial" w:hAnsi="Arial" w:cs="Arial"/>
        </w:rPr>
        <w:t>. Toutefois, cette proportion est en recul par rapport à 2011. Elle</w:t>
      </w:r>
      <w:r w:rsidR="00155619">
        <w:rPr>
          <w:rFonts w:ascii="Arial" w:hAnsi="Arial" w:cs="Arial"/>
        </w:rPr>
        <w:t xml:space="preserve"> est estimée à</w:t>
      </w:r>
      <w:r w:rsidR="008E764F">
        <w:rPr>
          <w:rFonts w:ascii="Arial" w:hAnsi="Arial" w:cs="Arial"/>
        </w:rPr>
        <w:t xml:space="preserve"> </w:t>
      </w:r>
      <w:r w:rsidR="007C1557" w:rsidRPr="007C1557">
        <w:rPr>
          <w:rFonts w:ascii="Arial" w:hAnsi="Arial" w:cs="Arial"/>
        </w:rPr>
        <w:t xml:space="preserve">26,2% en 2011 </w:t>
      </w:r>
      <w:r>
        <w:rPr>
          <w:rFonts w:ascii="Arial" w:hAnsi="Arial" w:cs="Arial"/>
        </w:rPr>
        <w:t>contre</w:t>
      </w:r>
      <w:r w:rsidR="007C1557" w:rsidRPr="007C1557">
        <w:rPr>
          <w:rFonts w:ascii="Arial" w:hAnsi="Arial" w:cs="Arial"/>
        </w:rPr>
        <w:t xml:space="preserve"> 19,7% en 2015. Cette baisse semble traduire une certaine amélioration des progrès des conditions de vie des ménages pauvres. Aussi, la proportion des personnes qui </w:t>
      </w:r>
      <w:r>
        <w:rPr>
          <w:rFonts w:ascii="Arial" w:hAnsi="Arial" w:cs="Arial"/>
        </w:rPr>
        <w:t xml:space="preserve">ont </w:t>
      </w:r>
      <w:r w:rsidR="007C1557" w:rsidRPr="007C1557">
        <w:rPr>
          <w:rFonts w:ascii="Arial" w:hAnsi="Arial" w:cs="Arial"/>
        </w:rPr>
        <w:t>des craintes pour le futur de leur ménage a régressé. Elle est passée de 36,5% en 2011 à 29,9% en 2015.</w:t>
      </w:r>
    </w:p>
    <w:p w:rsidR="00B34697" w:rsidRDefault="00B34697">
      <w:pPr>
        <w:spacing w:after="0"/>
        <w:jc w:val="both"/>
        <w:rPr>
          <w:rFonts w:ascii="Arial" w:hAnsi="Arial" w:cs="Arial"/>
          <w:b/>
        </w:rPr>
      </w:pPr>
    </w:p>
    <w:p w:rsidR="00B34697" w:rsidRDefault="00B34697">
      <w:pPr>
        <w:spacing w:after="0"/>
        <w:jc w:val="both"/>
        <w:rPr>
          <w:rFonts w:ascii="Arial" w:hAnsi="Arial" w:cs="Arial"/>
          <w:b/>
        </w:rPr>
      </w:pPr>
    </w:p>
    <w:p w:rsidR="00314ED8" w:rsidRPr="001B357D" w:rsidRDefault="001B357D" w:rsidP="001B357D">
      <w:pPr>
        <w:spacing w:after="0"/>
        <w:jc w:val="both"/>
        <w:rPr>
          <w:rFonts w:ascii="Arial" w:hAnsi="Arial" w:cs="Arial"/>
        </w:rPr>
      </w:pPr>
      <w:bookmarkStart w:id="25" w:name="_Toc433391923"/>
      <w:r w:rsidRPr="001B357D">
        <w:rPr>
          <w:rFonts w:ascii="Arial" w:hAnsi="Arial" w:cs="Arial"/>
        </w:rPr>
        <w:t xml:space="preserve">Figure </w:t>
      </w:r>
      <w:r w:rsidR="00115FEB" w:rsidRPr="001B357D">
        <w:rPr>
          <w:rFonts w:ascii="Arial" w:hAnsi="Arial" w:cs="Arial"/>
        </w:rPr>
        <w:fldChar w:fldCharType="begin"/>
      </w:r>
      <w:r w:rsidRPr="001B357D">
        <w:rPr>
          <w:rFonts w:ascii="Arial" w:hAnsi="Arial" w:cs="Arial"/>
        </w:rPr>
        <w:instrText xml:space="preserve"> SEQ Figure \* ARABIC </w:instrText>
      </w:r>
      <w:r w:rsidR="00115FEB" w:rsidRPr="001B357D">
        <w:rPr>
          <w:rFonts w:ascii="Arial" w:hAnsi="Arial" w:cs="Arial"/>
        </w:rPr>
        <w:fldChar w:fldCharType="separate"/>
      </w:r>
      <w:r w:rsidR="00DB55D3">
        <w:rPr>
          <w:rFonts w:ascii="Arial" w:hAnsi="Arial" w:cs="Arial"/>
          <w:noProof/>
        </w:rPr>
        <w:t>5</w:t>
      </w:r>
      <w:r w:rsidR="00115FEB" w:rsidRPr="001B357D">
        <w:rPr>
          <w:rFonts w:ascii="Arial" w:hAnsi="Arial" w:cs="Arial"/>
        </w:rPr>
        <w:fldChar w:fldCharType="end"/>
      </w:r>
      <w:r w:rsidR="00090A3D" w:rsidRPr="001B357D">
        <w:rPr>
          <w:rFonts w:ascii="Arial" w:hAnsi="Arial" w:cs="Arial"/>
        </w:rPr>
        <w:t>: Opinion</w:t>
      </w:r>
      <w:r w:rsidR="006A5D70" w:rsidRPr="001B357D">
        <w:rPr>
          <w:rFonts w:ascii="Arial" w:hAnsi="Arial" w:cs="Arial"/>
        </w:rPr>
        <w:t xml:space="preserve"> des individus par rapport à la situation économique du ménage</w:t>
      </w:r>
      <w:bookmarkEnd w:id="25"/>
    </w:p>
    <w:p w:rsidR="00314ED8" w:rsidRDefault="003E6DBD">
      <w:pPr>
        <w:jc w:val="both"/>
        <w:rPr>
          <w:rFonts w:ascii="Arial" w:hAnsi="Arial" w:cs="Arial"/>
        </w:rPr>
      </w:pPr>
      <w:r>
        <w:rPr>
          <w:rFonts w:ascii="Arial" w:hAnsi="Arial" w:cs="Arial"/>
          <w:b/>
          <w:noProof/>
          <w:color w:val="E36C0A"/>
          <w:sz w:val="24"/>
          <w:szCs w:val="24"/>
          <w:lang w:eastAsia="fr-FR"/>
        </w:rPr>
        <w:drawing>
          <wp:inline distT="0" distB="0" distL="0" distR="0">
            <wp:extent cx="5715000" cy="2562225"/>
            <wp:effectExtent l="19050" t="0" r="19050"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00C08" w:rsidRDefault="00E00C08" w:rsidP="00E00C08">
      <w:pPr>
        <w:pStyle w:val="Paragraphedeliste"/>
        <w:ind w:left="360"/>
        <w:rPr>
          <w:rFonts w:ascii="Arial" w:hAnsi="Arial" w:cs="Arial"/>
          <w:b/>
          <w:color w:val="E36C0A"/>
          <w:sz w:val="24"/>
          <w:szCs w:val="24"/>
        </w:rPr>
      </w:pPr>
    </w:p>
    <w:p w:rsidR="00ED5667" w:rsidRPr="00C216A8" w:rsidRDefault="004C45C3" w:rsidP="00315B23">
      <w:pPr>
        <w:pStyle w:val="Titre2"/>
        <w:numPr>
          <w:ilvl w:val="0"/>
          <w:numId w:val="0"/>
        </w:numPr>
        <w:tabs>
          <w:tab w:val="clear" w:pos="284"/>
          <w:tab w:val="left" w:pos="0"/>
        </w:tabs>
        <w:spacing w:before="0" w:after="0"/>
        <w:ind w:left="360" w:hanging="360"/>
        <w:jc w:val="both"/>
      </w:pPr>
      <w:bookmarkStart w:id="26" w:name="_Toc433391202"/>
      <w:r>
        <w:t>1.7</w:t>
      </w:r>
      <w:r w:rsidR="00ED5667">
        <w:t>.Noyau dur de la pauvreté :</w:t>
      </w:r>
      <w:r w:rsidR="00315B23">
        <w:t xml:space="preserve"> Plus d</w:t>
      </w:r>
      <w:r w:rsidR="00E03536">
        <w:t>’un dixième</w:t>
      </w:r>
      <w:r w:rsidR="00315B23">
        <w:t xml:space="preserve"> cumule de la population cumule les différentes formes de pauvreté</w:t>
      </w:r>
      <w:bookmarkEnd w:id="26"/>
    </w:p>
    <w:p w:rsidR="00ED5667" w:rsidRPr="00ED5667" w:rsidRDefault="00ED5667" w:rsidP="00ED5667">
      <w:pPr>
        <w:rPr>
          <w:rFonts w:ascii="Arial" w:hAnsi="Arial" w:cs="Arial"/>
          <w:b/>
          <w:color w:val="E36C0A"/>
          <w:sz w:val="24"/>
          <w:szCs w:val="24"/>
        </w:rPr>
      </w:pPr>
    </w:p>
    <w:p w:rsidR="00803AA6" w:rsidRPr="00803AA6" w:rsidRDefault="00803AA6" w:rsidP="00803AA6">
      <w:pPr>
        <w:widowControl w:val="0"/>
        <w:tabs>
          <w:tab w:val="left" w:pos="720"/>
        </w:tabs>
        <w:autoSpaceDE w:val="0"/>
        <w:autoSpaceDN w:val="0"/>
        <w:adjustRightInd w:val="0"/>
        <w:spacing w:line="300" w:lineRule="auto"/>
        <w:jc w:val="both"/>
        <w:rPr>
          <w:rFonts w:ascii="Arial" w:hAnsi="Arial" w:cs="Arial"/>
          <w:color w:val="FF0000"/>
        </w:rPr>
      </w:pPr>
      <w:r w:rsidRPr="00803AA6">
        <w:rPr>
          <w:rFonts w:ascii="Arial" w:hAnsi="Arial" w:cs="Arial"/>
        </w:rPr>
        <w:t xml:space="preserve">Le noyau dur de la pauvreté est l’ensemble des ménages ou des individus qui cumulent les différentes formes de la pauvreté </w:t>
      </w:r>
      <w:r w:rsidRPr="00803AA6">
        <w:rPr>
          <w:rFonts w:ascii="Arial" w:eastAsia="Cambria" w:hAnsi="Arial" w:cs="Arial"/>
          <w:bCs/>
          <w:lang w:val="fr-CA" w:eastAsia="fr-FR"/>
        </w:rPr>
        <w:t>(</w:t>
      </w:r>
      <w:r w:rsidRPr="00803AA6">
        <w:rPr>
          <w:rFonts w:ascii="Arial" w:hAnsi="Arial" w:cs="Arial"/>
        </w:rPr>
        <w:t>monétaire et non monétaire</w:t>
      </w:r>
      <w:r w:rsidRPr="00803AA6">
        <w:rPr>
          <w:rFonts w:ascii="Arial" w:eastAsia="Cambria" w:hAnsi="Arial" w:cs="Arial"/>
          <w:bCs/>
          <w:lang w:val="fr-CA" w:eastAsia="fr-FR"/>
        </w:rPr>
        <w:t>)</w:t>
      </w:r>
      <w:r w:rsidRPr="00803AA6">
        <w:rPr>
          <w:rFonts w:ascii="Arial" w:hAnsi="Arial" w:cs="Arial"/>
        </w:rPr>
        <w:t>. Cet indicateur permet de mieux cerner les populations les plus défavorisées qui après ciblage</w:t>
      </w:r>
      <w:r>
        <w:rPr>
          <w:rFonts w:ascii="Arial" w:hAnsi="Arial" w:cs="Arial"/>
        </w:rPr>
        <w:t xml:space="preserve"> devraient </w:t>
      </w:r>
      <w:r w:rsidRPr="00803AA6">
        <w:rPr>
          <w:rFonts w:ascii="Arial" w:hAnsi="Arial" w:cs="Arial"/>
        </w:rPr>
        <w:t>bénéficie</w:t>
      </w:r>
      <w:r>
        <w:rPr>
          <w:rFonts w:ascii="Arial" w:hAnsi="Arial" w:cs="Arial"/>
        </w:rPr>
        <w:t>r</w:t>
      </w:r>
      <w:r w:rsidRPr="00803AA6">
        <w:rPr>
          <w:rFonts w:ascii="Arial" w:hAnsi="Arial" w:cs="Arial"/>
        </w:rPr>
        <w:t xml:space="preserve"> d</w:t>
      </w:r>
      <w:r>
        <w:rPr>
          <w:rFonts w:ascii="Arial" w:hAnsi="Arial" w:cs="Arial"/>
        </w:rPr>
        <w:t xml:space="preserve">es </w:t>
      </w:r>
      <w:r w:rsidRPr="00803AA6">
        <w:rPr>
          <w:rFonts w:ascii="Arial" w:hAnsi="Arial" w:cs="Arial"/>
        </w:rPr>
        <w:t>intervention</w:t>
      </w:r>
      <w:r>
        <w:rPr>
          <w:rFonts w:ascii="Arial" w:hAnsi="Arial" w:cs="Arial"/>
        </w:rPr>
        <w:t>s publiques</w:t>
      </w:r>
      <w:r w:rsidRPr="00803AA6">
        <w:rPr>
          <w:rFonts w:ascii="Arial" w:hAnsi="Arial" w:cs="Arial"/>
        </w:rPr>
        <w:t xml:space="preserve"> visant à lutter efficacement contre la pauvreté. </w:t>
      </w:r>
      <w:r>
        <w:rPr>
          <w:rFonts w:ascii="Arial" w:hAnsi="Arial" w:cs="Arial"/>
        </w:rPr>
        <w:t xml:space="preserve">Il est estimé à 15,3% en 2015 contre </w:t>
      </w:r>
      <w:r w:rsidRPr="00803AA6">
        <w:rPr>
          <w:rFonts w:ascii="Arial" w:hAnsi="Arial" w:cs="Arial"/>
        </w:rPr>
        <w:t>13,6% en 2011</w:t>
      </w:r>
      <w:r>
        <w:rPr>
          <w:rFonts w:ascii="Arial" w:hAnsi="Arial" w:cs="Arial"/>
        </w:rPr>
        <w:t xml:space="preserve">, </w:t>
      </w:r>
      <w:r w:rsidRPr="00803AA6">
        <w:rPr>
          <w:rFonts w:ascii="Arial" w:hAnsi="Arial" w:cs="Arial"/>
        </w:rPr>
        <w:t xml:space="preserve">soit une </w:t>
      </w:r>
      <w:r>
        <w:rPr>
          <w:rFonts w:ascii="Arial" w:hAnsi="Arial" w:cs="Arial"/>
        </w:rPr>
        <w:t xml:space="preserve">hausse de 1,7 </w:t>
      </w:r>
      <w:r w:rsidRPr="00803AA6">
        <w:rPr>
          <w:rFonts w:ascii="Arial" w:hAnsi="Arial" w:cs="Arial"/>
        </w:rPr>
        <w:t>point. Les personnes de cette classe sont pauvres sans ambiguïté, puisqu’ils ont à la fois de faibles dépenses de consommation et des privations en termes d’actifs et de condition de vie.</w:t>
      </w:r>
    </w:p>
    <w:p w:rsidR="00E03536" w:rsidRDefault="001B357D" w:rsidP="00E03536">
      <w:pPr>
        <w:spacing w:after="0"/>
        <w:jc w:val="both"/>
        <w:rPr>
          <w:rFonts w:ascii="Arial" w:hAnsi="Arial" w:cs="Arial"/>
        </w:rPr>
      </w:pPr>
      <w:bookmarkStart w:id="27" w:name="_Toc433391924"/>
      <w:r w:rsidRPr="001B357D">
        <w:rPr>
          <w:rFonts w:ascii="Arial" w:hAnsi="Arial" w:cs="Arial"/>
        </w:rPr>
        <w:t xml:space="preserve">Figure </w:t>
      </w:r>
      <w:r w:rsidR="00115FEB" w:rsidRPr="001B357D">
        <w:rPr>
          <w:rFonts w:ascii="Arial" w:hAnsi="Arial" w:cs="Arial"/>
        </w:rPr>
        <w:fldChar w:fldCharType="begin"/>
      </w:r>
      <w:r w:rsidRPr="001B357D">
        <w:rPr>
          <w:rFonts w:ascii="Arial" w:hAnsi="Arial" w:cs="Arial"/>
        </w:rPr>
        <w:instrText xml:space="preserve"> SEQ Figure \* ARABIC </w:instrText>
      </w:r>
      <w:r w:rsidR="00115FEB" w:rsidRPr="001B357D">
        <w:rPr>
          <w:rFonts w:ascii="Arial" w:hAnsi="Arial" w:cs="Arial"/>
        </w:rPr>
        <w:fldChar w:fldCharType="separate"/>
      </w:r>
      <w:r w:rsidR="00DB55D3">
        <w:rPr>
          <w:rFonts w:ascii="Arial" w:hAnsi="Arial" w:cs="Arial"/>
          <w:noProof/>
        </w:rPr>
        <w:t>6</w:t>
      </w:r>
      <w:r w:rsidR="00115FEB" w:rsidRPr="001B357D">
        <w:rPr>
          <w:rFonts w:ascii="Arial" w:hAnsi="Arial" w:cs="Arial"/>
        </w:rPr>
        <w:fldChar w:fldCharType="end"/>
      </w:r>
      <w:r w:rsidR="004609DD">
        <w:rPr>
          <w:rFonts w:ascii="Arial" w:hAnsi="Arial" w:cs="Arial"/>
        </w:rPr>
        <w:t xml:space="preserve">: </w:t>
      </w:r>
      <w:r w:rsidR="004609DD" w:rsidRPr="00FE5A45">
        <w:rPr>
          <w:rFonts w:ascii="Arial" w:hAnsi="Arial" w:cs="Arial"/>
        </w:rPr>
        <w:t>Incidence</w:t>
      </w:r>
      <w:r w:rsidR="00DB7C00">
        <w:rPr>
          <w:rFonts w:ascii="Arial" w:hAnsi="Arial" w:cs="Arial"/>
        </w:rPr>
        <w:t xml:space="preserve"> du noyau dur de la pauvreté (%)</w:t>
      </w:r>
      <w:bookmarkEnd w:id="27"/>
    </w:p>
    <w:p w:rsidR="00803AA6" w:rsidRPr="00E03536" w:rsidRDefault="00794672" w:rsidP="00E03536">
      <w:pPr>
        <w:rPr>
          <w:rFonts w:ascii="Arial" w:hAnsi="Arial" w:cs="Arial"/>
          <w:b/>
          <w:color w:val="E36C0A"/>
          <w:sz w:val="24"/>
          <w:szCs w:val="24"/>
        </w:rPr>
      </w:pPr>
      <w:r w:rsidRPr="00794672">
        <w:rPr>
          <w:rFonts w:ascii="Arial" w:hAnsi="Arial" w:cs="Arial"/>
          <w:b/>
          <w:noProof/>
          <w:color w:val="E36C0A"/>
          <w:sz w:val="24"/>
          <w:szCs w:val="24"/>
          <w:lang w:eastAsia="fr-FR"/>
        </w:rPr>
        <w:drawing>
          <wp:inline distT="0" distB="0" distL="0" distR="0">
            <wp:extent cx="4572000" cy="2609850"/>
            <wp:effectExtent l="19050" t="0" r="19050" b="0"/>
            <wp:docPr id="6"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03AA6" w:rsidRDefault="00803AA6" w:rsidP="00E00C08">
      <w:pPr>
        <w:pStyle w:val="Paragraphedeliste"/>
        <w:ind w:left="360"/>
        <w:rPr>
          <w:rFonts w:ascii="Arial" w:hAnsi="Arial" w:cs="Arial"/>
          <w:b/>
          <w:color w:val="E36C0A"/>
          <w:sz w:val="24"/>
          <w:szCs w:val="24"/>
        </w:rPr>
      </w:pPr>
    </w:p>
    <w:p w:rsidR="00803AA6" w:rsidRDefault="00803AA6" w:rsidP="00E00C08">
      <w:pPr>
        <w:pStyle w:val="Paragraphedeliste"/>
        <w:ind w:left="360"/>
        <w:rPr>
          <w:rFonts w:ascii="Arial" w:hAnsi="Arial" w:cs="Arial"/>
          <w:b/>
          <w:color w:val="E36C0A"/>
          <w:sz w:val="24"/>
          <w:szCs w:val="24"/>
        </w:rPr>
      </w:pPr>
    </w:p>
    <w:p w:rsidR="00314ED8" w:rsidRPr="00047EBA" w:rsidRDefault="00047EBA" w:rsidP="00B34697">
      <w:pPr>
        <w:pStyle w:val="Titre1"/>
        <w:spacing w:before="0"/>
        <w:rPr>
          <w:rFonts w:ascii="Arial" w:hAnsi="Arial" w:cs="Arial"/>
          <w:color w:val="E36C0A" w:themeColor="accent6" w:themeShade="BF"/>
        </w:rPr>
      </w:pPr>
      <w:bookmarkStart w:id="28" w:name="_Toc433391203"/>
      <w:r w:rsidRPr="00047EBA">
        <w:rPr>
          <w:rFonts w:ascii="Arial" w:hAnsi="Arial" w:cs="Arial"/>
          <w:color w:val="E36C0A" w:themeColor="accent6" w:themeShade="BF"/>
        </w:rPr>
        <w:t xml:space="preserve">2. </w:t>
      </w:r>
      <w:r w:rsidR="0048430B" w:rsidRPr="00047EBA">
        <w:rPr>
          <w:rFonts w:ascii="Arial" w:hAnsi="Arial" w:cs="Arial"/>
          <w:color w:val="E36C0A" w:themeColor="accent6" w:themeShade="BF"/>
        </w:rPr>
        <w:t>C</w:t>
      </w:r>
      <w:r w:rsidR="007C1557" w:rsidRPr="00047EBA">
        <w:rPr>
          <w:rFonts w:ascii="Arial" w:hAnsi="Arial" w:cs="Arial"/>
          <w:color w:val="E36C0A" w:themeColor="accent6" w:themeShade="BF"/>
        </w:rPr>
        <w:t>aractéristiques socio-économique et pauvreté au Bénin</w:t>
      </w:r>
      <w:bookmarkEnd w:id="28"/>
    </w:p>
    <w:p w:rsidR="00047EBA" w:rsidRDefault="00047EBA" w:rsidP="00B34697">
      <w:pPr>
        <w:spacing w:after="0"/>
        <w:jc w:val="both"/>
        <w:rPr>
          <w:rFonts w:ascii="Arial" w:hAnsi="Arial" w:cs="Arial"/>
          <w:b/>
        </w:rPr>
      </w:pPr>
    </w:p>
    <w:p w:rsidR="00314ED8" w:rsidRDefault="007C1557">
      <w:pPr>
        <w:jc w:val="both"/>
        <w:rPr>
          <w:rFonts w:ascii="Arial" w:hAnsi="Arial" w:cs="Arial"/>
          <w:b/>
        </w:rPr>
      </w:pPr>
      <w:r w:rsidRPr="007C1557">
        <w:rPr>
          <w:rFonts w:ascii="Arial" w:hAnsi="Arial" w:cs="Arial"/>
          <w:b/>
        </w:rPr>
        <w:t>Pauvreté et niveau d’instruction du chef de ménage : un niveau d’instruction élevé est favorable à la réduction de la pauvreté</w:t>
      </w:r>
    </w:p>
    <w:p w:rsidR="00314ED8" w:rsidRDefault="009A0CD4">
      <w:pPr>
        <w:jc w:val="both"/>
        <w:rPr>
          <w:rFonts w:ascii="Arial" w:hAnsi="Arial" w:cs="Arial"/>
        </w:rPr>
      </w:pPr>
      <w:r>
        <w:rPr>
          <w:rFonts w:ascii="Arial" w:hAnsi="Arial" w:cs="Arial"/>
        </w:rPr>
        <w:t>L’accès à l’éducation de base reste un facteur crucial pour la réduction de la pauvreté</w:t>
      </w:r>
      <w:r w:rsidR="00311D27">
        <w:rPr>
          <w:rFonts w:ascii="Arial" w:hAnsi="Arial" w:cs="Arial"/>
        </w:rPr>
        <w:t xml:space="preserve"> et le </w:t>
      </w:r>
      <w:r w:rsidR="007C1557" w:rsidRPr="007C1557">
        <w:rPr>
          <w:rFonts w:ascii="Arial" w:hAnsi="Arial" w:cs="Arial"/>
        </w:rPr>
        <w:t>pour le développement économique durable. Comme le mont</w:t>
      </w:r>
      <w:r w:rsidR="00772EE7">
        <w:rPr>
          <w:rFonts w:ascii="Arial" w:hAnsi="Arial" w:cs="Arial"/>
        </w:rPr>
        <w:t xml:space="preserve">re le tableau ci-dessous, </w:t>
      </w:r>
      <w:r w:rsidR="007C1557" w:rsidRPr="007C1557">
        <w:rPr>
          <w:rFonts w:ascii="Arial" w:hAnsi="Arial" w:cs="Arial"/>
        </w:rPr>
        <w:t xml:space="preserve">les individus vivant dans les ménages dirigés par des personnes ayant au moins le niveau primaire sont moins touchés par la pauvreté monétaire ou non monétaire. </w:t>
      </w:r>
    </w:p>
    <w:p w:rsidR="000E28C5" w:rsidRDefault="000E28C5">
      <w:pPr>
        <w:pStyle w:val="Lgende"/>
        <w:jc w:val="left"/>
        <w:rPr>
          <w:rFonts w:ascii="Arial" w:hAnsi="Arial" w:cs="Arial"/>
          <w:sz w:val="22"/>
          <w:szCs w:val="22"/>
        </w:rPr>
      </w:pPr>
    </w:p>
    <w:p w:rsidR="00314ED8" w:rsidRDefault="00C216A8">
      <w:pPr>
        <w:pStyle w:val="Lgende"/>
        <w:jc w:val="left"/>
        <w:rPr>
          <w:rFonts w:ascii="Arial" w:hAnsi="Arial" w:cs="Arial"/>
          <w:sz w:val="22"/>
          <w:szCs w:val="22"/>
        </w:rPr>
      </w:pPr>
      <w:bookmarkStart w:id="29" w:name="_Toc432425311"/>
      <w:r w:rsidRPr="00C216A8">
        <w:rPr>
          <w:rFonts w:ascii="Arial" w:hAnsi="Arial" w:cs="Arial"/>
          <w:sz w:val="22"/>
          <w:szCs w:val="22"/>
        </w:rPr>
        <w:t xml:space="preserve">Tableau </w:t>
      </w:r>
      <w:r w:rsidR="00115FEB" w:rsidRPr="00C216A8">
        <w:rPr>
          <w:rFonts w:ascii="Arial" w:hAnsi="Arial" w:cs="Arial"/>
          <w:sz w:val="22"/>
          <w:szCs w:val="22"/>
        </w:rPr>
        <w:fldChar w:fldCharType="begin"/>
      </w:r>
      <w:r w:rsidRPr="00C216A8">
        <w:rPr>
          <w:rFonts w:ascii="Arial" w:hAnsi="Arial" w:cs="Arial"/>
          <w:sz w:val="22"/>
          <w:szCs w:val="22"/>
        </w:rPr>
        <w:instrText xml:space="preserve"> SEQ Tableau \* ARABIC </w:instrText>
      </w:r>
      <w:r w:rsidR="00115FEB" w:rsidRPr="00C216A8">
        <w:rPr>
          <w:rFonts w:ascii="Arial" w:hAnsi="Arial" w:cs="Arial"/>
          <w:sz w:val="22"/>
          <w:szCs w:val="22"/>
        </w:rPr>
        <w:fldChar w:fldCharType="separate"/>
      </w:r>
      <w:r w:rsidR="00DB55D3">
        <w:rPr>
          <w:rFonts w:ascii="Arial" w:hAnsi="Arial" w:cs="Arial"/>
          <w:noProof/>
          <w:sz w:val="22"/>
          <w:szCs w:val="22"/>
        </w:rPr>
        <w:t>7</w:t>
      </w:r>
      <w:r w:rsidR="00115FEB" w:rsidRPr="00C216A8">
        <w:rPr>
          <w:rFonts w:ascii="Arial" w:hAnsi="Arial" w:cs="Arial"/>
          <w:sz w:val="22"/>
          <w:szCs w:val="22"/>
        </w:rPr>
        <w:fldChar w:fldCharType="end"/>
      </w:r>
      <w:r w:rsidR="007C1557" w:rsidRPr="007C1557">
        <w:rPr>
          <w:rFonts w:ascii="Arial" w:hAnsi="Arial" w:cs="Arial"/>
          <w:sz w:val="22"/>
          <w:szCs w:val="22"/>
        </w:rPr>
        <w:t>: Pauvreté et niveau d'instruction du chef de ménage</w:t>
      </w:r>
      <w:bookmarkEnd w:id="29"/>
    </w:p>
    <w:tbl>
      <w:tblPr>
        <w:tblW w:w="8561" w:type="dxa"/>
        <w:tblCellMar>
          <w:left w:w="70" w:type="dxa"/>
          <w:right w:w="70" w:type="dxa"/>
        </w:tblCellMar>
        <w:tblLook w:val="04A0" w:firstRow="1" w:lastRow="0" w:firstColumn="1" w:lastColumn="0" w:noHBand="0" w:noVBand="1"/>
      </w:tblPr>
      <w:tblGrid>
        <w:gridCol w:w="1346"/>
        <w:gridCol w:w="1418"/>
        <w:gridCol w:w="1704"/>
        <w:gridCol w:w="228"/>
        <w:gridCol w:w="1957"/>
        <w:gridCol w:w="1908"/>
      </w:tblGrid>
      <w:tr w:rsidR="00472BDB" w:rsidRPr="00472BDB" w:rsidTr="00A77EAB">
        <w:trPr>
          <w:trHeight w:val="317"/>
        </w:trPr>
        <w:tc>
          <w:tcPr>
            <w:tcW w:w="1346" w:type="dxa"/>
            <w:vMerge w:val="restart"/>
            <w:tcBorders>
              <w:top w:val="double" w:sz="6" w:space="0" w:color="auto"/>
              <w:left w:val="nil"/>
              <w:bottom w:val="single" w:sz="8" w:space="0" w:color="000000"/>
              <w:right w:val="nil"/>
            </w:tcBorders>
            <w:shd w:val="clear" w:color="auto" w:fill="auto"/>
            <w:noWrap/>
            <w:vAlign w:val="bottom"/>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3122" w:type="dxa"/>
            <w:gridSpan w:val="2"/>
            <w:tcBorders>
              <w:top w:val="double" w:sz="6" w:space="0" w:color="auto"/>
              <w:left w:val="nil"/>
              <w:bottom w:val="single" w:sz="8" w:space="0" w:color="auto"/>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2011</w:t>
            </w:r>
          </w:p>
        </w:tc>
        <w:tc>
          <w:tcPr>
            <w:tcW w:w="228" w:type="dxa"/>
            <w:tcBorders>
              <w:top w:val="double" w:sz="6" w:space="0" w:color="auto"/>
              <w:left w:val="nil"/>
              <w:bottom w:val="nil"/>
              <w:right w:val="nil"/>
            </w:tcBorders>
            <w:shd w:val="clear" w:color="auto" w:fill="auto"/>
            <w:noWrap/>
            <w:vAlign w:val="bottom"/>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3865" w:type="dxa"/>
            <w:gridSpan w:val="2"/>
            <w:tcBorders>
              <w:top w:val="double" w:sz="6" w:space="0" w:color="auto"/>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2015</w:t>
            </w:r>
          </w:p>
        </w:tc>
      </w:tr>
      <w:tr w:rsidR="00D06979" w:rsidRPr="00472BDB" w:rsidTr="00A77EAB">
        <w:trPr>
          <w:trHeight w:val="317"/>
        </w:trPr>
        <w:tc>
          <w:tcPr>
            <w:tcW w:w="1346" w:type="dxa"/>
            <w:vMerge/>
            <w:tcBorders>
              <w:top w:val="double" w:sz="6" w:space="0" w:color="auto"/>
              <w:left w:val="nil"/>
              <w:bottom w:val="single" w:sz="8" w:space="0" w:color="000000"/>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nil"/>
              <w:right w:val="nil"/>
            </w:tcBorders>
            <w:shd w:val="clear" w:color="auto" w:fill="auto"/>
            <w:vAlign w:val="bottom"/>
            <w:hideMark/>
          </w:tcPr>
          <w:p w:rsidR="00314ED8" w:rsidRDefault="00367F05" w:rsidP="00A77EAB">
            <w:pPr>
              <w:spacing w:after="0" w:line="240" w:lineRule="auto"/>
              <w:jc w:val="center"/>
              <w:rPr>
                <w:rFonts w:ascii="Arial" w:eastAsia="Times New Roman" w:hAnsi="Arial" w:cs="Arial"/>
                <w:color w:val="000000"/>
                <w:lang w:eastAsia="fr-FR"/>
              </w:rPr>
            </w:pPr>
            <w:r w:rsidRPr="005D6C4C">
              <w:rPr>
                <w:rFonts w:ascii="Arial" w:eastAsia="Times New Roman" w:hAnsi="Arial" w:cs="Arial"/>
                <w:color w:val="000000"/>
                <w:lang w:eastAsia="fr-FR"/>
              </w:rPr>
              <w:t xml:space="preserve">Incidence de la </w:t>
            </w:r>
            <w:r w:rsidR="007C1557" w:rsidRPr="007C1557">
              <w:rPr>
                <w:rFonts w:ascii="Arial" w:eastAsia="Times New Roman" w:hAnsi="Arial" w:cs="Arial"/>
                <w:color w:val="000000"/>
                <w:lang w:eastAsia="fr-FR"/>
              </w:rPr>
              <w:t>pauvreté monétaire</w:t>
            </w:r>
          </w:p>
        </w:tc>
        <w:tc>
          <w:tcPr>
            <w:tcW w:w="1704" w:type="dxa"/>
            <w:tcBorders>
              <w:top w:val="nil"/>
              <w:left w:val="nil"/>
              <w:bottom w:val="nil"/>
              <w:right w:val="nil"/>
            </w:tcBorders>
            <w:shd w:val="clear" w:color="auto" w:fill="auto"/>
            <w:noWrap/>
            <w:vAlign w:val="bottom"/>
            <w:hideMark/>
          </w:tcPr>
          <w:p w:rsidR="00314ED8" w:rsidRDefault="00367F05" w:rsidP="00A77EAB">
            <w:pPr>
              <w:spacing w:after="0" w:line="240" w:lineRule="auto"/>
              <w:jc w:val="center"/>
              <w:rPr>
                <w:rFonts w:ascii="Arial" w:eastAsia="Times New Roman" w:hAnsi="Arial" w:cs="Arial"/>
                <w:color w:val="000000"/>
                <w:lang w:eastAsia="fr-FR"/>
              </w:rPr>
            </w:pPr>
            <w:r w:rsidRPr="005D6C4C">
              <w:rPr>
                <w:rFonts w:ascii="Arial" w:eastAsia="Times New Roman" w:hAnsi="Arial" w:cs="Arial"/>
                <w:color w:val="000000"/>
                <w:lang w:eastAsia="fr-FR"/>
              </w:rPr>
              <w:t>Incidence de la pauvreté  non monétaire</w:t>
            </w:r>
          </w:p>
        </w:tc>
        <w:tc>
          <w:tcPr>
            <w:tcW w:w="228" w:type="dxa"/>
            <w:vMerge w:val="restart"/>
            <w:tcBorders>
              <w:top w:val="nil"/>
              <w:left w:val="nil"/>
              <w:bottom w:val="single" w:sz="8" w:space="0" w:color="000000"/>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D06979" w:rsidP="00A77EAB">
            <w:pPr>
              <w:spacing w:after="0" w:line="240" w:lineRule="auto"/>
              <w:jc w:val="center"/>
              <w:rPr>
                <w:rFonts w:ascii="Arial" w:eastAsia="Times New Roman" w:hAnsi="Arial" w:cs="Arial"/>
                <w:color w:val="000000"/>
                <w:lang w:eastAsia="fr-FR"/>
              </w:rPr>
            </w:pPr>
            <w:r w:rsidRPr="005D6C4C">
              <w:rPr>
                <w:rFonts w:ascii="Arial" w:eastAsia="Times New Roman" w:hAnsi="Arial" w:cs="Arial"/>
                <w:color w:val="000000"/>
                <w:lang w:eastAsia="fr-FR"/>
              </w:rPr>
              <w:t xml:space="preserve">Incidence de la </w:t>
            </w:r>
            <w:r w:rsidR="007C1557" w:rsidRPr="007C1557">
              <w:rPr>
                <w:rFonts w:ascii="Arial" w:eastAsia="Times New Roman" w:hAnsi="Arial" w:cs="Arial"/>
                <w:color w:val="000000"/>
                <w:lang w:eastAsia="fr-FR"/>
              </w:rPr>
              <w:t>pauvreté monétaire</w:t>
            </w:r>
          </w:p>
        </w:tc>
        <w:tc>
          <w:tcPr>
            <w:tcW w:w="1908" w:type="dxa"/>
            <w:tcBorders>
              <w:top w:val="nil"/>
              <w:left w:val="nil"/>
              <w:bottom w:val="nil"/>
              <w:right w:val="nil"/>
            </w:tcBorders>
            <w:shd w:val="clear" w:color="auto" w:fill="auto"/>
            <w:vAlign w:val="bottom"/>
            <w:hideMark/>
          </w:tcPr>
          <w:p w:rsidR="00314ED8" w:rsidRDefault="00D06979" w:rsidP="00A77EAB">
            <w:pPr>
              <w:spacing w:after="0" w:line="240" w:lineRule="auto"/>
              <w:jc w:val="center"/>
              <w:rPr>
                <w:rFonts w:ascii="Arial" w:eastAsia="Times New Roman" w:hAnsi="Arial" w:cs="Arial"/>
                <w:color w:val="000000"/>
                <w:lang w:eastAsia="fr-FR"/>
              </w:rPr>
            </w:pPr>
            <w:r w:rsidRPr="005D6C4C">
              <w:rPr>
                <w:rFonts w:ascii="Arial" w:eastAsia="Times New Roman" w:hAnsi="Arial" w:cs="Arial"/>
                <w:color w:val="000000"/>
                <w:lang w:eastAsia="fr-FR"/>
              </w:rPr>
              <w:t xml:space="preserve">Incidence de la pauvreté  </w:t>
            </w:r>
            <w:r w:rsidR="007C1557" w:rsidRPr="007C1557">
              <w:rPr>
                <w:rFonts w:ascii="Arial" w:eastAsia="Times New Roman" w:hAnsi="Arial" w:cs="Arial"/>
                <w:color w:val="000000"/>
                <w:lang w:eastAsia="fr-FR"/>
              </w:rPr>
              <w:t>non monétaire</w:t>
            </w:r>
          </w:p>
        </w:tc>
      </w:tr>
      <w:tr w:rsidR="00D06979" w:rsidRPr="00472BDB" w:rsidTr="00A77EAB">
        <w:trPr>
          <w:trHeight w:val="34"/>
        </w:trPr>
        <w:tc>
          <w:tcPr>
            <w:tcW w:w="1346" w:type="dxa"/>
            <w:vMerge/>
            <w:tcBorders>
              <w:top w:val="double" w:sz="6" w:space="0" w:color="auto"/>
              <w:left w:val="nil"/>
              <w:bottom w:val="single" w:sz="8" w:space="0" w:color="000000"/>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704" w:type="dxa"/>
            <w:tcBorders>
              <w:top w:val="nil"/>
              <w:left w:val="nil"/>
              <w:bottom w:val="single" w:sz="8" w:space="0" w:color="auto"/>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228" w:type="dxa"/>
            <w:vMerge/>
            <w:tcBorders>
              <w:top w:val="nil"/>
              <w:left w:val="nil"/>
              <w:bottom w:val="single" w:sz="8" w:space="0" w:color="000000"/>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908"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r>
      <w:tr w:rsidR="00D06979" w:rsidRPr="00472BDB" w:rsidTr="00A77EAB">
        <w:trPr>
          <w:trHeight w:val="302"/>
        </w:trPr>
        <w:tc>
          <w:tcPr>
            <w:tcW w:w="1346" w:type="dxa"/>
            <w:vMerge w:val="restart"/>
            <w:tcBorders>
              <w:top w:val="nil"/>
              <w:left w:val="nil"/>
              <w:bottom w:val="nil"/>
              <w:right w:val="nil"/>
            </w:tcBorders>
            <w:shd w:val="clear" w:color="auto" w:fill="auto"/>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Aucun</w:t>
            </w: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42,9</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41,9</w:t>
            </w:r>
          </w:p>
        </w:tc>
        <w:tc>
          <w:tcPr>
            <w:tcW w:w="228" w:type="dxa"/>
            <w:vMerge w:val="restart"/>
            <w:tcBorders>
              <w:top w:val="nil"/>
              <w:left w:val="nil"/>
              <w:bottom w:val="nil"/>
              <w:right w:val="nil"/>
            </w:tcBorders>
            <w:shd w:val="clear" w:color="auto" w:fill="auto"/>
            <w:noWrap/>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45,6</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39,8</w:t>
            </w:r>
          </w:p>
        </w:tc>
      </w:tr>
      <w:tr w:rsidR="00D06979" w:rsidRPr="00472BDB" w:rsidTr="00A77EAB">
        <w:trPr>
          <w:trHeight w:val="288"/>
        </w:trPr>
        <w:tc>
          <w:tcPr>
            <w:tcW w:w="1346" w:type="dxa"/>
            <w:vMerge/>
            <w:tcBorders>
              <w:top w:val="nil"/>
              <w:left w:val="nil"/>
              <w:bottom w:val="nil"/>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(0,022)</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(0,022)</w:t>
            </w:r>
          </w:p>
        </w:tc>
        <w:tc>
          <w:tcPr>
            <w:tcW w:w="228" w:type="dxa"/>
            <w:vMerge/>
            <w:tcBorders>
              <w:top w:val="nil"/>
              <w:left w:val="nil"/>
              <w:bottom w:val="nil"/>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(0,021)</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(0,021)</w:t>
            </w:r>
          </w:p>
        </w:tc>
      </w:tr>
      <w:tr w:rsidR="00D06979" w:rsidRPr="00472BDB" w:rsidTr="00A77EAB">
        <w:trPr>
          <w:trHeight w:val="288"/>
        </w:trPr>
        <w:tc>
          <w:tcPr>
            <w:tcW w:w="1346" w:type="dxa"/>
            <w:vMerge w:val="restart"/>
            <w:tcBorders>
              <w:top w:val="nil"/>
              <w:left w:val="nil"/>
              <w:bottom w:val="nil"/>
              <w:right w:val="nil"/>
            </w:tcBorders>
            <w:shd w:val="clear" w:color="auto" w:fill="auto"/>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Primaire</w:t>
            </w: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33,0</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20,6</w:t>
            </w:r>
          </w:p>
        </w:tc>
        <w:tc>
          <w:tcPr>
            <w:tcW w:w="228" w:type="dxa"/>
            <w:vMerge w:val="restart"/>
            <w:tcBorders>
              <w:top w:val="nil"/>
              <w:left w:val="nil"/>
              <w:bottom w:val="nil"/>
              <w:right w:val="nil"/>
            </w:tcBorders>
            <w:shd w:val="clear" w:color="auto" w:fill="auto"/>
            <w:noWrap/>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37,5</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17,8</w:t>
            </w:r>
          </w:p>
        </w:tc>
      </w:tr>
      <w:tr w:rsidR="00D06979" w:rsidRPr="00472BDB" w:rsidTr="00A77EAB">
        <w:trPr>
          <w:trHeight w:val="288"/>
        </w:trPr>
        <w:tc>
          <w:tcPr>
            <w:tcW w:w="1346" w:type="dxa"/>
            <w:vMerge/>
            <w:tcBorders>
              <w:top w:val="nil"/>
              <w:left w:val="nil"/>
              <w:bottom w:val="nil"/>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(0,034)</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(0,029)</w:t>
            </w:r>
          </w:p>
        </w:tc>
        <w:tc>
          <w:tcPr>
            <w:tcW w:w="228" w:type="dxa"/>
            <w:vMerge/>
            <w:tcBorders>
              <w:top w:val="nil"/>
              <w:left w:val="nil"/>
              <w:bottom w:val="nil"/>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(0,038)</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(0,030)</w:t>
            </w:r>
          </w:p>
        </w:tc>
      </w:tr>
      <w:tr w:rsidR="00D06979" w:rsidRPr="00472BDB" w:rsidTr="00A77EAB">
        <w:trPr>
          <w:trHeight w:val="288"/>
        </w:trPr>
        <w:tc>
          <w:tcPr>
            <w:tcW w:w="1346" w:type="dxa"/>
            <w:vMerge w:val="restart"/>
            <w:tcBorders>
              <w:top w:val="nil"/>
              <w:left w:val="nil"/>
              <w:bottom w:val="nil"/>
              <w:right w:val="nil"/>
            </w:tcBorders>
            <w:shd w:val="clear" w:color="auto" w:fill="auto"/>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Secondaire</w:t>
            </w: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24,2</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10,2</w:t>
            </w:r>
          </w:p>
        </w:tc>
        <w:tc>
          <w:tcPr>
            <w:tcW w:w="228" w:type="dxa"/>
            <w:vMerge w:val="restart"/>
            <w:tcBorders>
              <w:top w:val="nil"/>
              <w:left w:val="nil"/>
              <w:bottom w:val="nil"/>
              <w:right w:val="nil"/>
            </w:tcBorders>
            <w:shd w:val="clear" w:color="auto" w:fill="auto"/>
            <w:noWrap/>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28,2</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9,8</w:t>
            </w:r>
          </w:p>
        </w:tc>
      </w:tr>
      <w:tr w:rsidR="00D06979" w:rsidRPr="00472BDB" w:rsidTr="00A77EAB">
        <w:trPr>
          <w:trHeight w:val="288"/>
        </w:trPr>
        <w:tc>
          <w:tcPr>
            <w:tcW w:w="1346" w:type="dxa"/>
            <w:vMerge/>
            <w:tcBorders>
              <w:top w:val="nil"/>
              <w:left w:val="nil"/>
              <w:bottom w:val="nil"/>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(0,035)</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c>
          <w:tcPr>
            <w:tcW w:w="228" w:type="dxa"/>
            <w:vMerge/>
            <w:tcBorders>
              <w:top w:val="nil"/>
              <w:left w:val="nil"/>
              <w:bottom w:val="nil"/>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(0,037)</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r>
      <w:tr w:rsidR="00D06979" w:rsidRPr="00472BDB" w:rsidTr="00A77EAB">
        <w:trPr>
          <w:trHeight w:val="288"/>
        </w:trPr>
        <w:tc>
          <w:tcPr>
            <w:tcW w:w="1346" w:type="dxa"/>
            <w:vMerge w:val="restart"/>
            <w:tcBorders>
              <w:top w:val="nil"/>
              <w:left w:val="nil"/>
              <w:bottom w:val="single" w:sz="8" w:space="0" w:color="000000"/>
              <w:right w:val="nil"/>
            </w:tcBorders>
            <w:shd w:val="clear" w:color="auto" w:fill="auto"/>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Supérieur</w:t>
            </w: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10,5</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w:t>
            </w:r>
          </w:p>
        </w:tc>
        <w:tc>
          <w:tcPr>
            <w:tcW w:w="228" w:type="dxa"/>
            <w:vMerge w:val="restart"/>
            <w:tcBorders>
              <w:top w:val="nil"/>
              <w:left w:val="nil"/>
              <w:bottom w:val="single" w:sz="8" w:space="0" w:color="000000"/>
              <w:right w:val="nil"/>
            </w:tcBorders>
            <w:shd w:val="clear" w:color="auto" w:fill="auto"/>
            <w:noWrap/>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15,8</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2,1</w:t>
            </w:r>
          </w:p>
        </w:tc>
      </w:tr>
      <w:tr w:rsidR="00D06979" w:rsidRPr="00472BDB" w:rsidTr="00A77EAB">
        <w:trPr>
          <w:trHeight w:val="302"/>
        </w:trPr>
        <w:tc>
          <w:tcPr>
            <w:tcW w:w="1346" w:type="dxa"/>
            <w:vMerge/>
            <w:tcBorders>
              <w:top w:val="nil"/>
              <w:left w:val="nil"/>
              <w:bottom w:val="single" w:sz="8" w:space="0" w:color="000000"/>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(0,022)</w:t>
            </w:r>
          </w:p>
        </w:tc>
        <w:tc>
          <w:tcPr>
            <w:tcW w:w="1704" w:type="dxa"/>
            <w:tcBorders>
              <w:top w:val="nil"/>
              <w:left w:val="nil"/>
              <w:bottom w:val="single" w:sz="8" w:space="0" w:color="auto"/>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(0,023)</w:t>
            </w:r>
          </w:p>
        </w:tc>
        <w:tc>
          <w:tcPr>
            <w:tcW w:w="228" w:type="dxa"/>
            <w:vMerge/>
            <w:tcBorders>
              <w:top w:val="nil"/>
              <w:left w:val="nil"/>
              <w:bottom w:val="single" w:sz="8" w:space="0" w:color="000000"/>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(0,060)</w:t>
            </w:r>
          </w:p>
        </w:tc>
        <w:tc>
          <w:tcPr>
            <w:tcW w:w="1908" w:type="dxa"/>
            <w:tcBorders>
              <w:top w:val="nil"/>
              <w:left w:val="nil"/>
              <w:bottom w:val="single" w:sz="8"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(0,024)</w:t>
            </w:r>
          </w:p>
        </w:tc>
      </w:tr>
      <w:tr w:rsidR="00D06979" w:rsidRPr="00472BDB" w:rsidTr="00A77EAB">
        <w:trPr>
          <w:trHeight w:val="288"/>
        </w:trPr>
        <w:tc>
          <w:tcPr>
            <w:tcW w:w="1346" w:type="dxa"/>
            <w:vMerge w:val="restart"/>
            <w:tcBorders>
              <w:top w:val="nil"/>
              <w:left w:val="nil"/>
              <w:bottom w:val="double" w:sz="6" w:space="0" w:color="000000"/>
              <w:right w:val="nil"/>
            </w:tcBorders>
            <w:shd w:val="clear" w:color="auto" w:fill="auto"/>
            <w:hideMark/>
          </w:tcPr>
          <w:p w:rsidR="00314ED8" w:rsidRDefault="007C1557" w:rsidP="00A77EAB">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Ensemble</w:t>
            </w:r>
          </w:p>
        </w:tc>
        <w:tc>
          <w:tcPr>
            <w:tcW w:w="141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36,2</w:t>
            </w:r>
          </w:p>
        </w:tc>
        <w:tc>
          <w:tcPr>
            <w:tcW w:w="1704" w:type="dxa"/>
            <w:tcBorders>
              <w:top w:val="nil"/>
              <w:left w:val="nil"/>
              <w:bottom w:val="nil"/>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30,2</w:t>
            </w:r>
          </w:p>
        </w:tc>
        <w:tc>
          <w:tcPr>
            <w:tcW w:w="228" w:type="dxa"/>
            <w:vMerge w:val="restart"/>
            <w:tcBorders>
              <w:top w:val="nil"/>
              <w:left w:val="nil"/>
              <w:bottom w:val="double" w:sz="6" w:space="0" w:color="000000"/>
              <w:right w:val="nil"/>
            </w:tcBorders>
            <w:shd w:val="clear" w:color="auto" w:fill="auto"/>
            <w:noWrap/>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40,1</w:t>
            </w:r>
          </w:p>
        </w:tc>
        <w:tc>
          <w:tcPr>
            <w:tcW w:w="1908" w:type="dxa"/>
            <w:tcBorders>
              <w:top w:val="nil"/>
              <w:left w:val="nil"/>
              <w:bottom w:val="nil"/>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29,4</w:t>
            </w:r>
          </w:p>
        </w:tc>
      </w:tr>
      <w:tr w:rsidR="00D06979" w:rsidRPr="00472BDB" w:rsidTr="00A77EAB">
        <w:trPr>
          <w:trHeight w:val="302"/>
        </w:trPr>
        <w:tc>
          <w:tcPr>
            <w:tcW w:w="1346" w:type="dxa"/>
            <w:vMerge/>
            <w:tcBorders>
              <w:top w:val="nil"/>
              <w:left w:val="nil"/>
              <w:bottom w:val="double" w:sz="6" w:space="0" w:color="000000"/>
              <w:right w:val="nil"/>
            </w:tcBorders>
            <w:vAlign w:val="center"/>
            <w:hideMark/>
          </w:tcPr>
          <w:p w:rsidR="00314ED8" w:rsidRDefault="00314ED8" w:rsidP="00A77EAB">
            <w:pPr>
              <w:spacing w:after="0" w:line="240" w:lineRule="auto"/>
              <w:rPr>
                <w:rFonts w:ascii="Arial" w:eastAsia="Times New Roman" w:hAnsi="Arial" w:cs="Arial"/>
                <w:color w:val="000000"/>
                <w:lang w:eastAsia="fr-FR"/>
              </w:rPr>
            </w:pPr>
          </w:p>
        </w:tc>
        <w:tc>
          <w:tcPr>
            <w:tcW w:w="1418" w:type="dxa"/>
            <w:tcBorders>
              <w:top w:val="nil"/>
              <w:left w:val="nil"/>
              <w:bottom w:val="double" w:sz="6"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704" w:type="dxa"/>
            <w:tcBorders>
              <w:top w:val="nil"/>
              <w:left w:val="nil"/>
              <w:bottom w:val="double" w:sz="6" w:space="0" w:color="auto"/>
              <w:right w:val="nil"/>
            </w:tcBorders>
            <w:shd w:val="clear" w:color="auto" w:fill="auto"/>
            <w:noWrap/>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228" w:type="dxa"/>
            <w:vMerge/>
            <w:tcBorders>
              <w:top w:val="nil"/>
              <w:left w:val="nil"/>
              <w:bottom w:val="double" w:sz="6" w:space="0" w:color="000000"/>
              <w:right w:val="nil"/>
            </w:tcBorders>
            <w:vAlign w:val="center"/>
            <w:hideMark/>
          </w:tcPr>
          <w:p w:rsidR="00314ED8" w:rsidRDefault="00314ED8" w:rsidP="00A77EAB">
            <w:pPr>
              <w:spacing w:after="0" w:line="240" w:lineRule="auto"/>
              <w:jc w:val="center"/>
              <w:rPr>
                <w:rFonts w:ascii="Arial" w:eastAsia="Times New Roman" w:hAnsi="Arial" w:cs="Arial"/>
                <w:color w:val="000000"/>
                <w:lang w:eastAsia="fr-FR"/>
              </w:rPr>
            </w:pPr>
          </w:p>
        </w:tc>
        <w:tc>
          <w:tcPr>
            <w:tcW w:w="1957" w:type="dxa"/>
            <w:tcBorders>
              <w:top w:val="nil"/>
              <w:left w:val="nil"/>
              <w:bottom w:val="double" w:sz="6"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908" w:type="dxa"/>
            <w:tcBorders>
              <w:top w:val="nil"/>
              <w:left w:val="nil"/>
              <w:bottom w:val="double" w:sz="6" w:space="0" w:color="auto"/>
              <w:right w:val="nil"/>
            </w:tcBorders>
            <w:shd w:val="clear" w:color="auto" w:fill="auto"/>
            <w:vAlign w:val="bottom"/>
            <w:hideMark/>
          </w:tcPr>
          <w:p w:rsidR="00314ED8" w:rsidRDefault="007C1557" w:rsidP="00A77EAB">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(0,015)</w:t>
            </w:r>
          </w:p>
        </w:tc>
      </w:tr>
    </w:tbl>
    <w:p w:rsidR="00314ED8" w:rsidRDefault="007C1557">
      <w:pPr>
        <w:widowControl w:val="0"/>
        <w:autoSpaceDE w:val="0"/>
        <w:autoSpaceDN w:val="0"/>
        <w:adjustRightInd w:val="0"/>
        <w:spacing w:after="0" w:line="240" w:lineRule="auto"/>
        <w:jc w:val="both"/>
        <w:rPr>
          <w:rFonts w:ascii="Arial" w:hAnsi="Arial" w:cs="Arial"/>
          <w:color w:val="000000"/>
        </w:rPr>
      </w:pPr>
      <w:r w:rsidRPr="007C1557">
        <w:rPr>
          <w:rFonts w:ascii="Arial" w:eastAsia="Cambria" w:hAnsi="Arial" w:cs="Arial"/>
          <w:u w:val="single"/>
        </w:rPr>
        <w:t>Source</w:t>
      </w:r>
      <w:r w:rsidRPr="007C1557">
        <w:rPr>
          <w:rFonts w:ascii="Arial" w:eastAsia="Cambria" w:hAnsi="Arial" w:cs="Arial"/>
        </w:rPr>
        <w:t xml:space="preserve"> : </w:t>
      </w:r>
      <w:r w:rsidRPr="007C1557">
        <w:rPr>
          <w:rFonts w:ascii="Arial" w:hAnsi="Arial" w:cs="Arial"/>
          <w:color w:val="000000"/>
        </w:rPr>
        <w:t>INSAE, EMICoV 2011 et  2015 /   NB : (.) = Erreur standard de la moyenne</w:t>
      </w:r>
    </w:p>
    <w:p w:rsidR="00A77EAB" w:rsidRDefault="00A77EAB" w:rsidP="00950C27">
      <w:pPr>
        <w:spacing w:after="0"/>
        <w:jc w:val="both"/>
        <w:rPr>
          <w:rFonts w:ascii="Arial" w:hAnsi="Arial" w:cs="Arial"/>
        </w:rPr>
      </w:pPr>
    </w:p>
    <w:p w:rsidR="00A77EAB" w:rsidRDefault="00950C27" w:rsidP="00A77EAB">
      <w:pPr>
        <w:jc w:val="both"/>
        <w:rPr>
          <w:rFonts w:ascii="Arial" w:hAnsi="Arial" w:cs="Arial"/>
        </w:rPr>
      </w:pPr>
      <w:r w:rsidRPr="007C1557">
        <w:rPr>
          <w:rFonts w:ascii="Arial" w:hAnsi="Arial" w:cs="Arial"/>
        </w:rPr>
        <w:t>Par ailleurs, en 2015, l’incidence de la pauvreté monétaire dans les ménages dont le chef n’a aucun niveau d’instruction est 1,2 fois plus élevée que dans les ménages où le chef a le niveau du primaire et 2,9 fois plus pour le niveau du supérieur.</w:t>
      </w:r>
      <w:r w:rsidR="00A77EAB" w:rsidRPr="007C1557">
        <w:rPr>
          <w:rFonts w:ascii="Arial" w:hAnsi="Arial" w:cs="Arial"/>
        </w:rPr>
        <w:t>On note une aggravation de l’incidence de la pauvreté monétaire entre 2011 et 2015 quel que soit le niveau d’instruction du chef de ménage. L’incidence de la pauvreté monétaire a augmenté de 5,3 points dans les ménages où le chef a le niveau supérieur et de 2,7 points dans les ménages où le chef n’a aucun niveau d’instruction.</w:t>
      </w:r>
    </w:p>
    <w:p w:rsidR="00314ED8" w:rsidRDefault="007C1557">
      <w:pPr>
        <w:keepNext/>
        <w:widowControl w:val="0"/>
        <w:tabs>
          <w:tab w:val="left" w:pos="720"/>
        </w:tabs>
        <w:autoSpaceDE w:val="0"/>
        <w:autoSpaceDN w:val="0"/>
        <w:adjustRightInd w:val="0"/>
        <w:jc w:val="both"/>
        <w:rPr>
          <w:rFonts w:ascii="Arial" w:eastAsia="Cambria" w:hAnsi="Arial" w:cs="Arial"/>
          <w:b/>
          <w:bCs/>
          <w:lang w:val="fr-CA" w:eastAsia="fr-FR"/>
        </w:rPr>
      </w:pPr>
      <w:r w:rsidRPr="007C1557">
        <w:rPr>
          <w:rFonts w:ascii="Arial" w:eastAsia="Cambria" w:hAnsi="Arial" w:cs="Arial"/>
          <w:b/>
          <w:bCs/>
          <w:lang w:eastAsia="fr-FR"/>
        </w:rPr>
        <w:t xml:space="preserve">Pauvreté et taille du ménage : </w:t>
      </w:r>
      <w:r w:rsidRPr="007C1557">
        <w:rPr>
          <w:rFonts w:ascii="Arial" w:eastAsia="Cambria" w:hAnsi="Arial" w:cs="Arial"/>
          <w:b/>
          <w:bCs/>
          <w:lang w:val="fr-CA" w:eastAsia="fr-FR"/>
        </w:rPr>
        <w:t>une relation mitigée</w:t>
      </w:r>
    </w:p>
    <w:p w:rsidR="00314ED8" w:rsidRDefault="007C1557">
      <w:pPr>
        <w:jc w:val="both"/>
        <w:rPr>
          <w:rFonts w:ascii="Arial" w:hAnsi="Arial" w:cs="Arial"/>
        </w:rPr>
      </w:pPr>
      <w:r w:rsidRPr="007C1557">
        <w:rPr>
          <w:rFonts w:ascii="Arial" w:hAnsi="Arial" w:cs="Arial"/>
        </w:rPr>
        <w:t>La taille du ménage influence aussi bien les dépenses de consommation que les conditions de vie et d’habitation. Le sens de la relation avec la pauvr</w:t>
      </w:r>
      <w:r w:rsidR="00B93FE5">
        <w:rPr>
          <w:rFonts w:ascii="Arial" w:hAnsi="Arial" w:cs="Arial"/>
        </w:rPr>
        <w:t>eté varie suivant les pays. Pour</w:t>
      </w:r>
      <w:r w:rsidRPr="007C1557">
        <w:rPr>
          <w:rFonts w:ascii="Arial" w:hAnsi="Arial" w:cs="Arial"/>
        </w:rPr>
        <w:t xml:space="preserve"> le cas du Bénin, l’analyse fondée sur les indices de pauvreté met en évidence une relation croissante dans la sphère monétaire et décroissante avec l’approche non monétaire. En effet, les individus vivant dans les ménages de taille élevée sont plus touchés par la pauvreté monétaire que ceux vivant dans les ménages de petite taille. Par contre la pauvreté non </w:t>
      </w:r>
      <w:r w:rsidRPr="007C1557">
        <w:rPr>
          <w:rFonts w:ascii="Arial" w:hAnsi="Arial" w:cs="Arial"/>
        </w:rPr>
        <w:lastRenderedPageBreak/>
        <w:t>monétaire touche plus les personnes</w:t>
      </w:r>
      <w:r w:rsidR="006459FA">
        <w:rPr>
          <w:rStyle w:val="Appelnotedebasdep"/>
          <w:rFonts w:ascii="Arial" w:hAnsi="Arial" w:cs="Arial"/>
        </w:rPr>
        <w:footnoteReference w:id="6"/>
      </w:r>
      <w:r w:rsidRPr="007C1557">
        <w:rPr>
          <w:rFonts w:ascii="Arial" w:hAnsi="Arial" w:cs="Arial"/>
        </w:rPr>
        <w:t xml:space="preserve"> vivant dans les ménages </w:t>
      </w:r>
      <w:r w:rsidR="00B93FE5">
        <w:rPr>
          <w:rFonts w:ascii="Arial" w:hAnsi="Arial" w:cs="Arial"/>
        </w:rPr>
        <w:t xml:space="preserve">de </w:t>
      </w:r>
      <w:r w:rsidRPr="007C1557">
        <w:rPr>
          <w:rFonts w:ascii="Arial" w:hAnsi="Arial" w:cs="Arial"/>
        </w:rPr>
        <w:t xml:space="preserve">petite taille comparativement aux ménages de grande taille (voir tableau 7). </w:t>
      </w:r>
    </w:p>
    <w:p w:rsidR="00314ED8" w:rsidRDefault="007C1557" w:rsidP="00950C27">
      <w:pPr>
        <w:spacing w:after="0"/>
        <w:jc w:val="both"/>
        <w:rPr>
          <w:rFonts w:ascii="Arial" w:hAnsi="Arial" w:cs="Arial"/>
        </w:rPr>
      </w:pPr>
      <w:r w:rsidRPr="007C1557">
        <w:rPr>
          <w:rFonts w:ascii="Arial" w:hAnsi="Arial" w:cs="Arial"/>
        </w:rPr>
        <w:t>La pauvreté monétaire s’est améliorée en 2015 par rapport à la situation de 2011 pour les ménages de 8 personnes et plus, alors que la situation des ménages de moins de 8 personnes s’est aggravée</w:t>
      </w:r>
      <w:r w:rsidR="00F05A23">
        <w:rPr>
          <w:rFonts w:ascii="Arial" w:hAnsi="Arial" w:cs="Arial"/>
        </w:rPr>
        <w:t xml:space="preserve">. </w:t>
      </w:r>
    </w:p>
    <w:p w:rsidR="00314ED8" w:rsidRDefault="00314ED8" w:rsidP="00950C27">
      <w:pPr>
        <w:spacing w:after="0"/>
        <w:jc w:val="both"/>
        <w:rPr>
          <w:rFonts w:ascii="Arial" w:hAnsi="Arial" w:cs="Arial"/>
        </w:rPr>
      </w:pPr>
    </w:p>
    <w:p w:rsidR="00314ED8" w:rsidRDefault="00C216A8">
      <w:pPr>
        <w:pStyle w:val="Lgende"/>
        <w:jc w:val="left"/>
        <w:rPr>
          <w:rFonts w:ascii="Arial" w:hAnsi="Arial" w:cs="Arial"/>
          <w:sz w:val="22"/>
          <w:szCs w:val="22"/>
        </w:rPr>
      </w:pPr>
      <w:bookmarkStart w:id="30" w:name="_Toc432425312"/>
      <w:r w:rsidRPr="00C216A8">
        <w:rPr>
          <w:rFonts w:ascii="Arial" w:hAnsi="Arial" w:cs="Arial"/>
          <w:sz w:val="22"/>
          <w:szCs w:val="22"/>
        </w:rPr>
        <w:t xml:space="preserve">Tableau </w:t>
      </w:r>
      <w:r w:rsidR="00115FEB" w:rsidRPr="00C216A8">
        <w:rPr>
          <w:rFonts w:ascii="Arial" w:hAnsi="Arial" w:cs="Arial"/>
          <w:sz w:val="22"/>
          <w:szCs w:val="22"/>
        </w:rPr>
        <w:fldChar w:fldCharType="begin"/>
      </w:r>
      <w:r w:rsidRPr="00C216A8">
        <w:rPr>
          <w:rFonts w:ascii="Arial" w:hAnsi="Arial" w:cs="Arial"/>
          <w:sz w:val="22"/>
          <w:szCs w:val="22"/>
        </w:rPr>
        <w:instrText xml:space="preserve"> SEQ Tableau \* ARABIC </w:instrText>
      </w:r>
      <w:r w:rsidR="00115FEB" w:rsidRPr="00C216A8">
        <w:rPr>
          <w:rFonts w:ascii="Arial" w:hAnsi="Arial" w:cs="Arial"/>
          <w:sz w:val="22"/>
          <w:szCs w:val="22"/>
        </w:rPr>
        <w:fldChar w:fldCharType="separate"/>
      </w:r>
      <w:r w:rsidR="00DB55D3">
        <w:rPr>
          <w:rFonts w:ascii="Arial" w:hAnsi="Arial" w:cs="Arial"/>
          <w:noProof/>
          <w:sz w:val="22"/>
          <w:szCs w:val="22"/>
        </w:rPr>
        <w:t>8</w:t>
      </w:r>
      <w:r w:rsidR="00115FEB" w:rsidRPr="00C216A8">
        <w:rPr>
          <w:rFonts w:ascii="Arial" w:hAnsi="Arial" w:cs="Arial"/>
          <w:sz w:val="22"/>
          <w:szCs w:val="22"/>
        </w:rPr>
        <w:fldChar w:fldCharType="end"/>
      </w:r>
      <w:r w:rsidR="007C1557" w:rsidRPr="007C1557">
        <w:rPr>
          <w:rFonts w:ascii="Arial" w:hAnsi="Arial" w:cs="Arial"/>
          <w:b/>
          <w:sz w:val="22"/>
          <w:szCs w:val="22"/>
        </w:rPr>
        <w:t>:</w:t>
      </w:r>
      <w:r w:rsidR="007C1557" w:rsidRPr="007C1557">
        <w:rPr>
          <w:rFonts w:ascii="Arial" w:hAnsi="Arial" w:cs="Arial"/>
          <w:sz w:val="22"/>
          <w:szCs w:val="22"/>
        </w:rPr>
        <w:t xml:space="preserve"> Pauvreté et taille du ménage</w:t>
      </w:r>
      <w:bookmarkEnd w:id="30"/>
    </w:p>
    <w:tbl>
      <w:tblPr>
        <w:tblW w:w="9790" w:type="dxa"/>
        <w:tblInd w:w="-142" w:type="dxa"/>
        <w:tblCellMar>
          <w:left w:w="70" w:type="dxa"/>
          <w:right w:w="70" w:type="dxa"/>
        </w:tblCellMar>
        <w:tblLook w:val="04A0" w:firstRow="1" w:lastRow="0" w:firstColumn="1" w:lastColumn="0" w:noHBand="0" w:noVBand="1"/>
      </w:tblPr>
      <w:tblGrid>
        <w:gridCol w:w="1924"/>
        <w:gridCol w:w="2007"/>
        <w:gridCol w:w="1815"/>
        <w:gridCol w:w="202"/>
        <w:gridCol w:w="1943"/>
        <w:gridCol w:w="1911"/>
      </w:tblGrid>
      <w:tr w:rsidR="00472BDB" w:rsidRPr="00F05A23" w:rsidTr="00D84DF2">
        <w:trPr>
          <w:trHeight w:val="334"/>
        </w:trPr>
        <w:tc>
          <w:tcPr>
            <w:tcW w:w="1924" w:type="dxa"/>
            <w:tcBorders>
              <w:top w:val="double" w:sz="6" w:space="0" w:color="auto"/>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3822" w:type="dxa"/>
            <w:gridSpan w:val="2"/>
            <w:tcBorders>
              <w:top w:val="double" w:sz="6" w:space="0" w:color="auto"/>
              <w:left w:val="nil"/>
              <w:bottom w:val="single" w:sz="8"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2011</w:t>
            </w:r>
          </w:p>
        </w:tc>
        <w:tc>
          <w:tcPr>
            <w:tcW w:w="190" w:type="dxa"/>
            <w:tcBorders>
              <w:top w:val="double" w:sz="6" w:space="0" w:color="auto"/>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3854" w:type="dxa"/>
            <w:gridSpan w:val="2"/>
            <w:tcBorders>
              <w:top w:val="double" w:sz="6" w:space="0" w:color="auto"/>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2015</w:t>
            </w:r>
          </w:p>
        </w:tc>
      </w:tr>
      <w:tr w:rsidR="00472BDB" w:rsidRPr="00F05A23" w:rsidTr="00D84DF2">
        <w:trPr>
          <w:trHeight w:val="303"/>
        </w:trPr>
        <w:tc>
          <w:tcPr>
            <w:tcW w:w="1924" w:type="dxa"/>
            <w:tcBorders>
              <w:top w:val="nil"/>
              <w:left w:val="nil"/>
              <w:bottom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007" w:type="dxa"/>
            <w:tcBorders>
              <w:top w:val="nil"/>
              <w:left w:val="nil"/>
              <w:bottom w:val="nil"/>
              <w:right w:val="nil"/>
            </w:tcBorders>
            <w:shd w:val="clear" w:color="auto" w:fill="auto"/>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Incidence de la pauvreté</w:t>
            </w:r>
          </w:p>
        </w:tc>
        <w:tc>
          <w:tcPr>
            <w:tcW w:w="1815" w:type="dxa"/>
            <w:tcBorders>
              <w:top w:val="nil"/>
              <w:left w:val="nil"/>
              <w:bottom w:val="nil"/>
              <w:right w:val="nil"/>
            </w:tcBorders>
            <w:shd w:val="clear" w:color="auto" w:fill="auto"/>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xml:space="preserve">Incidence de la pauvreté  </w:t>
            </w:r>
          </w:p>
        </w:tc>
        <w:tc>
          <w:tcPr>
            <w:tcW w:w="190" w:type="dxa"/>
            <w:vMerge w:val="restart"/>
            <w:tcBorders>
              <w:top w:val="nil"/>
              <w:left w:val="nil"/>
              <w:bottom w:val="single" w:sz="8" w:space="0" w:color="000000"/>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943" w:type="dxa"/>
            <w:tcBorders>
              <w:top w:val="nil"/>
              <w:left w:val="nil"/>
              <w:bottom w:val="nil"/>
              <w:right w:val="nil"/>
            </w:tcBorders>
            <w:shd w:val="clear" w:color="auto" w:fill="auto"/>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Incidence de la pauvreté</w:t>
            </w:r>
          </w:p>
        </w:tc>
        <w:tc>
          <w:tcPr>
            <w:tcW w:w="1911" w:type="dxa"/>
            <w:tcBorders>
              <w:top w:val="nil"/>
              <w:left w:val="nil"/>
              <w:bottom w:val="nil"/>
              <w:right w:val="nil"/>
            </w:tcBorders>
            <w:shd w:val="clear" w:color="auto" w:fill="auto"/>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xml:space="preserve">Incidence de la pauvreté  </w:t>
            </w:r>
          </w:p>
        </w:tc>
      </w:tr>
      <w:tr w:rsidR="00472BDB" w:rsidRPr="00F05A23" w:rsidTr="00D84DF2">
        <w:trPr>
          <w:trHeight w:val="303"/>
        </w:trPr>
        <w:tc>
          <w:tcPr>
            <w:tcW w:w="1924" w:type="dxa"/>
            <w:tcBorders>
              <w:top w:val="nil"/>
              <w:left w:val="nil"/>
              <w:bottom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xml:space="preserve"> monétaire</w:t>
            </w:r>
          </w:p>
        </w:tc>
        <w:tc>
          <w:tcPr>
            <w:tcW w:w="1815"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non monétaire</w:t>
            </w:r>
          </w:p>
        </w:tc>
        <w:tc>
          <w:tcPr>
            <w:tcW w:w="190"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xml:space="preserve"> monétaire</w:t>
            </w:r>
          </w:p>
        </w:tc>
        <w:tc>
          <w:tcPr>
            <w:tcW w:w="1911"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non monétaire</w:t>
            </w:r>
          </w:p>
        </w:tc>
      </w:tr>
      <w:tr w:rsidR="00472BDB" w:rsidRPr="00F05A23" w:rsidTr="00D84DF2">
        <w:trPr>
          <w:trHeight w:val="319"/>
        </w:trPr>
        <w:tc>
          <w:tcPr>
            <w:tcW w:w="1924"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007" w:type="dxa"/>
            <w:tcBorders>
              <w:top w:val="nil"/>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815" w:type="dxa"/>
            <w:tcBorders>
              <w:top w:val="nil"/>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90"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1911" w:type="dxa"/>
            <w:tcBorders>
              <w:top w:val="nil"/>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r>
      <w:tr w:rsidR="00472BDB" w:rsidRPr="00F05A23" w:rsidTr="00D84DF2">
        <w:trPr>
          <w:trHeight w:val="303"/>
        </w:trPr>
        <w:tc>
          <w:tcPr>
            <w:tcW w:w="1924" w:type="dxa"/>
            <w:vMerge w:val="restart"/>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Moins de 3 personnes</w:t>
            </w: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39,6</w:t>
            </w:r>
          </w:p>
        </w:tc>
        <w:tc>
          <w:tcPr>
            <w:tcW w:w="190" w:type="dxa"/>
            <w:vMerge w:val="restart"/>
            <w:tcBorders>
              <w:top w:val="nil"/>
              <w:left w:val="nil"/>
              <w:bottom w:val="nil"/>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16,9</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33,6</w:t>
            </w:r>
          </w:p>
        </w:tc>
      </w:tr>
      <w:tr w:rsidR="00472BDB" w:rsidRPr="00F05A23" w:rsidTr="00D84DF2">
        <w:trPr>
          <w:trHeight w:val="303"/>
        </w:trPr>
        <w:tc>
          <w:tcPr>
            <w:tcW w:w="1924"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(0,014)</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(0,069)</w:t>
            </w:r>
          </w:p>
        </w:tc>
        <w:tc>
          <w:tcPr>
            <w:tcW w:w="19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(0,042)</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(0,053)</w:t>
            </w:r>
          </w:p>
        </w:tc>
      </w:tr>
      <w:tr w:rsidR="00472BDB" w:rsidRPr="00F05A23" w:rsidTr="00D84DF2">
        <w:trPr>
          <w:trHeight w:val="303"/>
        </w:trPr>
        <w:tc>
          <w:tcPr>
            <w:tcW w:w="1924" w:type="dxa"/>
            <w:vMerge w:val="restart"/>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3 à 4 personnes</w:t>
            </w: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11,6</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31,8</w:t>
            </w:r>
          </w:p>
        </w:tc>
        <w:tc>
          <w:tcPr>
            <w:tcW w:w="190" w:type="dxa"/>
            <w:vMerge w:val="restart"/>
            <w:tcBorders>
              <w:top w:val="nil"/>
              <w:left w:val="nil"/>
              <w:bottom w:val="nil"/>
              <w:right w:val="nil"/>
            </w:tcBorders>
            <w:shd w:val="clear" w:color="auto" w:fill="auto"/>
            <w:noWrap/>
            <w:hideMark/>
          </w:tcPr>
          <w:p w:rsidR="00314ED8" w:rsidRDefault="00314ED8">
            <w:pPr>
              <w:spacing w:after="0" w:line="240" w:lineRule="auto"/>
              <w:jc w:val="center"/>
              <w:rPr>
                <w:rFonts w:ascii="Arial" w:eastAsia="Times New Roman" w:hAnsi="Arial" w:cs="Arial"/>
                <w:color w:val="000000"/>
                <w:lang w:eastAsia="fr-FR"/>
              </w:rPr>
            </w:pP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32,8</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30,8</w:t>
            </w:r>
          </w:p>
        </w:tc>
      </w:tr>
      <w:tr w:rsidR="00472BDB" w:rsidRPr="00F05A23" w:rsidTr="00D84DF2">
        <w:trPr>
          <w:trHeight w:val="303"/>
        </w:trPr>
        <w:tc>
          <w:tcPr>
            <w:tcW w:w="1924"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(0,036)</w:t>
            </w:r>
          </w:p>
        </w:tc>
        <w:tc>
          <w:tcPr>
            <w:tcW w:w="19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(0,029)</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(0,029)</w:t>
            </w:r>
          </w:p>
        </w:tc>
      </w:tr>
      <w:tr w:rsidR="00472BDB" w:rsidRPr="00F05A23" w:rsidTr="00D84DF2">
        <w:trPr>
          <w:trHeight w:val="303"/>
        </w:trPr>
        <w:tc>
          <w:tcPr>
            <w:tcW w:w="1924" w:type="dxa"/>
            <w:vMerge w:val="restart"/>
            <w:tcBorders>
              <w:top w:val="nil"/>
              <w:left w:val="nil"/>
              <w:bottom w:val="nil"/>
              <w:righ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5 à 7 personnes</w:t>
            </w: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33,3</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31,0</w:t>
            </w:r>
          </w:p>
        </w:tc>
        <w:tc>
          <w:tcPr>
            <w:tcW w:w="190" w:type="dxa"/>
            <w:vMerge w:val="restart"/>
            <w:tcBorders>
              <w:top w:val="nil"/>
              <w:left w:val="nil"/>
              <w:bottom w:val="nil"/>
              <w:right w:val="nil"/>
            </w:tcBorders>
            <w:shd w:val="clear" w:color="auto" w:fill="auto"/>
            <w:noWrap/>
            <w:hideMark/>
          </w:tcPr>
          <w:p w:rsidR="00314ED8" w:rsidRDefault="00314ED8">
            <w:pPr>
              <w:spacing w:after="0" w:line="240" w:lineRule="auto"/>
              <w:jc w:val="center"/>
              <w:rPr>
                <w:rFonts w:ascii="Arial" w:eastAsia="Times New Roman" w:hAnsi="Arial" w:cs="Arial"/>
                <w:color w:val="000000"/>
                <w:lang w:eastAsia="fr-FR"/>
              </w:rPr>
            </w:pP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43,3</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28,6</w:t>
            </w:r>
          </w:p>
        </w:tc>
      </w:tr>
      <w:tr w:rsidR="00472BDB" w:rsidRPr="00F05A23" w:rsidTr="00D84DF2">
        <w:trPr>
          <w:trHeight w:val="303"/>
        </w:trPr>
        <w:tc>
          <w:tcPr>
            <w:tcW w:w="1924"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c>
          <w:tcPr>
            <w:tcW w:w="19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(0,025)</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(0,023)</w:t>
            </w:r>
          </w:p>
        </w:tc>
      </w:tr>
      <w:tr w:rsidR="00472BDB" w:rsidRPr="00F05A23" w:rsidTr="00D84DF2">
        <w:trPr>
          <w:trHeight w:val="303"/>
        </w:trPr>
        <w:tc>
          <w:tcPr>
            <w:tcW w:w="1924" w:type="dxa"/>
            <w:vMerge w:val="restart"/>
            <w:tcBorders>
              <w:top w:val="nil"/>
              <w:left w:val="nil"/>
              <w:bottom w:val="single" w:sz="8" w:space="0" w:color="000000"/>
              <w:righ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8 personnes et plus</w:t>
            </w: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59,3</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26,7</w:t>
            </w:r>
          </w:p>
        </w:tc>
        <w:tc>
          <w:tcPr>
            <w:tcW w:w="190" w:type="dxa"/>
            <w:vMerge w:val="restart"/>
            <w:tcBorders>
              <w:top w:val="nil"/>
              <w:left w:val="nil"/>
              <w:bottom w:val="single" w:sz="8" w:space="0" w:color="000000"/>
              <w:right w:val="nil"/>
            </w:tcBorders>
            <w:shd w:val="clear" w:color="auto" w:fill="auto"/>
            <w:noWrap/>
            <w:hideMark/>
          </w:tcPr>
          <w:p w:rsidR="00314ED8" w:rsidRDefault="00314ED8">
            <w:pPr>
              <w:spacing w:after="0" w:line="240" w:lineRule="auto"/>
              <w:jc w:val="center"/>
              <w:rPr>
                <w:rFonts w:ascii="Arial" w:eastAsia="Times New Roman" w:hAnsi="Arial" w:cs="Arial"/>
                <w:color w:val="000000"/>
                <w:lang w:eastAsia="fr-FR"/>
              </w:rPr>
            </w:pP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53,0</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27,5</w:t>
            </w:r>
          </w:p>
        </w:tc>
      </w:tr>
      <w:tr w:rsidR="00472BDB" w:rsidRPr="00F05A23" w:rsidTr="00D84DF2">
        <w:trPr>
          <w:trHeight w:val="319"/>
        </w:trPr>
        <w:tc>
          <w:tcPr>
            <w:tcW w:w="1924"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007" w:type="dxa"/>
            <w:tcBorders>
              <w:top w:val="nil"/>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(0,028)</w:t>
            </w:r>
          </w:p>
        </w:tc>
        <w:tc>
          <w:tcPr>
            <w:tcW w:w="1815"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(0,026)</w:t>
            </w:r>
          </w:p>
        </w:tc>
        <w:tc>
          <w:tcPr>
            <w:tcW w:w="190"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(0,036)</w:t>
            </w:r>
          </w:p>
        </w:tc>
        <w:tc>
          <w:tcPr>
            <w:tcW w:w="1911"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(0,033)</w:t>
            </w:r>
          </w:p>
        </w:tc>
      </w:tr>
      <w:tr w:rsidR="00472BDB" w:rsidRPr="00F05A23" w:rsidTr="00D84DF2">
        <w:trPr>
          <w:trHeight w:val="303"/>
        </w:trPr>
        <w:tc>
          <w:tcPr>
            <w:tcW w:w="1924" w:type="dxa"/>
            <w:vMerge w:val="restart"/>
            <w:tcBorders>
              <w:top w:val="nil"/>
              <w:left w:val="nil"/>
              <w:bottom w:val="double" w:sz="6" w:space="0" w:color="000000"/>
              <w:righ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Ensemble</w:t>
            </w:r>
          </w:p>
        </w:tc>
        <w:tc>
          <w:tcPr>
            <w:tcW w:w="2007"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36,2</w:t>
            </w:r>
          </w:p>
        </w:tc>
        <w:tc>
          <w:tcPr>
            <w:tcW w:w="1815"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30,2</w:t>
            </w:r>
          </w:p>
        </w:tc>
        <w:tc>
          <w:tcPr>
            <w:tcW w:w="190" w:type="dxa"/>
            <w:vMerge w:val="restart"/>
            <w:tcBorders>
              <w:top w:val="nil"/>
              <w:left w:val="nil"/>
              <w:bottom w:val="double" w:sz="6" w:space="0" w:color="000000"/>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1943"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40,1</w:t>
            </w:r>
          </w:p>
        </w:tc>
        <w:tc>
          <w:tcPr>
            <w:tcW w:w="1911"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29,4</w:t>
            </w:r>
          </w:p>
        </w:tc>
      </w:tr>
      <w:tr w:rsidR="00472BDB" w:rsidRPr="00F05A23" w:rsidTr="00D84DF2">
        <w:trPr>
          <w:trHeight w:val="319"/>
        </w:trPr>
        <w:tc>
          <w:tcPr>
            <w:tcW w:w="1924" w:type="dxa"/>
            <w:vMerge/>
            <w:tcBorders>
              <w:top w:val="nil"/>
              <w:left w:val="nil"/>
              <w:bottom w:val="double" w:sz="6"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007" w:type="dxa"/>
            <w:tcBorders>
              <w:top w:val="nil"/>
              <w:left w:val="nil"/>
              <w:bottom w:val="double" w:sz="6"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815" w:type="dxa"/>
            <w:tcBorders>
              <w:top w:val="nil"/>
              <w:left w:val="nil"/>
              <w:bottom w:val="double" w:sz="6"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90" w:type="dxa"/>
            <w:vMerge/>
            <w:tcBorders>
              <w:top w:val="nil"/>
              <w:left w:val="nil"/>
              <w:bottom w:val="double" w:sz="6"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1943" w:type="dxa"/>
            <w:tcBorders>
              <w:top w:val="nil"/>
              <w:left w:val="nil"/>
              <w:bottom w:val="double" w:sz="6"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(0,016)</w:t>
            </w:r>
          </w:p>
        </w:tc>
        <w:tc>
          <w:tcPr>
            <w:tcW w:w="1911" w:type="dxa"/>
            <w:tcBorders>
              <w:top w:val="nil"/>
              <w:left w:val="nil"/>
              <w:bottom w:val="double" w:sz="6"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(-0,015)</w:t>
            </w:r>
          </w:p>
        </w:tc>
      </w:tr>
    </w:tbl>
    <w:p w:rsidR="00314ED8" w:rsidRDefault="007C1557">
      <w:pPr>
        <w:widowControl w:val="0"/>
        <w:autoSpaceDE w:val="0"/>
        <w:autoSpaceDN w:val="0"/>
        <w:adjustRightInd w:val="0"/>
        <w:spacing w:after="0" w:line="240" w:lineRule="auto"/>
        <w:jc w:val="both"/>
        <w:rPr>
          <w:rFonts w:ascii="Arial" w:hAnsi="Arial" w:cs="Arial"/>
          <w:color w:val="000000"/>
        </w:rPr>
      </w:pPr>
      <w:r w:rsidRPr="007C1557">
        <w:rPr>
          <w:rFonts w:ascii="Arial" w:eastAsia="Cambria" w:hAnsi="Arial" w:cs="Arial"/>
          <w:u w:val="single"/>
        </w:rPr>
        <w:t>Source</w:t>
      </w:r>
      <w:r w:rsidRPr="007C1557">
        <w:rPr>
          <w:rFonts w:ascii="Arial" w:eastAsia="Cambria" w:hAnsi="Arial" w:cs="Arial"/>
        </w:rPr>
        <w:t xml:space="preserve"> : </w:t>
      </w:r>
      <w:r w:rsidRPr="007C1557">
        <w:rPr>
          <w:rFonts w:ascii="Arial" w:hAnsi="Arial" w:cs="Arial"/>
          <w:color w:val="000000"/>
        </w:rPr>
        <w:t>INSAE, EMICoV 2011 et  2015 /   NB : (.) = Erreur standard de la moyenne</w:t>
      </w:r>
    </w:p>
    <w:p w:rsidR="00314ED8" w:rsidRDefault="00314ED8">
      <w:pPr>
        <w:rPr>
          <w:lang w:eastAsia="fr-FR"/>
        </w:rPr>
      </w:pPr>
    </w:p>
    <w:p w:rsidR="004A47B1" w:rsidRDefault="004A47B1">
      <w:pPr>
        <w:rPr>
          <w:lang w:eastAsia="fr-FR"/>
        </w:rPr>
      </w:pPr>
    </w:p>
    <w:p w:rsidR="00314ED8" w:rsidRDefault="007C1557">
      <w:pPr>
        <w:keepNext/>
        <w:widowControl w:val="0"/>
        <w:tabs>
          <w:tab w:val="left" w:pos="720"/>
        </w:tabs>
        <w:autoSpaceDE w:val="0"/>
        <w:autoSpaceDN w:val="0"/>
        <w:adjustRightInd w:val="0"/>
        <w:jc w:val="both"/>
        <w:rPr>
          <w:rFonts w:ascii="Arial" w:eastAsia="Cambria" w:hAnsi="Arial" w:cs="Arial"/>
          <w:b/>
          <w:bCs/>
          <w:lang w:val="fr-CA" w:eastAsia="fr-FR"/>
        </w:rPr>
      </w:pPr>
      <w:r w:rsidRPr="007C1557">
        <w:rPr>
          <w:rFonts w:ascii="Arial" w:eastAsia="Cambria" w:hAnsi="Arial" w:cs="Arial"/>
          <w:b/>
          <w:bCs/>
          <w:lang w:eastAsia="fr-FR"/>
        </w:rPr>
        <w:lastRenderedPageBreak/>
        <w:t>Pauvreté et  sexe du chef de ménage: la pauvreté monétaire touche plus les personnes vivant dans les ménages dirigés par les hommes alors que la pauvreté non monétaire affecte plus les personnes vivant dans les ménages dirigés par les femmes</w:t>
      </w:r>
    </w:p>
    <w:p w:rsidR="00314ED8" w:rsidRDefault="007C1557">
      <w:pPr>
        <w:pStyle w:val="Paragraphedeliste"/>
        <w:keepNext/>
        <w:ind w:left="0"/>
        <w:contextualSpacing w:val="0"/>
        <w:jc w:val="both"/>
        <w:rPr>
          <w:rFonts w:ascii="Arial" w:hAnsi="Arial" w:cs="Arial"/>
        </w:rPr>
      </w:pPr>
      <w:r w:rsidRPr="007C1557">
        <w:rPr>
          <w:rFonts w:ascii="Arial" w:hAnsi="Arial" w:cs="Arial"/>
        </w:rPr>
        <w:t xml:space="preserve">Le sexe du chef de ménage joue un rôle important dans l’analyse des conditions de vie des ménages au Bénin. </w:t>
      </w:r>
      <w:r w:rsidR="008835BC">
        <w:rPr>
          <w:rFonts w:ascii="Arial" w:hAnsi="Arial" w:cs="Arial"/>
        </w:rPr>
        <w:t>L</w:t>
      </w:r>
      <w:r w:rsidRPr="007C1557">
        <w:rPr>
          <w:rFonts w:ascii="Arial" w:hAnsi="Arial" w:cs="Arial"/>
        </w:rPr>
        <w:t xml:space="preserve">a pauvreté monétaire touche plus les </w:t>
      </w:r>
      <w:r w:rsidRPr="007C1557">
        <w:rPr>
          <w:rFonts w:ascii="Arial" w:eastAsia="Cambria" w:hAnsi="Arial" w:cs="Arial"/>
          <w:bCs/>
          <w:lang w:eastAsia="fr-FR"/>
        </w:rPr>
        <w:t xml:space="preserve">personnes vivant dans les </w:t>
      </w:r>
      <w:r w:rsidRPr="007C1557">
        <w:rPr>
          <w:rFonts w:ascii="Arial" w:hAnsi="Arial" w:cs="Arial"/>
        </w:rPr>
        <w:t xml:space="preserve">ménages dirigés par les hommes que ceux dirigés par les femmes alors que la pauvreté non monétaire touches plus les </w:t>
      </w:r>
      <w:r w:rsidRPr="007C1557">
        <w:rPr>
          <w:rFonts w:ascii="Arial" w:eastAsia="Cambria" w:hAnsi="Arial" w:cs="Arial"/>
          <w:bCs/>
          <w:lang w:eastAsia="fr-FR"/>
        </w:rPr>
        <w:t xml:space="preserve">personnes vivant dans les ménages dirigés par les </w:t>
      </w:r>
      <w:r w:rsidRPr="007C1557">
        <w:rPr>
          <w:rFonts w:ascii="Arial" w:hAnsi="Arial" w:cs="Arial"/>
        </w:rPr>
        <w:t>femmes que ceux dirigés par les hommes.</w:t>
      </w:r>
    </w:p>
    <w:p w:rsidR="00314ED8" w:rsidRDefault="007C1557">
      <w:pPr>
        <w:pStyle w:val="Paragraphedeliste"/>
        <w:keepNext/>
        <w:ind w:left="0"/>
        <w:contextualSpacing w:val="0"/>
        <w:jc w:val="both"/>
        <w:rPr>
          <w:rFonts w:ascii="Arial" w:hAnsi="Arial" w:cs="Arial"/>
        </w:rPr>
      </w:pPr>
      <w:r w:rsidRPr="007C1557">
        <w:rPr>
          <w:rFonts w:ascii="Arial" w:hAnsi="Arial" w:cs="Arial"/>
        </w:rPr>
        <w:t>En effet, l’incidence de pauvreté monétaire au niveau des mé</w:t>
      </w:r>
      <w:r w:rsidR="00B93FE5">
        <w:rPr>
          <w:rFonts w:ascii="Arial" w:hAnsi="Arial" w:cs="Arial"/>
        </w:rPr>
        <w:t>nages dirigés par les hommes s’est établie</w:t>
      </w:r>
      <w:r w:rsidRPr="007C1557">
        <w:rPr>
          <w:rFonts w:ascii="Arial" w:hAnsi="Arial" w:cs="Arial"/>
        </w:rPr>
        <w:t xml:space="preserve"> à 40,2% contre 39,7% pour les ménages dirigés par les femmes en 2015. Cette situation s’est nettementaméliorée par rapport à celle de 2011: l’incidence de la pauvreté monétaire est de 38,0% pour les ménages dirigés par les hommes contre 27,6% pour les ménages dirigés par les femmes. </w:t>
      </w:r>
    </w:p>
    <w:p w:rsidR="00314ED8" w:rsidRDefault="007C1557">
      <w:pPr>
        <w:pStyle w:val="Paragraphedeliste"/>
        <w:keepNext/>
        <w:ind w:left="0"/>
        <w:contextualSpacing w:val="0"/>
        <w:jc w:val="both"/>
        <w:rPr>
          <w:rFonts w:ascii="Arial" w:hAnsi="Arial" w:cs="Arial"/>
        </w:rPr>
      </w:pPr>
      <w:r w:rsidRPr="007C1557">
        <w:rPr>
          <w:rFonts w:ascii="Arial" w:hAnsi="Arial" w:cs="Arial"/>
        </w:rPr>
        <w:t>En revanche, la pauvreté non monétaire touche environ 1,3 fois les ménages dirigés par les femmes que ceux dirigés par les hommes.</w:t>
      </w:r>
    </w:p>
    <w:p w:rsidR="00314ED8" w:rsidRDefault="00AC7213">
      <w:pPr>
        <w:pStyle w:val="Paragraphedeliste"/>
        <w:keepNext/>
        <w:ind w:left="0"/>
        <w:contextualSpacing w:val="0"/>
        <w:jc w:val="both"/>
        <w:rPr>
          <w:rFonts w:ascii="Arial" w:hAnsi="Arial" w:cs="Arial"/>
        </w:rPr>
      </w:pPr>
      <w:r>
        <w:rPr>
          <w:rFonts w:ascii="Arial" w:hAnsi="Arial" w:cs="Arial"/>
        </w:rPr>
        <w:t>Ces</w:t>
      </w:r>
      <w:r w:rsidR="007C1557" w:rsidRPr="007C1557">
        <w:rPr>
          <w:rFonts w:ascii="Arial" w:hAnsi="Arial" w:cs="Arial"/>
        </w:rPr>
        <w:t xml:space="preserve"> tendance</w:t>
      </w:r>
      <w:r>
        <w:rPr>
          <w:rFonts w:ascii="Arial" w:hAnsi="Arial" w:cs="Arial"/>
        </w:rPr>
        <w:t xml:space="preserve">s confirment celles mises en évidence dans le rapport sur l’évaluation de la pauvreté au Bénin (INSAE, 2014). Le résultat </w:t>
      </w:r>
      <w:r w:rsidR="007C1557" w:rsidRPr="007C1557">
        <w:rPr>
          <w:rFonts w:ascii="Arial" w:hAnsi="Arial" w:cs="Arial"/>
        </w:rPr>
        <w:t>observé</w:t>
      </w:r>
      <w:r>
        <w:rPr>
          <w:rFonts w:ascii="Arial" w:hAnsi="Arial" w:cs="Arial"/>
        </w:rPr>
        <w:t xml:space="preserve"> notamment</w:t>
      </w:r>
      <w:r w:rsidR="008E764F">
        <w:rPr>
          <w:rFonts w:ascii="Arial" w:hAnsi="Arial" w:cs="Arial"/>
        </w:rPr>
        <w:t xml:space="preserve"> </w:t>
      </w:r>
      <w:r>
        <w:rPr>
          <w:rFonts w:ascii="Arial" w:hAnsi="Arial" w:cs="Arial"/>
        </w:rPr>
        <w:t>en ce qui concerne la pauvreté monétaire entre 2011 et 2015 p</w:t>
      </w:r>
      <w:r w:rsidR="00B93FE5">
        <w:rPr>
          <w:rFonts w:ascii="Arial" w:hAnsi="Arial" w:cs="Arial"/>
        </w:rPr>
        <w:t>ourrait également être expliqué</w:t>
      </w:r>
      <w:r>
        <w:rPr>
          <w:rFonts w:ascii="Arial" w:hAnsi="Arial" w:cs="Arial"/>
        </w:rPr>
        <w:t xml:space="preserve"> entre autres, </w:t>
      </w:r>
      <w:r w:rsidR="007C1557" w:rsidRPr="007C1557">
        <w:rPr>
          <w:rFonts w:ascii="Arial" w:hAnsi="Arial" w:cs="Arial"/>
        </w:rPr>
        <w:br/>
        <w:t>le fait que les femmes chef de ménage</w:t>
      </w:r>
      <w:r w:rsidRPr="00AC7213">
        <w:rPr>
          <w:rFonts w:ascii="Arial" w:hAnsi="Arial" w:cs="Arial"/>
        </w:rPr>
        <w:t xml:space="preserve"> bénéficient généralement de leur autonomie</w:t>
      </w:r>
      <w:r w:rsidR="008E764F">
        <w:rPr>
          <w:rFonts w:ascii="Arial" w:hAnsi="Arial" w:cs="Arial"/>
        </w:rPr>
        <w:t xml:space="preserve"> </w:t>
      </w:r>
      <w:r w:rsidRPr="00AC7213">
        <w:rPr>
          <w:rFonts w:ascii="Arial" w:hAnsi="Arial" w:cs="Arial"/>
        </w:rPr>
        <w:t>économique suffisante</w:t>
      </w:r>
      <w:r w:rsidR="007C1557" w:rsidRPr="007C1557">
        <w:rPr>
          <w:rFonts w:ascii="Arial" w:hAnsi="Arial" w:cs="Arial"/>
        </w:rPr>
        <w:t>, résultant en partie</w:t>
      </w:r>
      <w:r w:rsidRPr="00AC7213">
        <w:rPr>
          <w:rFonts w:ascii="Arial" w:hAnsi="Arial" w:cs="Arial"/>
        </w:rPr>
        <w:t xml:space="preserve"> de leur situation matrimoniale, de la taille du ménage et leurs secteurs d’activités</w:t>
      </w:r>
      <w:r>
        <w:rPr>
          <w:rFonts w:ascii="Arial" w:hAnsi="Arial" w:cs="Arial"/>
        </w:rPr>
        <w:t xml:space="preserve">. </w:t>
      </w:r>
      <w:r w:rsidR="007C1557" w:rsidRPr="007C1557">
        <w:rPr>
          <w:rFonts w:ascii="Arial" w:hAnsi="Arial" w:cs="Arial"/>
        </w:rPr>
        <w:t>Aussi, convient-il de mentionner que la baisse de l’incidence de pauvreté observée au</w:t>
      </w:r>
      <w:r w:rsidRPr="00AC7213">
        <w:rPr>
          <w:rFonts w:ascii="Arial" w:hAnsi="Arial" w:cs="Arial"/>
        </w:rPr>
        <w:t xml:space="preserve"> niveau des ménages dirigés par les femmes pourrait aussi s’expliquer par le fait que de plus en plus les femmes bénéficient d’opportunités à effet direct sur le niveau de vie telles que l’accès au crédit (ex du Programme Micro-crédit aux Plus Pauvres (MCPP)),</w:t>
      </w:r>
      <w:r>
        <w:rPr>
          <w:rFonts w:ascii="Arial" w:hAnsi="Arial" w:cs="Arial"/>
        </w:rPr>
        <w:t xml:space="preserve"> ce qui peut contribuer </w:t>
      </w:r>
      <w:r w:rsidRPr="00AC7213">
        <w:rPr>
          <w:rFonts w:ascii="Arial" w:hAnsi="Arial" w:cs="Arial"/>
        </w:rPr>
        <w:t>au développement ou à la diversification d’activités génératrices de revenu.</w:t>
      </w:r>
    </w:p>
    <w:p w:rsidR="00314ED8" w:rsidRDefault="00AC7213">
      <w:pPr>
        <w:pStyle w:val="Paragraphedeliste"/>
        <w:keepNext/>
        <w:spacing w:after="0" w:line="240" w:lineRule="auto"/>
        <w:ind w:left="0"/>
        <w:contextualSpacing w:val="0"/>
        <w:jc w:val="both"/>
        <w:rPr>
          <w:rFonts w:ascii="Arial" w:hAnsi="Arial" w:cs="Arial"/>
        </w:rPr>
      </w:pPr>
      <w:r w:rsidRPr="00AC7213">
        <w:rPr>
          <w:rFonts w:ascii="Arial" w:hAnsi="Arial" w:cs="Arial"/>
        </w:rPr>
        <w:br/>
      </w:r>
      <w:bookmarkStart w:id="31" w:name="_Toc432425313"/>
      <w:r w:rsidR="00C216A8" w:rsidRPr="00C216A8">
        <w:rPr>
          <w:rFonts w:ascii="Arial" w:hAnsi="Arial" w:cs="Arial"/>
        </w:rPr>
        <w:t xml:space="preserve">Tableau </w:t>
      </w:r>
      <w:r w:rsidR="00115FEB" w:rsidRPr="00C216A8">
        <w:rPr>
          <w:rFonts w:ascii="Arial" w:hAnsi="Arial" w:cs="Arial"/>
        </w:rPr>
        <w:fldChar w:fldCharType="begin"/>
      </w:r>
      <w:r w:rsidR="00C216A8"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9</w:t>
      </w:r>
      <w:r w:rsidR="00115FEB" w:rsidRPr="00C216A8">
        <w:rPr>
          <w:rFonts w:ascii="Arial" w:hAnsi="Arial" w:cs="Arial"/>
        </w:rPr>
        <w:fldChar w:fldCharType="end"/>
      </w:r>
      <w:r w:rsidR="007C1557" w:rsidRPr="007C1557">
        <w:rPr>
          <w:rFonts w:ascii="Arial" w:hAnsi="Arial" w:cs="Arial"/>
        </w:rPr>
        <w:t>: I</w:t>
      </w:r>
      <w:r w:rsidR="008835BC">
        <w:rPr>
          <w:rFonts w:ascii="Arial" w:hAnsi="Arial" w:cs="Arial"/>
        </w:rPr>
        <w:t>ncidence de</w:t>
      </w:r>
      <w:r w:rsidR="007C1557" w:rsidRPr="007C1557">
        <w:rPr>
          <w:rFonts w:ascii="Arial" w:hAnsi="Arial" w:cs="Arial"/>
        </w:rPr>
        <w:t xml:space="preserve"> pauvreté  et sexe du chef de ménage</w:t>
      </w:r>
      <w:bookmarkEnd w:id="31"/>
    </w:p>
    <w:tbl>
      <w:tblPr>
        <w:tblW w:w="9848" w:type="dxa"/>
        <w:tblInd w:w="-72" w:type="dxa"/>
        <w:tblCellMar>
          <w:left w:w="70" w:type="dxa"/>
          <w:right w:w="70" w:type="dxa"/>
        </w:tblCellMar>
        <w:tblLook w:val="04A0" w:firstRow="1" w:lastRow="0" w:firstColumn="1" w:lastColumn="0" w:noHBand="0" w:noVBand="1"/>
      </w:tblPr>
      <w:tblGrid>
        <w:gridCol w:w="1120"/>
        <w:gridCol w:w="2280"/>
        <w:gridCol w:w="2320"/>
        <w:gridCol w:w="202"/>
        <w:gridCol w:w="1963"/>
        <w:gridCol w:w="1963"/>
      </w:tblGrid>
      <w:tr w:rsidR="00472BDB" w:rsidRPr="008835BC" w:rsidTr="008835BC">
        <w:trPr>
          <w:trHeight w:val="330"/>
        </w:trPr>
        <w:tc>
          <w:tcPr>
            <w:tcW w:w="590" w:type="dxa"/>
            <w:tcBorders>
              <w:top w:val="double" w:sz="6" w:space="0" w:color="auto"/>
              <w:left w:val="nil"/>
              <w:bottom w:val="nil"/>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4600" w:type="dxa"/>
            <w:gridSpan w:val="2"/>
            <w:tcBorders>
              <w:top w:val="double" w:sz="6" w:space="0" w:color="auto"/>
              <w:left w:val="nil"/>
              <w:bottom w:val="single" w:sz="8"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2011</w:t>
            </w:r>
          </w:p>
        </w:tc>
        <w:tc>
          <w:tcPr>
            <w:tcW w:w="202" w:type="dxa"/>
            <w:tcBorders>
              <w:top w:val="double" w:sz="6" w:space="0" w:color="auto"/>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 </w:t>
            </w:r>
          </w:p>
        </w:tc>
        <w:tc>
          <w:tcPr>
            <w:tcW w:w="4456" w:type="dxa"/>
            <w:gridSpan w:val="2"/>
            <w:tcBorders>
              <w:top w:val="double" w:sz="6" w:space="0" w:color="auto"/>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2015</w:t>
            </w:r>
          </w:p>
        </w:tc>
      </w:tr>
      <w:tr w:rsidR="00472BDB" w:rsidRPr="008835BC" w:rsidTr="008835BC">
        <w:trPr>
          <w:trHeight w:val="600"/>
        </w:trPr>
        <w:tc>
          <w:tcPr>
            <w:tcW w:w="590" w:type="dxa"/>
            <w:tcBorders>
              <w:top w:val="nil"/>
              <w:left w:val="nil"/>
              <w:bottom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b/>
                <w:bCs/>
                <w:color w:val="000000"/>
                <w:lang w:eastAsia="fr-FR"/>
              </w:rPr>
            </w:pPr>
          </w:p>
        </w:tc>
        <w:tc>
          <w:tcPr>
            <w:tcW w:w="228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Incidence de la pauvreté monétaire</w:t>
            </w:r>
          </w:p>
        </w:tc>
        <w:tc>
          <w:tcPr>
            <w:tcW w:w="232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xml:space="preserve">Incidence de la pauvreté non monétaire  </w:t>
            </w:r>
          </w:p>
        </w:tc>
        <w:tc>
          <w:tcPr>
            <w:tcW w:w="202" w:type="dxa"/>
            <w:vMerge w:val="restart"/>
            <w:tcBorders>
              <w:top w:val="nil"/>
              <w:left w:val="nil"/>
              <w:bottom w:val="single" w:sz="8" w:space="0" w:color="000000"/>
              <w:right w:val="nil"/>
            </w:tcBorders>
            <w:shd w:val="clear" w:color="auto" w:fill="auto"/>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Incidence de la pauvreté monétaire</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Incidence de la pauvreté non monétaire</w:t>
            </w:r>
          </w:p>
        </w:tc>
      </w:tr>
      <w:tr w:rsidR="00472BDB" w:rsidRPr="008835BC" w:rsidTr="008835BC">
        <w:trPr>
          <w:trHeight w:val="300"/>
        </w:trPr>
        <w:tc>
          <w:tcPr>
            <w:tcW w:w="590" w:type="dxa"/>
            <w:tcBorders>
              <w:top w:val="nil"/>
              <w:left w:val="nil"/>
              <w:bottom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280"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2320"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202"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P0 (%)</w:t>
            </w:r>
          </w:p>
        </w:tc>
      </w:tr>
      <w:tr w:rsidR="00472BDB" w:rsidRPr="008835BC" w:rsidTr="00FC717A">
        <w:trPr>
          <w:trHeight w:val="60"/>
        </w:trPr>
        <w:tc>
          <w:tcPr>
            <w:tcW w:w="590"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280"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320" w:type="dxa"/>
            <w:tcBorders>
              <w:top w:val="nil"/>
              <w:left w:val="nil"/>
              <w:bottom w:val="single" w:sz="8"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02" w:type="dxa"/>
            <w:vMerge/>
            <w:tcBorders>
              <w:top w:val="nil"/>
              <w:left w:val="nil"/>
              <w:bottom w:val="single" w:sz="8"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28" w:type="dxa"/>
            <w:tcBorders>
              <w:top w:val="nil"/>
              <w:left w:val="nil"/>
              <w:bottom w:val="single" w:sz="8" w:space="0" w:color="auto"/>
              <w:right w:val="nil"/>
            </w:tcBorders>
            <w:shd w:val="clear" w:color="auto" w:fill="auto"/>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228" w:type="dxa"/>
            <w:tcBorders>
              <w:top w:val="nil"/>
              <w:left w:val="nil"/>
              <w:bottom w:val="single" w:sz="8" w:space="0" w:color="auto"/>
              <w:right w:val="nil"/>
            </w:tcBorders>
            <w:shd w:val="clear" w:color="auto" w:fill="auto"/>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r>
      <w:tr w:rsidR="00472BDB" w:rsidRPr="008835BC" w:rsidTr="008835BC">
        <w:trPr>
          <w:trHeight w:val="300"/>
        </w:trPr>
        <w:tc>
          <w:tcPr>
            <w:tcW w:w="590" w:type="dxa"/>
            <w:vMerge w:val="restart"/>
            <w:tcBorders>
              <w:top w:val="nil"/>
              <w:left w:val="nil"/>
              <w:bottom w:val="nil"/>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Homme</w:t>
            </w:r>
          </w:p>
        </w:tc>
        <w:tc>
          <w:tcPr>
            <w:tcW w:w="228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38,0</w:t>
            </w:r>
          </w:p>
        </w:tc>
        <w:tc>
          <w:tcPr>
            <w:tcW w:w="232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28,2</w:t>
            </w:r>
          </w:p>
        </w:tc>
        <w:tc>
          <w:tcPr>
            <w:tcW w:w="202" w:type="dxa"/>
            <w:vMerge w:val="restart"/>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40,2</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28,0</w:t>
            </w:r>
          </w:p>
        </w:tc>
      </w:tr>
      <w:tr w:rsidR="00472BDB" w:rsidRPr="008835BC" w:rsidTr="008835BC">
        <w:trPr>
          <w:trHeight w:val="300"/>
        </w:trPr>
        <w:tc>
          <w:tcPr>
            <w:tcW w:w="59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80"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0,018</w:t>
            </w:r>
            <w:r>
              <w:rPr>
                <w:rFonts w:ascii="Arial" w:eastAsia="Times New Roman" w:hAnsi="Arial" w:cs="Arial"/>
                <w:color w:val="000000"/>
                <w:lang w:eastAsia="fr-FR"/>
              </w:rPr>
              <w:t>)</w:t>
            </w:r>
          </w:p>
        </w:tc>
        <w:tc>
          <w:tcPr>
            <w:tcW w:w="2320"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0,017</w:t>
            </w:r>
            <w:r>
              <w:rPr>
                <w:rFonts w:ascii="Arial" w:eastAsia="Times New Roman" w:hAnsi="Arial" w:cs="Arial"/>
                <w:color w:val="000000"/>
                <w:lang w:eastAsia="fr-FR"/>
              </w:rPr>
              <w:t>)</w:t>
            </w:r>
          </w:p>
        </w:tc>
        <w:tc>
          <w:tcPr>
            <w:tcW w:w="202"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0,018</w:t>
            </w:r>
            <w:r>
              <w:rPr>
                <w:rFonts w:ascii="Arial" w:eastAsia="Times New Roman" w:hAnsi="Arial" w:cs="Arial"/>
                <w:color w:val="000000"/>
                <w:lang w:eastAsia="fr-FR"/>
              </w:rPr>
              <w:t>)</w:t>
            </w:r>
          </w:p>
        </w:tc>
        <w:tc>
          <w:tcPr>
            <w:tcW w:w="2228"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0,016</w:t>
            </w:r>
            <w:r>
              <w:rPr>
                <w:rFonts w:ascii="Arial" w:eastAsia="Times New Roman" w:hAnsi="Arial" w:cs="Arial"/>
                <w:color w:val="000000"/>
                <w:lang w:eastAsia="fr-FR"/>
              </w:rPr>
              <w:t>)</w:t>
            </w:r>
          </w:p>
        </w:tc>
      </w:tr>
      <w:tr w:rsidR="00472BDB" w:rsidRPr="008835BC" w:rsidTr="008835BC">
        <w:trPr>
          <w:trHeight w:val="300"/>
        </w:trPr>
        <w:tc>
          <w:tcPr>
            <w:tcW w:w="590" w:type="dxa"/>
            <w:vMerge w:val="restart"/>
            <w:tcBorders>
              <w:top w:val="nil"/>
              <w:left w:val="nil"/>
              <w:bottom w:val="nil"/>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Femme</w:t>
            </w:r>
          </w:p>
        </w:tc>
        <w:tc>
          <w:tcPr>
            <w:tcW w:w="228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27,6</w:t>
            </w:r>
          </w:p>
        </w:tc>
        <w:tc>
          <w:tcPr>
            <w:tcW w:w="232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39,9</w:t>
            </w:r>
          </w:p>
        </w:tc>
        <w:tc>
          <w:tcPr>
            <w:tcW w:w="202" w:type="dxa"/>
            <w:vMerge w:val="restart"/>
            <w:tcBorders>
              <w:top w:val="nil"/>
              <w:left w:val="nil"/>
              <w:bottom w:val="nil"/>
              <w:right w:val="nil"/>
            </w:tcBorders>
            <w:shd w:val="clear" w:color="auto" w:fill="auto"/>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39,7</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36,3</w:t>
            </w:r>
          </w:p>
        </w:tc>
      </w:tr>
      <w:tr w:rsidR="00472BDB" w:rsidRPr="008835BC" w:rsidTr="008835BC">
        <w:trPr>
          <w:trHeight w:val="300"/>
        </w:trPr>
        <w:tc>
          <w:tcPr>
            <w:tcW w:w="590"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80"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0,037</w:t>
            </w:r>
            <w:r>
              <w:rPr>
                <w:rFonts w:ascii="Arial" w:eastAsia="Times New Roman" w:hAnsi="Arial" w:cs="Arial"/>
                <w:color w:val="000000"/>
                <w:lang w:eastAsia="fr-FR"/>
              </w:rPr>
              <w:t>)</w:t>
            </w:r>
          </w:p>
        </w:tc>
        <w:tc>
          <w:tcPr>
            <w:tcW w:w="2320"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0,040</w:t>
            </w:r>
            <w:r>
              <w:rPr>
                <w:rFonts w:ascii="Arial" w:eastAsia="Times New Roman" w:hAnsi="Arial" w:cs="Arial"/>
                <w:color w:val="000000"/>
                <w:lang w:eastAsia="fr-FR"/>
              </w:rPr>
              <w:t>)</w:t>
            </w:r>
          </w:p>
        </w:tc>
        <w:tc>
          <w:tcPr>
            <w:tcW w:w="202"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0,040</w:t>
            </w:r>
            <w:r>
              <w:rPr>
                <w:rFonts w:ascii="Arial" w:eastAsia="Times New Roman" w:hAnsi="Arial" w:cs="Arial"/>
                <w:color w:val="000000"/>
                <w:lang w:eastAsia="fr-FR"/>
              </w:rPr>
              <w:t>)</w:t>
            </w:r>
          </w:p>
        </w:tc>
        <w:tc>
          <w:tcPr>
            <w:tcW w:w="2228" w:type="dxa"/>
            <w:tcBorders>
              <w:top w:val="nil"/>
              <w:left w:val="nil"/>
              <w:bottom w:val="nil"/>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0,039</w:t>
            </w:r>
            <w:r>
              <w:rPr>
                <w:rFonts w:ascii="Arial" w:eastAsia="Times New Roman" w:hAnsi="Arial" w:cs="Arial"/>
                <w:color w:val="000000"/>
                <w:lang w:eastAsia="fr-FR"/>
              </w:rPr>
              <w:t>)</w:t>
            </w:r>
          </w:p>
        </w:tc>
      </w:tr>
      <w:tr w:rsidR="00472BDB" w:rsidRPr="008835BC" w:rsidTr="008835BC">
        <w:trPr>
          <w:trHeight w:val="300"/>
        </w:trPr>
        <w:tc>
          <w:tcPr>
            <w:tcW w:w="590" w:type="dxa"/>
            <w:vMerge w:val="restart"/>
            <w:tcBorders>
              <w:top w:val="nil"/>
              <w:left w:val="nil"/>
              <w:bottom w:val="double" w:sz="6" w:space="0" w:color="000000"/>
              <w:right w:val="nil"/>
            </w:tcBorders>
            <w:shd w:val="clear" w:color="auto" w:fill="auto"/>
            <w:noWrap/>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Ensemble</w:t>
            </w:r>
          </w:p>
        </w:tc>
        <w:tc>
          <w:tcPr>
            <w:tcW w:w="228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36,2</w:t>
            </w:r>
          </w:p>
        </w:tc>
        <w:tc>
          <w:tcPr>
            <w:tcW w:w="2320"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30,2</w:t>
            </w:r>
          </w:p>
        </w:tc>
        <w:tc>
          <w:tcPr>
            <w:tcW w:w="202" w:type="dxa"/>
            <w:vMerge w:val="restart"/>
            <w:tcBorders>
              <w:top w:val="nil"/>
              <w:left w:val="nil"/>
              <w:bottom w:val="double" w:sz="6" w:space="0" w:color="000000"/>
              <w:right w:val="nil"/>
            </w:tcBorders>
            <w:shd w:val="clear" w:color="auto" w:fill="auto"/>
            <w:vAlign w:val="bottom"/>
            <w:hideMark/>
          </w:tcPr>
          <w:p w:rsidR="00314ED8" w:rsidRDefault="00314ED8">
            <w:pPr>
              <w:spacing w:after="0" w:line="240" w:lineRule="auto"/>
              <w:jc w:val="center"/>
              <w:rPr>
                <w:rFonts w:ascii="Arial" w:eastAsia="Times New Roman" w:hAnsi="Arial" w:cs="Arial"/>
                <w:color w:val="000000"/>
                <w:lang w:eastAsia="fr-FR"/>
              </w:rPr>
            </w:pP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40,1</w:t>
            </w:r>
          </w:p>
        </w:tc>
        <w:tc>
          <w:tcPr>
            <w:tcW w:w="2228"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29,4</w:t>
            </w:r>
          </w:p>
        </w:tc>
      </w:tr>
      <w:tr w:rsidR="00472BDB" w:rsidRPr="008835BC" w:rsidTr="008835BC">
        <w:trPr>
          <w:trHeight w:val="315"/>
        </w:trPr>
        <w:tc>
          <w:tcPr>
            <w:tcW w:w="590" w:type="dxa"/>
            <w:vMerge/>
            <w:tcBorders>
              <w:top w:val="nil"/>
              <w:left w:val="nil"/>
              <w:bottom w:val="double" w:sz="6"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80" w:type="dxa"/>
            <w:tcBorders>
              <w:top w:val="nil"/>
              <w:left w:val="nil"/>
              <w:bottom w:val="double" w:sz="6" w:space="0" w:color="auto"/>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0,016</w:t>
            </w:r>
            <w:r>
              <w:rPr>
                <w:rFonts w:ascii="Arial" w:eastAsia="Times New Roman" w:hAnsi="Arial" w:cs="Arial"/>
                <w:color w:val="000000"/>
                <w:lang w:eastAsia="fr-FR"/>
              </w:rPr>
              <w:t>)</w:t>
            </w:r>
          </w:p>
        </w:tc>
        <w:tc>
          <w:tcPr>
            <w:tcW w:w="2320" w:type="dxa"/>
            <w:tcBorders>
              <w:top w:val="nil"/>
              <w:left w:val="nil"/>
              <w:bottom w:val="double" w:sz="6" w:space="0" w:color="auto"/>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0,016</w:t>
            </w:r>
            <w:r>
              <w:rPr>
                <w:rFonts w:ascii="Arial" w:eastAsia="Times New Roman" w:hAnsi="Arial" w:cs="Arial"/>
                <w:color w:val="000000"/>
                <w:lang w:eastAsia="fr-FR"/>
              </w:rPr>
              <w:t>)</w:t>
            </w:r>
          </w:p>
        </w:tc>
        <w:tc>
          <w:tcPr>
            <w:tcW w:w="202" w:type="dxa"/>
            <w:vMerge/>
            <w:tcBorders>
              <w:top w:val="nil"/>
              <w:left w:val="nil"/>
              <w:bottom w:val="double" w:sz="6" w:space="0" w:color="000000"/>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2228" w:type="dxa"/>
            <w:tcBorders>
              <w:top w:val="nil"/>
              <w:left w:val="nil"/>
              <w:bottom w:val="double" w:sz="6" w:space="0" w:color="auto"/>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0,016</w:t>
            </w:r>
            <w:r>
              <w:rPr>
                <w:rFonts w:ascii="Arial" w:eastAsia="Times New Roman" w:hAnsi="Arial" w:cs="Arial"/>
                <w:color w:val="000000"/>
                <w:lang w:eastAsia="fr-FR"/>
              </w:rPr>
              <w:t>)</w:t>
            </w:r>
          </w:p>
        </w:tc>
        <w:tc>
          <w:tcPr>
            <w:tcW w:w="2228" w:type="dxa"/>
            <w:tcBorders>
              <w:top w:val="nil"/>
              <w:left w:val="nil"/>
              <w:bottom w:val="double" w:sz="6" w:space="0" w:color="auto"/>
              <w:right w:val="nil"/>
            </w:tcBorders>
            <w:shd w:val="clear" w:color="auto" w:fill="auto"/>
            <w:vAlign w:val="bottom"/>
            <w:hideMark/>
          </w:tcPr>
          <w:p w:rsidR="00314ED8" w:rsidRDefault="008835BC">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0,015</w:t>
            </w:r>
            <w:r>
              <w:rPr>
                <w:rFonts w:ascii="Arial" w:eastAsia="Times New Roman" w:hAnsi="Arial" w:cs="Arial"/>
                <w:color w:val="000000"/>
                <w:lang w:eastAsia="fr-FR"/>
              </w:rPr>
              <w:t>)</w:t>
            </w:r>
          </w:p>
        </w:tc>
      </w:tr>
    </w:tbl>
    <w:p w:rsidR="00314ED8" w:rsidRDefault="007C1557">
      <w:pPr>
        <w:widowControl w:val="0"/>
        <w:autoSpaceDE w:val="0"/>
        <w:autoSpaceDN w:val="0"/>
        <w:adjustRightInd w:val="0"/>
        <w:spacing w:after="0" w:line="240" w:lineRule="auto"/>
        <w:jc w:val="both"/>
        <w:rPr>
          <w:rFonts w:ascii="Arial" w:eastAsia="Cambria" w:hAnsi="Arial" w:cs="Arial"/>
        </w:rPr>
      </w:pPr>
      <w:r w:rsidRPr="007C1557">
        <w:rPr>
          <w:rFonts w:ascii="Arial" w:eastAsia="Cambria" w:hAnsi="Arial" w:cs="Arial"/>
          <w:u w:val="single"/>
        </w:rPr>
        <w:t>Source</w:t>
      </w:r>
      <w:r w:rsidRPr="007C1557">
        <w:rPr>
          <w:rFonts w:ascii="Arial" w:eastAsia="Cambria" w:hAnsi="Arial" w:cs="Arial"/>
        </w:rPr>
        <w:t xml:space="preserve"> : </w:t>
      </w:r>
      <w:r w:rsidRPr="007C1557">
        <w:rPr>
          <w:rFonts w:ascii="Arial" w:hAnsi="Arial" w:cs="Arial"/>
          <w:color w:val="000000"/>
        </w:rPr>
        <w:t>INSAE, EMICoV 2015 et  2011 /   NB : (.) = Erreur standard de la moyenne</w:t>
      </w:r>
    </w:p>
    <w:p w:rsidR="00314ED8" w:rsidRDefault="00314ED8"/>
    <w:p w:rsidR="00314ED8" w:rsidRPr="00FA0ACB" w:rsidRDefault="00047EBA" w:rsidP="00FA0ACB">
      <w:pPr>
        <w:pStyle w:val="Titre1"/>
        <w:spacing w:before="0"/>
        <w:rPr>
          <w:rFonts w:ascii="Arial" w:hAnsi="Arial" w:cs="Arial"/>
          <w:color w:val="E36C0A" w:themeColor="accent6" w:themeShade="BF"/>
        </w:rPr>
      </w:pPr>
      <w:bookmarkStart w:id="32" w:name="_Toc433391204"/>
      <w:r>
        <w:rPr>
          <w:rFonts w:ascii="Arial" w:hAnsi="Arial" w:cs="Arial"/>
          <w:color w:val="E36C0A" w:themeColor="accent6" w:themeShade="BF"/>
        </w:rPr>
        <w:lastRenderedPageBreak/>
        <w:t xml:space="preserve">3. </w:t>
      </w:r>
      <w:r w:rsidR="007C1557" w:rsidRPr="00FA0ACB">
        <w:rPr>
          <w:rFonts w:ascii="Arial" w:hAnsi="Arial" w:cs="Arial"/>
          <w:color w:val="E36C0A" w:themeColor="accent6" w:themeShade="BF"/>
        </w:rPr>
        <w:t>Evolution des inégalités en 2011 et 2015</w:t>
      </w:r>
      <w:bookmarkEnd w:id="32"/>
    </w:p>
    <w:p w:rsidR="00314ED8" w:rsidRDefault="00314ED8">
      <w:pPr>
        <w:pStyle w:val="Paragraphedeliste"/>
        <w:ind w:left="405"/>
        <w:rPr>
          <w:rFonts w:ascii="Arial" w:hAnsi="Arial" w:cs="Arial"/>
          <w:b/>
          <w:color w:val="E36C0A"/>
          <w:sz w:val="24"/>
          <w:szCs w:val="24"/>
        </w:rPr>
      </w:pPr>
    </w:p>
    <w:p w:rsidR="00314ED8" w:rsidRDefault="007C1557">
      <w:pPr>
        <w:pStyle w:val="Paragraphedeliste"/>
        <w:keepNext/>
        <w:ind w:left="0"/>
        <w:contextualSpacing w:val="0"/>
        <w:jc w:val="both"/>
        <w:rPr>
          <w:rFonts w:ascii="Arial" w:hAnsi="Arial" w:cs="Arial"/>
        </w:rPr>
      </w:pPr>
      <w:r w:rsidRPr="007C1557">
        <w:rPr>
          <w:rFonts w:ascii="Arial" w:hAnsi="Arial" w:cs="Arial"/>
        </w:rPr>
        <w:t xml:space="preserve">L’analyse de l’évolution des inégalités dans la distribution des revenus ou des dépenses vient compléter l’analyse de l’évolution de l’incidence de la pauvreté qui elle seule ne permet pas d’apprécier totalement la situation en matière de pauvreté et </w:t>
      </w:r>
      <w:r w:rsidR="00B93FE5">
        <w:rPr>
          <w:rFonts w:ascii="Arial" w:hAnsi="Arial" w:cs="Arial"/>
        </w:rPr>
        <w:t>d’</w:t>
      </w:r>
      <w:r w:rsidRPr="007C1557">
        <w:rPr>
          <w:rFonts w:ascii="Arial" w:hAnsi="Arial" w:cs="Arial"/>
        </w:rPr>
        <w:t>inégalité. L’indice de Gini est un indicateur qui mesure l’inégalité des dépenses par tête</w:t>
      </w:r>
      <w:r w:rsidR="00F2105F">
        <w:rPr>
          <w:rFonts w:ascii="Arial" w:hAnsi="Arial" w:cs="Arial"/>
        </w:rPr>
        <w:t> ;</w:t>
      </w:r>
      <w:r w:rsidRPr="007C1557">
        <w:rPr>
          <w:rFonts w:ascii="Arial" w:hAnsi="Arial" w:cs="Arial"/>
        </w:rPr>
        <w:t xml:space="preserve"> il varie entre 0 et 1.</w:t>
      </w:r>
    </w:p>
    <w:p w:rsidR="00314ED8" w:rsidRDefault="00A83815">
      <w:pPr>
        <w:pStyle w:val="Paragraphedeliste"/>
        <w:keepNext/>
        <w:ind w:left="0"/>
        <w:contextualSpacing w:val="0"/>
        <w:jc w:val="both"/>
        <w:rPr>
          <w:rFonts w:ascii="Arial" w:hAnsi="Arial" w:cs="Arial"/>
        </w:rPr>
      </w:pPr>
      <w:r>
        <w:rPr>
          <w:rFonts w:ascii="Arial" w:hAnsi="Arial" w:cs="Arial"/>
        </w:rPr>
        <w:t>D</w:t>
      </w:r>
      <w:r w:rsidR="007C1557" w:rsidRPr="007C1557">
        <w:rPr>
          <w:rFonts w:ascii="Arial" w:hAnsi="Arial" w:cs="Arial"/>
        </w:rPr>
        <w:t xml:space="preserve">ans une moindre mesure, </w:t>
      </w:r>
      <w:r>
        <w:rPr>
          <w:rFonts w:ascii="Arial" w:hAnsi="Arial" w:cs="Arial"/>
        </w:rPr>
        <w:t xml:space="preserve">on note </w:t>
      </w:r>
      <w:r w:rsidR="007C1557" w:rsidRPr="007C1557">
        <w:rPr>
          <w:rFonts w:ascii="Arial" w:hAnsi="Arial" w:cs="Arial"/>
        </w:rPr>
        <w:t xml:space="preserve">une </w:t>
      </w:r>
      <w:r w:rsidR="00590E9B">
        <w:rPr>
          <w:rFonts w:ascii="Arial" w:hAnsi="Arial" w:cs="Arial"/>
        </w:rPr>
        <w:t>accentuation</w:t>
      </w:r>
      <w:r w:rsidR="007C1557" w:rsidRPr="007C1557">
        <w:rPr>
          <w:rFonts w:ascii="Arial" w:hAnsi="Arial" w:cs="Arial"/>
        </w:rPr>
        <w:t xml:space="preserve"> des inégalités </w:t>
      </w:r>
      <w:r>
        <w:rPr>
          <w:rFonts w:ascii="Arial" w:hAnsi="Arial" w:cs="Arial"/>
        </w:rPr>
        <w:t xml:space="preserve">dans la </w:t>
      </w:r>
      <w:r w:rsidRPr="005D6C4C">
        <w:rPr>
          <w:rFonts w:ascii="Arial" w:hAnsi="Arial" w:cs="Arial"/>
        </w:rPr>
        <w:t>distribution des dépenses de consommation des ménages</w:t>
      </w:r>
      <w:r w:rsidR="007C1557" w:rsidRPr="007C1557">
        <w:rPr>
          <w:rFonts w:ascii="Arial" w:hAnsi="Arial" w:cs="Arial"/>
        </w:rPr>
        <w:t xml:space="preserve"> entre 20</w:t>
      </w:r>
      <w:r w:rsidR="00590E9B">
        <w:rPr>
          <w:rFonts w:ascii="Arial" w:hAnsi="Arial" w:cs="Arial"/>
        </w:rPr>
        <w:t>11</w:t>
      </w:r>
      <w:r w:rsidR="007C1557" w:rsidRPr="007C1557">
        <w:rPr>
          <w:rFonts w:ascii="Arial" w:hAnsi="Arial" w:cs="Arial"/>
        </w:rPr>
        <w:t xml:space="preserve"> et 201</w:t>
      </w:r>
      <w:r w:rsidR="00590E9B">
        <w:rPr>
          <w:rFonts w:ascii="Arial" w:hAnsi="Arial" w:cs="Arial"/>
        </w:rPr>
        <w:t>5</w:t>
      </w:r>
      <w:r w:rsidR="007C1557" w:rsidRPr="007C1557">
        <w:rPr>
          <w:rFonts w:ascii="Arial" w:hAnsi="Arial" w:cs="Arial"/>
        </w:rPr>
        <w:t>. En effet, au niveau national, l’indice de Gini est passé de 0,46</w:t>
      </w:r>
      <w:r w:rsidR="00590E9B">
        <w:rPr>
          <w:rFonts w:ascii="Arial" w:hAnsi="Arial" w:cs="Arial"/>
        </w:rPr>
        <w:t>4</w:t>
      </w:r>
      <w:r w:rsidR="007C1557" w:rsidRPr="007C1557">
        <w:rPr>
          <w:rFonts w:ascii="Arial" w:hAnsi="Arial" w:cs="Arial"/>
        </w:rPr>
        <w:t xml:space="preserve"> en 20</w:t>
      </w:r>
      <w:r w:rsidR="00590E9B">
        <w:rPr>
          <w:rFonts w:ascii="Arial" w:hAnsi="Arial" w:cs="Arial"/>
        </w:rPr>
        <w:t>11</w:t>
      </w:r>
      <w:r w:rsidR="007C1557" w:rsidRPr="007C1557">
        <w:rPr>
          <w:rFonts w:ascii="Arial" w:hAnsi="Arial" w:cs="Arial"/>
        </w:rPr>
        <w:t xml:space="preserve"> à 0,4</w:t>
      </w:r>
      <w:r w:rsidR="00590E9B">
        <w:rPr>
          <w:rFonts w:ascii="Arial" w:hAnsi="Arial" w:cs="Arial"/>
        </w:rPr>
        <w:t>70</w:t>
      </w:r>
      <w:r w:rsidR="007C1557" w:rsidRPr="007C1557">
        <w:rPr>
          <w:rFonts w:ascii="Arial" w:hAnsi="Arial" w:cs="Arial"/>
        </w:rPr>
        <w:t xml:space="preserve"> en 201</w:t>
      </w:r>
      <w:r w:rsidR="00590E9B">
        <w:rPr>
          <w:rFonts w:ascii="Arial" w:hAnsi="Arial" w:cs="Arial"/>
        </w:rPr>
        <w:t>5</w:t>
      </w:r>
      <w:r w:rsidR="007C1557" w:rsidRPr="007C1557">
        <w:rPr>
          <w:rFonts w:ascii="Arial" w:hAnsi="Arial" w:cs="Arial"/>
        </w:rPr>
        <w:t>, soit un</w:t>
      </w:r>
      <w:r w:rsidR="00B93FE5">
        <w:rPr>
          <w:rFonts w:ascii="Arial" w:hAnsi="Arial" w:cs="Arial"/>
        </w:rPr>
        <w:t>e augmentation</w:t>
      </w:r>
      <w:r w:rsidR="007C1557" w:rsidRPr="007C1557">
        <w:rPr>
          <w:rFonts w:ascii="Arial" w:hAnsi="Arial" w:cs="Arial"/>
        </w:rPr>
        <w:t xml:space="preserve"> de 0,</w:t>
      </w:r>
      <w:r w:rsidR="00590E9B">
        <w:rPr>
          <w:rFonts w:ascii="Arial" w:hAnsi="Arial" w:cs="Arial"/>
        </w:rPr>
        <w:t>006</w:t>
      </w:r>
      <w:r w:rsidR="007C1557" w:rsidRPr="007C1557">
        <w:rPr>
          <w:rFonts w:ascii="Arial" w:hAnsi="Arial" w:cs="Arial"/>
        </w:rPr>
        <w:t xml:space="preserve"> point de pourcentage</w:t>
      </w:r>
      <w:r w:rsidR="00F2105F">
        <w:rPr>
          <w:rFonts w:ascii="Arial" w:hAnsi="Arial" w:cs="Arial"/>
        </w:rPr>
        <w:t xml:space="preserve"> et</w:t>
      </w:r>
      <w:r w:rsidR="00155619">
        <w:rPr>
          <w:rFonts w:ascii="Arial" w:hAnsi="Arial" w:cs="Arial"/>
        </w:rPr>
        <w:t xml:space="preserve"> demeure relativement  élevé.</w:t>
      </w:r>
    </w:p>
    <w:p w:rsidR="00314ED8" w:rsidRDefault="007C1557">
      <w:pPr>
        <w:keepNext/>
        <w:widowControl w:val="0"/>
        <w:tabs>
          <w:tab w:val="left" w:pos="720"/>
        </w:tabs>
        <w:autoSpaceDE w:val="0"/>
        <w:autoSpaceDN w:val="0"/>
        <w:adjustRightInd w:val="0"/>
        <w:jc w:val="both"/>
        <w:rPr>
          <w:rFonts w:ascii="Arial" w:hAnsi="Arial" w:cs="Arial"/>
        </w:rPr>
      </w:pPr>
      <w:r w:rsidRPr="007C1557">
        <w:rPr>
          <w:rFonts w:ascii="Arial" w:eastAsia="Cambria" w:hAnsi="Arial" w:cs="Arial"/>
          <w:b/>
          <w:bCs/>
          <w:lang w:eastAsia="fr-FR"/>
        </w:rPr>
        <w:t>Plus d’homogénéité dans les dépenses de consommation en milieu urbain qu’en milieu rural.</w:t>
      </w:r>
      <w:r w:rsidR="008E764F">
        <w:rPr>
          <w:rFonts w:ascii="Arial" w:eastAsia="Cambria" w:hAnsi="Arial" w:cs="Arial"/>
          <w:b/>
          <w:bCs/>
          <w:lang w:eastAsia="fr-FR"/>
        </w:rPr>
        <w:t xml:space="preserve"> </w:t>
      </w:r>
      <w:r w:rsidR="00590E9B">
        <w:rPr>
          <w:rFonts w:ascii="Arial" w:hAnsi="Arial" w:cs="Arial"/>
        </w:rPr>
        <w:t xml:space="preserve">La </w:t>
      </w:r>
      <w:r w:rsidRPr="007C1557">
        <w:rPr>
          <w:rFonts w:ascii="Arial" w:hAnsi="Arial" w:cs="Arial"/>
        </w:rPr>
        <w:t xml:space="preserve">même tendance est notée tant au niveau des ménages </w:t>
      </w:r>
      <w:r w:rsidR="00590E9B">
        <w:rPr>
          <w:rFonts w:ascii="Arial" w:hAnsi="Arial" w:cs="Arial"/>
        </w:rPr>
        <w:t>urbains</w:t>
      </w:r>
      <w:r w:rsidRPr="007C1557">
        <w:rPr>
          <w:rFonts w:ascii="Arial" w:hAnsi="Arial" w:cs="Arial"/>
        </w:rPr>
        <w:t xml:space="preserve"> (0,</w:t>
      </w:r>
      <w:r w:rsidR="00590E9B">
        <w:rPr>
          <w:rFonts w:ascii="Arial" w:hAnsi="Arial" w:cs="Arial"/>
        </w:rPr>
        <w:t>015</w:t>
      </w:r>
      <w:r w:rsidRPr="007C1557">
        <w:rPr>
          <w:rFonts w:ascii="Arial" w:hAnsi="Arial" w:cs="Arial"/>
        </w:rPr>
        <w:t xml:space="preserve"> point de pourcentage) que des ménages </w:t>
      </w:r>
      <w:r w:rsidR="00590E9B">
        <w:rPr>
          <w:rFonts w:ascii="Arial" w:hAnsi="Arial" w:cs="Arial"/>
        </w:rPr>
        <w:t xml:space="preserve">ruraux </w:t>
      </w:r>
      <w:r w:rsidRPr="007C1557">
        <w:rPr>
          <w:rFonts w:ascii="Arial" w:hAnsi="Arial" w:cs="Arial"/>
        </w:rPr>
        <w:t>(0,</w:t>
      </w:r>
      <w:r w:rsidR="00590E9B">
        <w:rPr>
          <w:rFonts w:ascii="Arial" w:hAnsi="Arial" w:cs="Arial"/>
        </w:rPr>
        <w:t>03)</w:t>
      </w:r>
      <w:r w:rsidRPr="007C1557">
        <w:rPr>
          <w:rFonts w:ascii="Arial" w:hAnsi="Arial" w:cs="Arial"/>
        </w:rPr>
        <w:t xml:space="preserve"> point de pourcentage), avec </w:t>
      </w:r>
      <w:r w:rsidR="00A83815">
        <w:rPr>
          <w:rFonts w:ascii="Arial" w:hAnsi="Arial" w:cs="Arial"/>
        </w:rPr>
        <w:t xml:space="preserve">cependant </w:t>
      </w:r>
      <w:r w:rsidR="00590E9B">
        <w:rPr>
          <w:rFonts w:ascii="Arial" w:hAnsi="Arial" w:cs="Arial"/>
        </w:rPr>
        <w:t>une hausse</w:t>
      </w:r>
      <w:r w:rsidRPr="007C1557">
        <w:rPr>
          <w:rFonts w:ascii="Arial" w:hAnsi="Arial" w:cs="Arial"/>
        </w:rPr>
        <w:t xml:space="preserve"> plus importante en milieu rural par rapport au milieu urbain</w:t>
      </w:r>
      <w:r w:rsidR="00590E9B">
        <w:rPr>
          <w:rFonts w:ascii="Arial" w:hAnsi="Arial" w:cs="Arial"/>
        </w:rPr>
        <w:t xml:space="preserve">. </w:t>
      </w:r>
    </w:p>
    <w:p w:rsidR="00314ED8" w:rsidRDefault="00C216A8">
      <w:pPr>
        <w:pStyle w:val="Lgende"/>
        <w:spacing w:line="276" w:lineRule="auto"/>
        <w:jc w:val="left"/>
        <w:rPr>
          <w:rFonts w:ascii="Arial" w:hAnsi="Arial" w:cs="Arial"/>
          <w:sz w:val="22"/>
          <w:szCs w:val="22"/>
        </w:rPr>
      </w:pPr>
      <w:bookmarkStart w:id="33" w:name="_Toc432425314"/>
      <w:r w:rsidRPr="00C216A8">
        <w:rPr>
          <w:rFonts w:ascii="Arial" w:hAnsi="Arial" w:cs="Arial"/>
          <w:sz w:val="22"/>
          <w:szCs w:val="22"/>
        </w:rPr>
        <w:t xml:space="preserve">Tableau </w:t>
      </w:r>
      <w:r w:rsidR="00115FEB" w:rsidRPr="00C216A8">
        <w:rPr>
          <w:rFonts w:ascii="Arial" w:hAnsi="Arial" w:cs="Arial"/>
          <w:sz w:val="22"/>
          <w:szCs w:val="22"/>
        </w:rPr>
        <w:fldChar w:fldCharType="begin"/>
      </w:r>
      <w:r w:rsidRPr="00C216A8">
        <w:rPr>
          <w:rFonts w:ascii="Arial" w:hAnsi="Arial" w:cs="Arial"/>
          <w:sz w:val="22"/>
          <w:szCs w:val="22"/>
        </w:rPr>
        <w:instrText xml:space="preserve"> SEQ Tableau \* ARABIC </w:instrText>
      </w:r>
      <w:r w:rsidR="00115FEB" w:rsidRPr="00C216A8">
        <w:rPr>
          <w:rFonts w:ascii="Arial" w:hAnsi="Arial" w:cs="Arial"/>
          <w:sz w:val="22"/>
          <w:szCs w:val="22"/>
        </w:rPr>
        <w:fldChar w:fldCharType="separate"/>
      </w:r>
      <w:r w:rsidR="00DB55D3">
        <w:rPr>
          <w:rFonts w:ascii="Arial" w:hAnsi="Arial" w:cs="Arial"/>
          <w:noProof/>
          <w:sz w:val="22"/>
          <w:szCs w:val="22"/>
        </w:rPr>
        <w:t>10</w:t>
      </w:r>
      <w:r w:rsidR="00115FEB" w:rsidRPr="00C216A8">
        <w:rPr>
          <w:rFonts w:ascii="Arial" w:hAnsi="Arial" w:cs="Arial"/>
          <w:sz w:val="22"/>
          <w:szCs w:val="22"/>
        </w:rPr>
        <w:fldChar w:fldCharType="end"/>
      </w:r>
      <w:r w:rsidR="00F127C9">
        <w:rPr>
          <w:rFonts w:ascii="Arial" w:hAnsi="Arial" w:cs="Arial"/>
          <w:sz w:val="22"/>
          <w:szCs w:val="22"/>
        </w:rPr>
        <w:t xml:space="preserve">: </w:t>
      </w:r>
      <w:r w:rsidR="007C1557" w:rsidRPr="007C1557">
        <w:rPr>
          <w:rFonts w:ascii="Arial" w:hAnsi="Arial" w:cs="Arial"/>
          <w:sz w:val="22"/>
          <w:szCs w:val="22"/>
        </w:rPr>
        <w:t>Inégalité suivant le lieu de résidence et le département entre 2009 et 2011</w:t>
      </w:r>
      <w:bookmarkEnd w:id="33"/>
    </w:p>
    <w:tbl>
      <w:tblPr>
        <w:tblW w:w="8688" w:type="dxa"/>
        <w:tblInd w:w="55" w:type="dxa"/>
        <w:tblCellMar>
          <w:left w:w="70" w:type="dxa"/>
          <w:right w:w="70" w:type="dxa"/>
        </w:tblCellMar>
        <w:tblLook w:val="04A0" w:firstRow="1" w:lastRow="0" w:firstColumn="1" w:lastColumn="0" w:noHBand="0" w:noVBand="1"/>
      </w:tblPr>
      <w:tblGrid>
        <w:gridCol w:w="3838"/>
        <w:gridCol w:w="2425"/>
        <w:gridCol w:w="2425"/>
      </w:tblGrid>
      <w:tr w:rsidR="00F127C9" w:rsidRPr="00F127C9" w:rsidTr="009453DA">
        <w:trPr>
          <w:trHeight w:val="296"/>
        </w:trPr>
        <w:tc>
          <w:tcPr>
            <w:tcW w:w="3838" w:type="dxa"/>
            <w:tcBorders>
              <w:top w:val="single" w:sz="4" w:space="0" w:color="auto"/>
              <w:left w:val="nil"/>
              <w:bottom w:val="single" w:sz="8" w:space="0" w:color="auto"/>
              <w:right w:val="nil"/>
            </w:tcBorders>
            <w:shd w:val="clear" w:color="auto" w:fill="auto"/>
            <w:hideMark/>
          </w:tcPr>
          <w:p w:rsidR="00314ED8" w:rsidRDefault="00F127C9">
            <w:pPr>
              <w:spacing w:after="0"/>
              <w:jc w:val="both"/>
              <w:rPr>
                <w:rFonts w:ascii="Arial" w:eastAsia="Times New Roman" w:hAnsi="Arial" w:cs="Arial"/>
                <w:b/>
                <w:bCs/>
                <w:color w:val="000000"/>
                <w:lang w:eastAsia="fr-FR"/>
              </w:rPr>
            </w:pPr>
            <w:r w:rsidRPr="00F127C9">
              <w:rPr>
                <w:rFonts w:ascii="Arial" w:eastAsia="Times New Roman" w:hAnsi="Arial" w:cs="Arial"/>
                <w:b/>
                <w:bCs/>
                <w:color w:val="000000"/>
                <w:lang w:eastAsia="fr-FR"/>
              </w:rPr>
              <w:t> </w:t>
            </w:r>
          </w:p>
        </w:tc>
        <w:tc>
          <w:tcPr>
            <w:tcW w:w="2425" w:type="dxa"/>
            <w:tcBorders>
              <w:top w:val="single" w:sz="4" w:space="0" w:color="auto"/>
              <w:left w:val="nil"/>
              <w:bottom w:val="single" w:sz="8" w:space="0" w:color="auto"/>
              <w:right w:val="nil"/>
            </w:tcBorders>
            <w:shd w:val="clear" w:color="auto" w:fill="auto"/>
            <w:vAlign w:val="bottom"/>
            <w:hideMark/>
          </w:tcPr>
          <w:p w:rsidR="00314ED8" w:rsidRDefault="00F127C9">
            <w:pPr>
              <w:spacing w:after="0"/>
              <w:jc w:val="center"/>
              <w:rPr>
                <w:rFonts w:ascii="Arial" w:eastAsia="Times New Roman" w:hAnsi="Arial" w:cs="Arial"/>
                <w:b/>
                <w:bCs/>
                <w:color w:val="000000"/>
                <w:lang w:eastAsia="fr-FR"/>
              </w:rPr>
            </w:pPr>
            <w:r w:rsidRPr="00F127C9">
              <w:rPr>
                <w:rFonts w:ascii="Arial" w:eastAsia="Times New Roman" w:hAnsi="Arial" w:cs="Arial"/>
                <w:b/>
                <w:bCs/>
                <w:color w:val="000000"/>
                <w:lang w:eastAsia="fr-FR"/>
              </w:rPr>
              <w:t>2011</w:t>
            </w:r>
          </w:p>
        </w:tc>
        <w:tc>
          <w:tcPr>
            <w:tcW w:w="2425" w:type="dxa"/>
            <w:tcBorders>
              <w:top w:val="single" w:sz="4" w:space="0" w:color="auto"/>
              <w:left w:val="nil"/>
              <w:bottom w:val="single" w:sz="8" w:space="0" w:color="auto"/>
              <w:right w:val="nil"/>
            </w:tcBorders>
            <w:shd w:val="clear" w:color="auto" w:fill="auto"/>
            <w:vAlign w:val="bottom"/>
            <w:hideMark/>
          </w:tcPr>
          <w:p w:rsidR="00314ED8" w:rsidRDefault="00F127C9">
            <w:pPr>
              <w:spacing w:after="0"/>
              <w:jc w:val="center"/>
              <w:rPr>
                <w:rFonts w:ascii="Arial" w:eastAsia="Times New Roman" w:hAnsi="Arial" w:cs="Arial"/>
                <w:b/>
                <w:bCs/>
                <w:color w:val="000000"/>
                <w:lang w:eastAsia="fr-FR"/>
              </w:rPr>
            </w:pPr>
            <w:r w:rsidRPr="00F127C9">
              <w:rPr>
                <w:rFonts w:ascii="Arial" w:eastAsia="Times New Roman" w:hAnsi="Arial" w:cs="Arial"/>
                <w:b/>
                <w:bCs/>
                <w:color w:val="000000"/>
                <w:lang w:eastAsia="fr-FR"/>
              </w:rPr>
              <w:t>2015</w:t>
            </w:r>
          </w:p>
        </w:tc>
      </w:tr>
      <w:tr w:rsidR="00F127C9" w:rsidRPr="00F127C9" w:rsidTr="009453DA">
        <w:trPr>
          <w:trHeight w:val="162"/>
        </w:trPr>
        <w:tc>
          <w:tcPr>
            <w:tcW w:w="3838" w:type="dxa"/>
            <w:tcBorders>
              <w:top w:val="nil"/>
              <w:left w:val="nil"/>
              <w:right w:val="nil"/>
            </w:tcBorders>
            <w:shd w:val="clear" w:color="auto" w:fill="auto"/>
            <w:vAlign w:val="bottom"/>
            <w:hideMark/>
          </w:tcPr>
          <w:p w:rsidR="00314ED8" w:rsidRDefault="00F127C9">
            <w:pPr>
              <w:spacing w:after="0"/>
              <w:rPr>
                <w:rFonts w:ascii="Arial" w:eastAsia="Times New Roman" w:hAnsi="Arial" w:cs="Arial"/>
                <w:b/>
                <w:bCs/>
                <w:color w:val="000000"/>
                <w:lang w:eastAsia="fr-FR"/>
              </w:rPr>
            </w:pPr>
            <w:r w:rsidRPr="00F127C9">
              <w:rPr>
                <w:rFonts w:ascii="Arial" w:eastAsia="Times New Roman" w:hAnsi="Arial" w:cs="Arial"/>
                <w:b/>
                <w:bCs/>
                <w:color w:val="000000"/>
                <w:lang w:val="fr-CA" w:eastAsia="fr-FR"/>
              </w:rPr>
              <w:t>Milieu de résidence</w:t>
            </w:r>
          </w:p>
        </w:tc>
        <w:tc>
          <w:tcPr>
            <w:tcW w:w="2425" w:type="dxa"/>
            <w:tcBorders>
              <w:top w:val="nil"/>
              <w:left w:val="nil"/>
              <w:right w:val="nil"/>
            </w:tcBorders>
            <w:shd w:val="clear" w:color="auto" w:fill="auto"/>
            <w:vAlign w:val="bottom"/>
            <w:hideMark/>
          </w:tcPr>
          <w:p w:rsidR="00314ED8" w:rsidRDefault="00314ED8">
            <w:pPr>
              <w:spacing w:after="0"/>
              <w:jc w:val="center"/>
              <w:rPr>
                <w:rFonts w:ascii="Arial" w:eastAsia="Times New Roman" w:hAnsi="Arial" w:cs="Arial"/>
                <w:color w:val="000000"/>
                <w:lang w:eastAsia="fr-FR"/>
              </w:rPr>
            </w:pPr>
          </w:p>
        </w:tc>
        <w:tc>
          <w:tcPr>
            <w:tcW w:w="2425" w:type="dxa"/>
            <w:tcBorders>
              <w:top w:val="nil"/>
              <w:left w:val="nil"/>
              <w:right w:val="nil"/>
            </w:tcBorders>
            <w:shd w:val="clear" w:color="auto" w:fill="auto"/>
            <w:vAlign w:val="bottom"/>
            <w:hideMark/>
          </w:tcPr>
          <w:p w:rsidR="00314ED8" w:rsidRDefault="00314ED8">
            <w:pPr>
              <w:spacing w:after="0"/>
              <w:jc w:val="center"/>
              <w:rPr>
                <w:rFonts w:ascii="Arial" w:eastAsia="Times New Roman" w:hAnsi="Arial" w:cs="Arial"/>
                <w:color w:val="000000"/>
                <w:lang w:eastAsia="fr-FR"/>
              </w:rPr>
            </w:pPr>
          </w:p>
        </w:tc>
      </w:tr>
      <w:tr w:rsidR="00F127C9" w:rsidRPr="00F127C9" w:rsidTr="009453DA">
        <w:trPr>
          <w:trHeight w:val="270"/>
        </w:trPr>
        <w:tc>
          <w:tcPr>
            <w:tcW w:w="3838" w:type="dxa"/>
            <w:vMerge w:val="restart"/>
            <w:tcBorders>
              <w:top w:val="nil"/>
              <w:left w:val="nil"/>
              <w:bottom w:val="nil"/>
              <w:right w:val="nil"/>
            </w:tcBorders>
            <w:shd w:val="clear" w:color="auto" w:fill="auto"/>
            <w:hideMark/>
          </w:tcPr>
          <w:p w:rsidR="00314ED8" w:rsidRDefault="00F127C9">
            <w:pPr>
              <w:spacing w:after="0"/>
              <w:jc w:val="both"/>
              <w:rPr>
                <w:rFonts w:ascii="Arial" w:eastAsia="Times New Roman" w:hAnsi="Arial" w:cs="Arial"/>
                <w:color w:val="000000"/>
                <w:lang w:eastAsia="fr-FR"/>
              </w:rPr>
            </w:pPr>
            <w:r w:rsidRPr="00F127C9">
              <w:rPr>
                <w:rFonts w:ascii="Arial" w:eastAsia="Times New Roman" w:hAnsi="Arial" w:cs="Arial"/>
                <w:color w:val="000000"/>
                <w:lang w:eastAsia="fr-FR"/>
              </w:rPr>
              <w:t xml:space="preserve">Urbain </w:t>
            </w:r>
          </w:p>
        </w:tc>
        <w:tc>
          <w:tcPr>
            <w:tcW w:w="2425" w:type="dxa"/>
            <w:tcBorders>
              <w:top w:val="nil"/>
              <w:left w:val="nil"/>
              <w:bottom w:val="nil"/>
              <w:right w:val="nil"/>
            </w:tcBorders>
            <w:shd w:val="clear" w:color="auto" w:fill="auto"/>
            <w:vAlign w:val="bottom"/>
            <w:hideMark/>
          </w:tcPr>
          <w:p w:rsidR="00314ED8" w:rsidRDefault="00F127C9">
            <w:pPr>
              <w:spacing w:after="0"/>
              <w:jc w:val="center"/>
              <w:rPr>
                <w:rFonts w:ascii="Arial" w:eastAsia="Times New Roman" w:hAnsi="Arial" w:cs="Arial"/>
                <w:color w:val="000000"/>
                <w:lang w:eastAsia="fr-FR"/>
              </w:rPr>
            </w:pPr>
            <w:r w:rsidRPr="00F127C9">
              <w:rPr>
                <w:rFonts w:ascii="Arial" w:eastAsia="Times New Roman" w:hAnsi="Arial" w:cs="Arial"/>
                <w:color w:val="000000"/>
                <w:lang w:eastAsia="fr-FR"/>
              </w:rPr>
              <w:t>0,452</w:t>
            </w:r>
          </w:p>
        </w:tc>
        <w:tc>
          <w:tcPr>
            <w:tcW w:w="2425" w:type="dxa"/>
            <w:tcBorders>
              <w:top w:val="nil"/>
              <w:left w:val="nil"/>
              <w:bottom w:val="nil"/>
              <w:right w:val="nil"/>
            </w:tcBorders>
            <w:shd w:val="clear" w:color="auto" w:fill="auto"/>
            <w:noWrap/>
            <w:vAlign w:val="bottom"/>
            <w:hideMark/>
          </w:tcPr>
          <w:p w:rsidR="00314ED8" w:rsidRDefault="00F127C9">
            <w:pPr>
              <w:spacing w:after="0"/>
              <w:jc w:val="center"/>
              <w:rPr>
                <w:rFonts w:ascii="Arial" w:eastAsia="Times New Roman" w:hAnsi="Arial" w:cs="Arial"/>
                <w:color w:val="000000"/>
                <w:lang w:eastAsia="fr-FR"/>
              </w:rPr>
            </w:pPr>
            <w:r w:rsidRPr="00F127C9">
              <w:rPr>
                <w:rFonts w:ascii="Arial" w:eastAsia="Times New Roman" w:hAnsi="Arial" w:cs="Arial"/>
                <w:color w:val="000000"/>
                <w:lang w:eastAsia="fr-FR"/>
              </w:rPr>
              <w:t>0,467</w:t>
            </w:r>
          </w:p>
        </w:tc>
      </w:tr>
      <w:tr w:rsidR="00F127C9" w:rsidRPr="00F127C9" w:rsidTr="009453DA">
        <w:trPr>
          <w:trHeight w:val="270"/>
        </w:trPr>
        <w:tc>
          <w:tcPr>
            <w:tcW w:w="3838" w:type="dxa"/>
            <w:vMerge/>
            <w:tcBorders>
              <w:top w:val="nil"/>
              <w:left w:val="nil"/>
              <w:bottom w:val="nil"/>
              <w:right w:val="nil"/>
            </w:tcBorders>
            <w:vAlign w:val="center"/>
            <w:hideMark/>
          </w:tcPr>
          <w:p w:rsidR="00314ED8" w:rsidRDefault="00314ED8">
            <w:pPr>
              <w:spacing w:after="0"/>
              <w:rPr>
                <w:rFonts w:ascii="Arial" w:eastAsia="Times New Roman" w:hAnsi="Arial" w:cs="Arial"/>
                <w:color w:val="000000"/>
                <w:lang w:eastAsia="fr-FR"/>
              </w:rPr>
            </w:pPr>
          </w:p>
        </w:tc>
        <w:tc>
          <w:tcPr>
            <w:tcW w:w="2425" w:type="dxa"/>
            <w:tcBorders>
              <w:top w:val="nil"/>
              <w:left w:val="nil"/>
              <w:bottom w:val="nil"/>
              <w:right w:val="nil"/>
            </w:tcBorders>
            <w:shd w:val="clear" w:color="auto" w:fill="auto"/>
            <w:vAlign w:val="bottom"/>
            <w:hideMark/>
          </w:tcPr>
          <w:p w:rsidR="00314ED8" w:rsidRDefault="00376690">
            <w:pPr>
              <w:spacing w:after="0"/>
              <w:jc w:val="center"/>
              <w:rPr>
                <w:rFonts w:ascii="Arial" w:eastAsia="Times New Roman" w:hAnsi="Arial" w:cs="Arial"/>
                <w:color w:val="000000"/>
                <w:lang w:eastAsia="fr-FR"/>
              </w:rPr>
            </w:pPr>
            <w:r>
              <w:rPr>
                <w:rFonts w:ascii="Arial" w:eastAsia="Times New Roman" w:hAnsi="Arial" w:cs="Arial"/>
                <w:color w:val="000000"/>
                <w:lang w:eastAsia="fr-FR"/>
              </w:rPr>
              <w:t>(</w:t>
            </w:r>
            <w:r w:rsidR="00F127C9" w:rsidRPr="00F127C9">
              <w:rPr>
                <w:rFonts w:ascii="Arial" w:eastAsia="Times New Roman" w:hAnsi="Arial" w:cs="Arial"/>
                <w:color w:val="000000"/>
                <w:lang w:eastAsia="fr-FR"/>
              </w:rPr>
              <w:t>0,006</w:t>
            </w:r>
            <w:r>
              <w:rPr>
                <w:rFonts w:ascii="Arial" w:eastAsia="Times New Roman" w:hAnsi="Arial" w:cs="Arial"/>
                <w:color w:val="000000"/>
                <w:lang w:eastAsia="fr-FR"/>
              </w:rPr>
              <w:t>)</w:t>
            </w:r>
          </w:p>
        </w:tc>
        <w:tc>
          <w:tcPr>
            <w:tcW w:w="2425" w:type="dxa"/>
            <w:tcBorders>
              <w:top w:val="nil"/>
              <w:left w:val="nil"/>
              <w:bottom w:val="nil"/>
              <w:right w:val="nil"/>
            </w:tcBorders>
            <w:shd w:val="clear" w:color="auto" w:fill="auto"/>
            <w:noWrap/>
            <w:vAlign w:val="bottom"/>
            <w:hideMark/>
          </w:tcPr>
          <w:p w:rsidR="00314ED8" w:rsidRDefault="00376690">
            <w:pPr>
              <w:spacing w:after="0"/>
              <w:jc w:val="center"/>
              <w:rPr>
                <w:rFonts w:ascii="Arial" w:eastAsia="Times New Roman" w:hAnsi="Arial" w:cs="Arial"/>
                <w:color w:val="000000"/>
                <w:lang w:eastAsia="fr-FR"/>
              </w:rPr>
            </w:pPr>
            <w:r>
              <w:rPr>
                <w:rFonts w:ascii="Arial" w:eastAsia="Times New Roman" w:hAnsi="Arial" w:cs="Arial"/>
                <w:color w:val="000000"/>
                <w:lang w:eastAsia="fr-FR"/>
              </w:rPr>
              <w:t>(</w:t>
            </w:r>
            <w:r w:rsidR="00F127C9" w:rsidRPr="00F127C9">
              <w:rPr>
                <w:rFonts w:ascii="Arial" w:eastAsia="Times New Roman" w:hAnsi="Arial" w:cs="Arial"/>
                <w:color w:val="000000"/>
                <w:lang w:eastAsia="fr-FR"/>
              </w:rPr>
              <w:t>0,005</w:t>
            </w:r>
            <w:r>
              <w:rPr>
                <w:rFonts w:ascii="Arial" w:eastAsia="Times New Roman" w:hAnsi="Arial" w:cs="Arial"/>
                <w:color w:val="000000"/>
                <w:lang w:eastAsia="fr-FR"/>
              </w:rPr>
              <w:t>)</w:t>
            </w:r>
          </w:p>
        </w:tc>
      </w:tr>
      <w:tr w:rsidR="00F127C9" w:rsidRPr="00F127C9" w:rsidTr="009453DA">
        <w:trPr>
          <w:trHeight w:val="270"/>
        </w:trPr>
        <w:tc>
          <w:tcPr>
            <w:tcW w:w="3838" w:type="dxa"/>
            <w:vMerge w:val="restart"/>
            <w:tcBorders>
              <w:top w:val="nil"/>
              <w:left w:val="nil"/>
              <w:bottom w:val="nil"/>
              <w:right w:val="nil"/>
            </w:tcBorders>
            <w:shd w:val="clear" w:color="auto" w:fill="auto"/>
            <w:hideMark/>
          </w:tcPr>
          <w:p w:rsidR="00314ED8" w:rsidRDefault="00F127C9">
            <w:pPr>
              <w:spacing w:after="0"/>
              <w:jc w:val="both"/>
              <w:rPr>
                <w:rFonts w:ascii="Arial" w:eastAsia="Times New Roman" w:hAnsi="Arial" w:cs="Arial"/>
                <w:color w:val="000000"/>
                <w:lang w:eastAsia="fr-FR"/>
              </w:rPr>
            </w:pPr>
            <w:r w:rsidRPr="00F127C9">
              <w:rPr>
                <w:rFonts w:ascii="Arial" w:eastAsia="Times New Roman" w:hAnsi="Arial" w:cs="Arial"/>
                <w:color w:val="000000"/>
                <w:lang w:eastAsia="fr-FR"/>
              </w:rPr>
              <w:t>Rural</w:t>
            </w:r>
          </w:p>
        </w:tc>
        <w:tc>
          <w:tcPr>
            <w:tcW w:w="2425" w:type="dxa"/>
            <w:tcBorders>
              <w:top w:val="nil"/>
              <w:left w:val="nil"/>
              <w:bottom w:val="nil"/>
              <w:right w:val="nil"/>
            </w:tcBorders>
            <w:shd w:val="clear" w:color="auto" w:fill="auto"/>
            <w:vAlign w:val="bottom"/>
            <w:hideMark/>
          </w:tcPr>
          <w:p w:rsidR="00314ED8" w:rsidRDefault="00F127C9">
            <w:pPr>
              <w:spacing w:after="0"/>
              <w:jc w:val="center"/>
              <w:rPr>
                <w:rFonts w:ascii="Arial" w:eastAsia="Times New Roman" w:hAnsi="Arial" w:cs="Arial"/>
                <w:color w:val="000000"/>
                <w:lang w:eastAsia="fr-FR"/>
              </w:rPr>
            </w:pPr>
            <w:r w:rsidRPr="00F127C9">
              <w:rPr>
                <w:rFonts w:ascii="Arial" w:eastAsia="Times New Roman" w:hAnsi="Arial" w:cs="Arial"/>
                <w:color w:val="000000"/>
                <w:lang w:eastAsia="fr-FR"/>
              </w:rPr>
              <w:t>0,373</w:t>
            </w:r>
          </w:p>
        </w:tc>
        <w:tc>
          <w:tcPr>
            <w:tcW w:w="2425" w:type="dxa"/>
            <w:tcBorders>
              <w:top w:val="nil"/>
              <w:left w:val="nil"/>
              <w:bottom w:val="nil"/>
              <w:right w:val="nil"/>
            </w:tcBorders>
            <w:shd w:val="clear" w:color="auto" w:fill="auto"/>
            <w:noWrap/>
            <w:vAlign w:val="bottom"/>
            <w:hideMark/>
          </w:tcPr>
          <w:p w:rsidR="00314ED8" w:rsidRDefault="00F127C9">
            <w:pPr>
              <w:spacing w:after="0"/>
              <w:jc w:val="center"/>
              <w:rPr>
                <w:rFonts w:ascii="Arial" w:eastAsia="Times New Roman" w:hAnsi="Arial" w:cs="Arial"/>
                <w:color w:val="000000"/>
                <w:lang w:eastAsia="fr-FR"/>
              </w:rPr>
            </w:pPr>
            <w:r w:rsidRPr="00F127C9">
              <w:rPr>
                <w:rFonts w:ascii="Arial" w:eastAsia="Times New Roman" w:hAnsi="Arial" w:cs="Arial"/>
                <w:color w:val="000000"/>
                <w:lang w:eastAsia="fr-FR"/>
              </w:rPr>
              <w:t>0,403</w:t>
            </w:r>
          </w:p>
        </w:tc>
      </w:tr>
      <w:tr w:rsidR="00F127C9" w:rsidRPr="00F127C9" w:rsidTr="009453DA">
        <w:trPr>
          <w:trHeight w:val="270"/>
        </w:trPr>
        <w:tc>
          <w:tcPr>
            <w:tcW w:w="3838" w:type="dxa"/>
            <w:vMerge/>
            <w:tcBorders>
              <w:top w:val="nil"/>
              <w:left w:val="nil"/>
              <w:bottom w:val="single" w:sz="4" w:space="0" w:color="auto"/>
              <w:right w:val="nil"/>
            </w:tcBorders>
            <w:vAlign w:val="center"/>
            <w:hideMark/>
          </w:tcPr>
          <w:p w:rsidR="00314ED8" w:rsidRDefault="00314ED8">
            <w:pPr>
              <w:spacing w:after="0"/>
              <w:rPr>
                <w:rFonts w:ascii="Arial" w:eastAsia="Times New Roman" w:hAnsi="Arial" w:cs="Arial"/>
                <w:color w:val="000000"/>
                <w:lang w:eastAsia="fr-FR"/>
              </w:rPr>
            </w:pPr>
          </w:p>
        </w:tc>
        <w:tc>
          <w:tcPr>
            <w:tcW w:w="2425" w:type="dxa"/>
            <w:tcBorders>
              <w:top w:val="nil"/>
              <w:left w:val="nil"/>
              <w:bottom w:val="single" w:sz="4" w:space="0" w:color="auto"/>
              <w:right w:val="nil"/>
            </w:tcBorders>
            <w:shd w:val="clear" w:color="auto" w:fill="auto"/>
            <w:vAlign w:val="bottom"/>
            <w:hideMark/>
          </w:tcPr>
          <w:p w:rsidR="00314ED8" w:rsidRDefault="00376690">
            <w:pPr>
              <w:spacing w:after="0"/>
              <w:jc w:val="center"/>
              <w:rPr>
                <w:rFonts w:ascii="Arial" w:eastAsia="Times New Roman" w:hAnsi="Arial" w:cs="Arial"/>
                <w:color w:val="000000"/>
                <w:lang w:eastAsia="fr-FR"/>
              </w:rPr>
            </w:pPr>
            <w:r>
              <w:rPr>
                <w:rFonts w:ascii="Arial" w:eastAsia="Times New Roman" w:hAnsi="Arial" w:cs="Arial"/>
                <w:color w:val="000000"/>
                <w:lang w:eastAsia="fr-FR"/>
              </w:rPr>
              <w:t>(</w:t>
            </w:r>
            <w:r w:rsidR="00F127C9" w:rsidRPr="00F127C9">
              <w:rPr>
                <w:rFonts w:ascii="Arial" w:eastAsia="Times New Roman" w:hAnsi="Arial" w:cs="Arial"/>
                <w:color w:val="000000"/>
                <w:lang w:eastAsia="fr-FR"/>
              </w:rPr>
              <w:t>0,005</w:t>
            </w:r>
            <w:r>
              <w:rPr>
                <w:rFonts w:ascii="Arial" w:eastAsia="Times New Roman" w:hAnsi="Arial" w:cs="Arial"/>
                <w:color w:val="000000"/>
                <w:lang w:eastAsia="fr-FR"/>
              </w:rPr>
              <w:t>)</w:t>
            </w:r>
          </w:p>
        </w:tc>
        <w:tc>
          <w:tcPr>
            <w:tcW w:w="2425" w:type="dxa"/>
            <w:tcBorders>
              <w:top w:val="nil"/>
              <w:left w:val="nil"/>
              <w:bottom w:val="single" w:sz="4" w:space="0" w:color="auto"/>
              <w:right w:val="nil"/>
            </w:tcBorders>
            <w:shd w:val="clear" w:color="auto" w:fill="auto"/>
            <w:noWrap/>
            <w:vAlign w:val="bottom"/>
            <w:hideMark/>
          </w:tcPr>
          <w:p w:rsidR="00314ED8" w:rsidRDefault="00376690">
            <w:pPr>
              <w:spacing w:after="0"/>
              <w:jc w:val="center"/>
              <w:rPr>
                <w:rFonts w:ascii="Arial" w:eastAsia="Times New Roman" w:hAnsi="Arial" w:cs="Arial"/>
                <w:color w:val="000000"/>
                <w:lang w:eastAsia="fr-FR"/>
              </w:rPr>
            </w:pPr>
            <w:r>
              <w:rPr>
                <w:rFonts w:ascii="Arial" w:eastAsia="Times New Roman" w:hAnsi="Arial" w:cs="Arial"/>
                <w:color w:val="000000"/>
                <w:lang w:eastAsia="fr-FR"/>
              </w:rPr>
              <w:t>(</w:t>
            </w:r>
            <w:r w:rsidR="00F127C9" w:rsidRPr="00F127C9">
              <w:rPr>
                <w:rFonts w:ascii="Arial" w:eastAsia="Times New Roman" w:hAnsi="Arial" w:cs="Arial"/>
                <w:color w:val="000000"/>
                <w:lang w:eastAsia="fr-FR"/>
              </w:rPr>
              <w:t>0,006</w:t>
            </w:r>
            <w:r>
              <w:rPr>
                <w:rFonts w:ascii="Arial" w:eastAsia="Times New Roman" w:hAnsi="Arial" w:cs="Arial"/>
                <w:color w:val="000000"/>
                <w:lang w:eastAsia="fr-FR"/>
              </w:rPr>
              <w:t>)</w:t>
            </w:r>
          </w:p>
        </w:tc>
      </w:tr>
      <w:tr w:rsidR="00F127C9" w:rsidRPr="00F127C9" w:rsidTr="009453DA">
        <w:trPr>
          <w:trHeight w:val="270"/>
        </w:trPr>
        <w:tc>
          <w:tcPr>
            <w:tcW w:w="3838" w:type="dxa"/>
            <w:tcBorders>
              <w:top w:val="single" w:sz="4" w:space="0" w:color="auto"/>
              <w:left w:val="nil"/>
              <w:bottom w:val="nil"/>
              <w:right w:val="nil"/>
            </w:tcBorders>
            <w:shd w:val="clear" w:color="auto" w:fill="auto"/>
            <w:hideMark/>
          </w:tcPr>
          <w:p w:rsidR="00314ED8" w:rsidRDefault="00F127C9">
            <w:pPr>
              <w:spacing w:after="0"/>
              <w:jc w:val="both"/>
              <w:rPr>
                <w:rFonts w:ascii="Arial" w:eastAsia="Times New Roman" w:hAnsi="Arial" w:cs="Arial"/>
                <w:b/>
                <w:bCs/>
                <w:color w:val="000000"/>
                <w:lang w:eastAsia="fr-FR"/>
              </w:rPr>
            </w:pPr>
            <w:r w:rsidRPr="00F127C9">
              <w:rPr>
                <w:rFonts w:ascii="Arial" w:eastAsia="Times New Roman" w:hAnsi="Arial" w:cs="Arial"/>
                <w:b/>
                <w:bCs/>
                <w:color w:val="000000"/>
                <w:lang w:eastAsia="fr-FR"/>
              </w:rPr>
              <w:t>Département</w:t>
            </w:r>
          </w:p>
        </w:tc>
        <w:tc>
          <w:tcPr>
            <w:tcW w:w="2425" w:type="dxa"/>
            <w:tcBorders>
              <w:top w:val="single" w:sz="4" w:space="0" w:color="auto"/>
              <w:left w:val="nil"/>
              <w:bottom w:val="nil"/>
              <w:right w:val="nil"/>
            </w:tcBorders>
            <w:shd w:val="clear" w:color="auto" w:fill="auto"/>
            <w:vAlign w:val="bottom"/>
            <w:hideMark/>
          </w:tcPr>
          <w:p w:rsidR="00314ED8" w:rsidRDefault="00314ED8">
            <w:pPr>
              <w:spacing w:after="0"/>
              <w:jc w:val="center"/>
              <w:rPr>
                <w:rFonts w:ascii="Arial" w:eastAsia="Times New Roman" w:hAnsi="Arial" w:cs="Arial"/>
                <w:color w:val="000000"/>
                <w:lang w:eastAsia="fr-FR"/>
              </w:rPr>
            </w:pPr>
          </w:p>
        </w:tc>
        <w:tc>
          <w:tcPr>
            <w:tcW w:w="2425" w:type="dxa"/>
            <w:tcBorders>
              <w:top w:val="single" w:sz="4" w:space="0" w:color="auto"/>
              <w:left w:val="nil"/>
              <w:bottom w:val="nil"/>
              <w:right w:val="nil"/>
            </w:tcBorders>
            <w:shd w:val="clear" w:color="auto" w:fill="auto"/>
            <w:noWrap/>
            <w:vAlign w:val="bottom"/>
            <w:hideMark/>
          </w:tcPr>
          <w:p w:rsidR="00314ED8" w:rsidRDefault="00314ED8">
            <w:pPr>
              <w:spacing w:after="0"/>
              <w:jc w:val="center"/>
              <w:rPr>
                <w:rFonts w:ascii="Arial" w:eastAsia="Times New Roman" w:hAnsi="Arial" w:cs="Arial"/>
                <w:color w:val="000000"/>
                <w:lang w:eastAsia="fr-FR"/>
              </w:rPr>
            </w:pP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Alibori</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0,341</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0,394</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Atacora</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0,39</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0,436</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Atlantique</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0,468</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0,345</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Borgou</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0,399</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0,499</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Collines</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0,378</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0,460</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Couffo</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0,35</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0,408</w:t>
            </w:r>
          </w:p>
        </w:tc>
      </w:tr>
      <w:tr w:rsidR="00F127C9" w:rsidRPr="0020261B"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lang w:eastAsia="fr-FR"/>
              </w:rPr>
            </w:pPr>
            <w:r w:rsidRPr="007C1557">
              <w:rPr>
                <w:rFonts w:ascii="Arial" w:eastAsia="Times New Roman" w:hAnsi="Arial" w:cs="Arial"/>
                <w:bCs/>
                <w:lang w:eastAsia="fr-FR"/>
              </w:rPr>
              <w:t>Donga</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0,365</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lang w:eastAsia="fr-FR"/>
              </w:rPr>
            </w:pPr>
            <w:r w:rsidRPr="007C1557">
              <w:rPr>
                <w:rFonts w:ascii="Arial" w:eastAsia="Times New Roman" w:hAnsi="Arial" w:cs="Arial"/>
                <w:lang w:eastAsia="fr-FR"/>
              </w:rPr>
              <w:t>0,414</w:t>
            </w:r>
          </w:p>
        </w:tc>
      </w:tr>
      <w:tr w:rsidR="00F127C9" w:rsidRPr="00F127C9"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color w:val="000000"/>
                <w:lang w:eastAsia="fr-FR"/>
              </w:rPr>
            </w:pPr>
            <w:r w:rsidRPr="007C1557">
              <w:rPr>
                <w:rFonts w:ascii="Arial" w:eastAsia="Times New Roman" w:hAnsi="Arial" w:cs="Arial"/>
                <w:bCs/>
                <w:color w:val="000000"/>
                <w:lang w:eastAsia="fr-FR"/>
              </w:rPr>
              <w:t>Littoral</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0,385</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0,405</w:t>
            </w:r>
          </w:p>
        </w:tc>
      </w:tr>
      <w:tr w:rsidR="00F127C9" w:rsidRPr="00F127C9"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color w:val="000000"/>
                <w:lang w:eastAsia="fr-FR"/>
              </w:rPr>
            </w:pPr>
            <w:r w:rsidRPr="007C1557">
              <w:rPr>
                <w:rFonts w:ascii="Arial" w:eastAsia="Times New Roman" w:hAnsi="Arial" w:cs="Arial"/>
                <w:bCs/>
                <w:color w:val="000000"/>
                <w:lang w:eastAsia="fr-FR"/>
              </w:rPr>
              <w:t>Mono</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0,387</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0,401</w:t>
            </w:r>
          </w:p>
        </w:tc>
      </w:tr>
      <w:tr w:rsidR="00F127C9" w:rsidRPr="00F127C9"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color w:val="000000"/>
                <w:lang w:eastAsia="fr-FR"/>
              </w:rPr>
            </w:pPr>
            <w:r w:rsidRPr="007C1557">
              <w:rPr>
                <w:rFonts w:ascii="Arial" w:eastAsia="Times New Roman" w:hAnsi="Arial" w:cs="Arial"/>
                <w:bCs/>
                <w:color w:val="000000"/>
                <w:lang w:eastAsia="fr-FR"/>
              </w:rPr>
              <w:t>Ouémé</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0,414</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0,485</w:t>
            </w:r>
          </w:p>
        </w:tc>
      </w:tr>
      <w:tr w:rsidR="00F127C9" w:rsidRPr="00F127C9" w:rsidTr="009453DA">
        <w:trPr>
          <w:trHeight w:val="270"/>
        </w:trPr>
        <w:tc>
          <w:tcPr>
            <w:tcW w:w="3838" w:type="dxa"/>
            <w:tcBorders>
              <w:top w:val="nil"/>
              <w:left w:val="nil"/>
              <w:bottom w:val="nil"/>
              <w:right w:val="nil"/>
            </w:tcBorders>
            <w:shd w:val="clear" w:color="auto" w:fill="auto"/>
            <w:hideMark/>
          </w:tcPr>
          <w:p w:rsidR="00314ED8" w:rsidRDefault="007C1557">
            <w:pPr>
              <w:spacing w:after="0"/>
              <w:rPr>
                <w:rFonts w:ascii="Arial" w:eastAsia="Times New Roman" w:hAnsi="Arial" w:cs="Arial"/>
                <w:color w:val="000000"/>
                <w:lang w:eastAsia="fr-FR"/>
              </w:rPr>
            </w:pPr>
            <w:r w:rsidRPr="007C1557">
              <w:rPr>
                <w:rFonts w:ascii="Arial" w:eastAsia="Times New Roman" w:hAnsi="Arial" w:cs="Arial"/>
                <w:bCs/>
                <w:color w:val="000000"/>
                <w:lang w:eastAsia="fr-FR"/>
              </w:rPr>
              <w:t>Plateau</w:t>
            </w:r>
          </w:p>
        </w:tc>
        <w:tc>
          <w:tcPr>
            <w:tcW w:w="2425" w:type="dxa"/>
            <w:tcBorders>
              <w:top w:val="nil"/>
              <w:left w:val="nil"/>
              <w:bottom w:val="nil"/>
              <w:right w:val="nil"/>
            </w:tcBorders>
            <w:shd w:val="clear" w:color="auto" w:fill="auto"/>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0,377</w:t>
            </w:r>
          </w:p>
        </w:tc>
        <w:tc>
          <w:tcPr>
            <w:tcW w:w="2425" w:type="dxa"/>
            <w:tcBorders>
              <w:top w:val="nil"/>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0,371</w:t>
            </w:r>
          </w:p>
        </w:tc>
      </w:tr>
      <w:tr w:rsidR="00F127C9" w:rsidRPr="00F127C9" w:rsidTr="009453DA">
        <w:trPr>
          <w:trHeight w:val="284"/>
        </w:trPr>
        <w:tc>
          <w:tcPr>
            <w:tcW w:w="3838" w:type="dxa"/>
            <w:tcBorders>
              <w:top w:val="nil"/>
              <w:left w:val="nil"/>
              <w:bottom w:val="single" w:sz="4" w:space="0" w:color="auto"/>
              <w:right w:val="nil"/>
            </w:tcBorders>
            <w:shd w:val="clear" w:color="auto" w:fill="auto"/>
            <w:hideMark/>
          </w:tcPr>
          <w:p w:rsidR="00314ED8" w:rsidRDefault="007C1557">
            <w:pPr>
              <w:spacing w:after="0"/>
              <w:rPr>
                <w:rFonts w:ascii="Arial" w:eastAsia="Times New Roman" w:hAnsi="Arial" w:cs="Arial"/>
                <w:color w:val="000000"/>
                <w:lang w:eastAsia="fr-FR"/>
              </w:rPr>
            </w:pPr>
            <w:r w:rsidRPr="007C1557">
              <w:rPr>
                <w:rFonts w:ascii="Arial" w:eastAsia="Times New Roman" w:hAnsi="Arial" w:cs="Arial"/>
                <w:bCs/>
                <w:color w:val="000000"/>
                <w:lang w:eastAsia="fr-FR"/>
              </w:rPr>
              <w:t>Zou</w:t>
            </w:r>
          </w:p>
        </w:tc>
        <w:tc>
          <w:tcPr>
            <w:tcW w:w="2425" w:type="dxa"/>
            <w:tcBorders>
              <w:top w:val="nil"/>
              <w:left w:val="nil"/>
              <w:bottom w:val="single" w:sz="4" w:space="0" w:color="auto"/>
              <w:right w:val="nil"/>
            </w:tcBorders>
            <w:shd w:val="clear" w:color="auto" w:fill="auto"/>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0,362</w:t>
            </w:r>
          </w:p>
        </w:tc>
        <w:tc>
          <w:tcPr>
            <w:tcW w:w="2425" w:type="dxa"/>
            <w:tcBorders>
              <w:top w:val="nil"/>
              <w:left w:val="nil"/>
              <w:bottom w:val="single" w:sz="4" w:space="0" w:color="auto"/>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0,477</w:t>
            </w:r>
          </w:p>
        </w:tc>
      </w:tr>
      <w:tr w:rsidR="00F127C9" w:rsidRPr="00F127C9" w:rsidTr="009453DA">
        <w:trPr>
          <w:trHeight w:val="270"/>
        </w:trPr>
        <w:tc>
          <w:tcPr>
            <w:tcW w:w="3838" w:type="dxa"/>
            <w:vMerge w:val="restart"/>
            <w:tcBorders>
              <w:top w:val="single" w:sz="4" w:space="0" w:color="auto"/>
              <w:left w:val="nil"/>
              <w:bottom w:val="double" w:sz="6" w:space="0" w:color="000000"/>
              <w:right w:val="nil"/>
            </w:tcBorders>
            <w:shd w:val="clear" w:color="auto" w:fill="auto"/>
            <w:hideMark/>
          </w:tcPr>
          <w:p w:rsidR="00314ED8" w:rsidRDefault="007C1557">
            <w:pPr>
              <w:spacing w:after="0"/>
              <w:jc w:val="both"/>
              <w:rPr>
                <w:rFonts w:ascii="Arial" w:eastAsia="Times New Roman" w:hAnsi="Arial" w:cs="Arial"/>
                <w:b/>
                <w:bCs/>
                <w:color w:val="000000"/>
                <w:lang w:eastAsia="fr-FR"/>
              </w:rPr>
            </w:pPr>
            <w:r w:rsidRPr="007C1557">
              <w:rPr>
                <w:rFonts w:ascii="Arial" w:eastAsia="Times New Roman" w:hAnsi="Arial" w:cs="Arial"/>
                <w:b/>
                <w:bCs/>
                <w:color w:val="000000"/>
                <w:lang w:eastAsia="fr-FR"/>
              </w:rPr>
              <w:t>Bénin</w:t>
            </w:r>
          </w:p>
        </w:tc>
        <w:tc>
          <w:tcPr>
            <w:tcW w:w="2425" w:type="dxa"/>
            <w:tcBorders>
              <w:top w:val="single" w:sz="4" w:space="0" w:color="auto"/>
              <w:left w:val="nil"/>
              <w:bottom w:val="nil"/>
              <w:right w:val="nil"/>
            </w:tcBorders>
            <w:shd w:val="clear" w:color="auto" w:fill="auto"/>
            <w:vAlign w:val="bottom"/>
            <w:hideMark/>
          </w:tcPr>
          <w:p w:rsidR="00314ED8" w:rsidRDefault="007C1557">
            <w:pPr>
              <w:spacing w:after="0"/>
              <w:jc w:val="center"/>
              <w:rPr>
                <w:rFonts w:ascii="Arial" w:eastAsia="Times New Roman" w:hAnsi="Arial" w:cs="Arial"/>
                <w:bCs/>
                <w:color w:val="000000"/>
                <w:lang w:eastAsia="fr-FR"/>
              </w:rPr>
            </w:pPr>
            <w:r w:rsidRPr="007C1557">
              <w:rPr>
                <w:rFonts w:ascii="Arial" w:eastAsia="Times New Roman" w:hAnsi="Arial" w:cs="Arial"/>
                <w:bCs/>
                <w:color w:val="000000"/>
                <w:lang w:eastAsia="fr-FR"/>
              </w:rPr>
              <w:t>0,464</w:t>
            </w:r>
          </w:p>
        </w:tc>
        <w:tc>
          <w:tcPr>
            <w:tcW w:w="2425" w:type="dxa"/>
            <w:tcBorders>
              <w:top w:val="single" w:sz="4" w:space="0" w:color="auto"/>
              <w:left w:val="nil"/>
              <w:bottom w:val="nil"/>
              <w:right w:val="nil"/>
            </w:tcBorders>
            <w:shd w:val="clear" w:color="auto" w:fill="auto"/>
            <w:noWrap/>
            <w:vAlign w:val="bottom"/>
            <w:hideMark/>
          </w:tcPr>
          <w:p w:rsidR="00314ED8" w:rsidRDefault="007C1557">
            <w:pPr>
              <w:spacing w:after="0"/>
              <w:jc w:val="center"/>
              <w:rPr>
                <w:rFonts w:ascii="Arial" w:eastAsia="Times New Roman" w:hAnsi="Arial" w:cs="Arial"/>
                <w:color w:val="000000"/>
                <w:lang w:eastAsia="fr-FR"/>
              </w:rPr>
            </w:pPr>
            <w:r w:rsidRPr="007C1557">
              <w:rPr>
                <w:rFonts w:ascii="Arial" w:eastAsia="Times New Roman" w:hAnsi="Arial" w:cs="Arial"/>
                <w:color w:val="000000"/>
                <w:lang w:eastAsia="fr-FR"/>
              </w:rPr>
              <w:t>0,470</w:t>
            </w:r>
          </w:p>
        </w:tc>
      </w:tr>
      <w:tr w:rsidR="00F127C9" w:rsidRPr="00F127C9" w:rsidTr="009453DA">
        <w:trPr>
          <w:trHeight w:val="284"/>
        </w:trPr>
        <w:tc>
          <w:tcPr>
            <w:tcW w:w="3838" w:type="dxa"/>
            <w:vMerge/>
            <w:tcBorders>
              <w:top w:val="nil"/>
              <w:left w:val="nil"/>
              <w:bottom w:val="single" w:sz="4" w:space="0" w:color="auto"/>
              <w:right w:val="nil"/>
            </w:tcBorders>
            <w:vAlign w:val="center"/>
            <w:hideMark/>
          </w:tcPr>
          <w:p w:rsidR="00314ED8" w:rsidRDefault="00314ED8">
            <w:pPr>
              <w:spacing w:after="0"/>
              <w:rPr>
                <w:rFonts w:ascii="Arial" w:eastAsia="Times New Roman" w:hAnsi="Arial" w:cs="Arial"/>
                <w:b/>
                <w:bCs/>
                <w:color w:val="000000"/>
                <w:lang w:eastAsia="fr-FR"/>
              </w:rPr>
            </w:pPr>
          </w:p>
        </w:tc>
        <w:tc>
          <w:tcPr>
            <w:tcW w:w="2425" w:type="dxa"/>
            <w:tcBorders>
              <w:top w:val="nil"/>
              <w:left w:val="nil"/>
              <w:bottom w:val="single" w:sz="4" w:space="0" w:color="auto"/>
              <w:right w:val="nil"/>
            </w:tcBorders>
            <w:shd w:val="clear" w:color="auto" w:fill="auto"/>
            <w:vAlign w:val="bottom"/>
            <w:hideMark/>
          </w:tcPr>
          <w:p w:rsidR="00314ED8" w:rsidRDefault="007C1557">
            <w:pPr>
              <w:spacing w:after="0"/>
              <w:jc w:val="center"/>
              <w:rPr>
                <w:rFonts w:ascii="Arial" w:eastAsia="Times New Roman" w:hAnsi="Arial" w:cs="Arial"/>
                <w:bCs/>
                <w:color w:val="000000"/>
                <w:lang w:eastAsia="fr-FR"/>
              </w:rPr>
            </w:pPr>
            <w:r w:rsidRPr="007C1557">
              <w:rPr>
                <w:rFonts w:ascii="Arial" w:eastAsia="Times New Roman" w:hAnsi="Arial" w:cs="Arial"/>
                <w:bCs/>
                <w:color w:val="000000"/>
                <w:lang w:eastAsia="fr-FR"/>
              </w:rPr>
              <w:t>(0,005)</w:t>
            </w:r>
          </w:p>
        </w:tc>
        <w:tc>
          <w:tcPr>
            <w:tcW w:w="2425" w:type="dxa"/>
            <w:tcBorders>
              <w:top w:val="nil"/>
              <w:left w:val="nil"/>
              <w:bottom w:val="single" w:sz="4" w:space="0" w:color="auto"/>
              <w:right w:val="nil"/>
            </w:tcBorders>
            <w:shd w:val="clear" w:color="auto" w:fill="auto"/>
            <w:noWrap/>
            <w:vAlign w:val="bottom"/>
            <w:hideMark/>
          </w:tcPr>
          <w:p w:rsidR="00314ED8" w:rsidRDefault="00203FB2">
            <w:pPr>
              <w:spacing w:after="0"/>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0,004</w:t>
            </w:r>
            <w:r>
              <w:rPr>
                <w:rFonts w:ascii="Arial" w:eastAsia="Times New Roman" w:hAnsi="Arial" w:cs="Arial"/>
                <w:color w:val="000000"/>
                <w:lang w:eastAsia="fr-FR"/>
              </w:rPr>
              <w:t>)</w:t>
            </w:r>
          </w:p>
        </w:tc>
      </w:tr>
    </w:tbl>
    <w:p w:rsidR="00314ED8" w:rsidRDefault="009D0286">
      <w:pPr>
        <w:widowControl w:val="0"/>
        <w:autoSpaceDE w:val="0"/>
        <w:autoSpaceDN w:val="0"/>
        <w:adjustRightInd w:val="0"/>
        <w:spacing w:after="0"/>
        <w:jc w:val="both"/>
        <w:rPr>
          <w:rFonts w:ascii="Arial" w:eastAsia="Cambria" w:hAnsi="Arial" w:cs="Arial"/>
        </w:rPr>
      </w:pPr>
      <w:r w:rsidRPr="009D0286">
        <w:rPr>
          <w:rFonts w:ascii="Arial" w:eastAsia="Cambria" w:hAnsi="Arial" w:cs="Arial"/>
          <w:u w:val="single"/>
        </w:rPr>
        <w:t>Source</w:t>
      </w:r>
      <w:r w:rsidRPr="009D0286">
        <w:rPr>
          <w:rFonts w:ascii="Arial" w:eastAsia="Cambria" w:hAnsi="Arial" w:cs="Arial"/>
        </w:rPr>
        <w:t xml:space="preserve"> : </w:t>
      </w:r>
      <w:r w:rsidRPr="009D0286">
        <w:rPr>
          <w:rFonts w:ascii="Arial" w:hAnsi="Arial" w:cs="Arial"/>
          <w:color w:val="000000"/>
        </w:rPr>
        <w:t>INSAE, EMICoV 2015 et  2011 /   NB : (.) = Erreur standard de la moyenne</w:t>
      </w:r>
    </w:p>
    <w:p w:rsidR="00314ED8" w:rsidRDefault="00314ED8">
      <w:pPr>
        <w:pStyle w:val="Paragraphedeliste"/>
        <w:ind w:left="405"/>
        <w:rPr>
          <w:rFonts w:ascii="Arial" w:hAnsi="Arial" w:cs="Arial"/>
          <w:b/>
          <w:color w:val="E36C0A"/>
          <w:sz w:val="24"/>
          <w:szCs w:val="24"/>
        </w:rPr>
      </w:pPr>
    </w:p>
    <w:p w:rsidR="00314ED8" w:rsidRDefault="009E1A2A">
      <w:pPr>
        <w:jc w:val="both"/>
        <w:rPr>
          <w:rFonts w:ascii="Arial" w:hAnsi="Arial" w:cs="Arial"/>
        </w:rPr>
      </w:pPr>
      <w:r>
        <w:rPr>
          <w:rFonts w:ascii="Arial" w:hAnsi="Arial" w:cs="Arial"/>
          <w:b/>
        </w:rPr>
        <w:t xml:space="preserve">Des niveaux d’inégalités très différenciés selon les départements. </w:t>
      </w:r>
      <w:r w:rsidR="007C1557" w:rsidRPr="007C1557">
        <w:rPr>
          <w:rFonts w:ascii="Arial" w:hAnsi="Arial" w:cs="Arial"/>
        </w:rPr>
        <w:t xml:space="preserve">Les inégalités de dépenses par tête sont plus fortes </w:t>
      </w:r>
      <w:r w:rsidR="00203FB2" w:rsidRPr="00203FB2">
        <w:rPr>
          <w:rFonts w:ascii="Arial" w:hAnsi="Arial" w:cs="Arial"/>
        </w:rPr>
        <w:t>le Borgou (0,</w:t>
      </w:r>
      <w:r w:rsidR="00203FB2">
        <w:rPr>
          <w:rFonts w:ascii="Arial" w:hAnsi="Arial" w:cs="Arial"/>
        </w:rPr>
        <w:t>4</w:t>
      </w:r>
      <w:r w:rsidR="00203FB2" w:rsidRPr="00203FB2">
        <w:rPr>
          <w:rFonts w:ascii="Arial" w:hAnsi="Arial" w:cs="Arial"/>
        </w:rPr>
        <w:t>99)</w:t>
      </w:r>
      <w:r w:rsidR="00203FB2">
        <w:rPr>
          <w:rFonts w:ascii="Arial" w:hAnsi="Arial" w:cs="Arial"/>
        </w:rPr>
        <w:t xml:space="preserve">, </w:t>
      </w:r>
      <w:r w:rsidR="00203FB2" w:rsidRPr="00203FB2">
        <w:rPr>
          <w:rFonts w:ascii="Arial" w:hAnsi="Arial" w:cs="Arial"/>
        </w:rPr>
        <w:t>l’Ouémé (</w:t>
      </w:r>
      <w:r w:rsidR="00203FB2">
        <w:rPr>
          <w:rFonts w:ascii="Arial" w:hAnsi="Arial" w:cs="Arial"/>
        </w:rPr>
        <w:t>0,485</w:t>
      </w:r>
      <w:r w:rsidR="00203FB2" w:rsidRPr="00203FB2">
        <w:rPr>
          <w:rFonts w:ascii="Arial" w:hAnsi="Arial" w:cs="Arial"/>
        </w:rPr>
        <w:t>)</w:t>
      </w:r>
      <w:r w:rsidR="00203FB2">
        <w:rPr>
          <w:rFonts w:ascii="Arial" w:hAnsi="Arial" w:cs="Arial"/>
        </w:rPr>
        <w:t>, les Collines (0,460)</w:t>
      </w:r>
      <w:r w:rsidR="007C1557" w:rsidRPr="007C1557">
        <w:rPr>
          <w:rFonts w:ascii="Arial" w:hAnsi="Arial" w:cs="Arial"/>
        </w:rPr>
        <w:t xml:space="preserve"> et faibles dans les départements de l’A</w:t>
      </w:r>
      <w:r w:rsidR="00203FB2">
        <w:rPr>
          <w:rFonts w:ascii="Arial" w:hAnsi="Arial" w:cs="Arial"/>
        </w:rPr>
        <w:t xml:space="preserve">tlantique </w:t>
      </w:r>
      <w:r w:rsidR="007C1557" w:rsidRPr="007C1557">
        <w:rPr>
          <w:rFonts w:ascii="Arial" w:hAnsi="Arial" w:cs="Arial"/>
        </w:rPr>
        <w:t>(0,34</w:t>
      </w:r>
      <w:r w:rsidR="00203FB2">
        <w:rPr>
          <w:rFonts w:ascii="Arial" w:hAnsi="Arial" w:cs="Arial"/>
        </w:rPr>
        <w:t>5</w:t>
      </w:r>
      <w:r w:rsidR="007C1557" w:rsidRPr="007C1557">
        <w:rPr>
          <w:rFonts w:ascii="Arial" w:hAnsi="Arial" w:cs="Arial"/>
        </w:rPr>
        <w:t>)</w:t>
      </w:r>
      <w:r w:rsidR="00203FB2">
        <w:rPr>
          <w:rFonts w:ascii="Arial" w:hAnsi="Arial" w:cs="Arial"/>
        </w:rPr>
        <w:t xml:space="preserve"> et du Plateau (0,375). </w:t>
      </w:r>
      <w:r w:rsidR="007C1557" w:rsidRPr="007C1557">
        <w:rPr>
          <w:rFonts w:ascii="Arial" w:hAnsi="Arial" w:cs="Arial"/>
        </w:rPr>
        <w:t xml:space="preserve">Par rapport à 2011, les inégalités se sont plus accentuées dans les départements du Zou (0,115 point), des Collines (0,082), du Couffo (0,058) et de l’Alibori (0,053). </w:t>
      </w: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237E2B" w:rsidRDefault="00237E2B" w:rsidP="007E0263">
      <w:pPr>
        <w:spacing w:after="0"/>
        <w:jc w:val="both"/>
        <w:rPr>
          <w:rFonts w:ascii="Arial" w:hAnsi="Arial" w:cs="Arial"/>
        </w:rPr>
      </w:pPr>
    </w:p>
    <w:p w:rsidR="00314ED8" w:rsidRPr="00950C27" w:rsidRDefault="001B357D" w:rsidP="007E0263">
      <w:pPr>
        <w:spacing w:after="0"/>
        <w:jc w:val="both"/>
        <w:rPr>
          <w:rFonts w:ascii="Arial" w:hAnsi="Arial" w:cs="Arial"/>
        </w:rPr>
      </w:pPr>
      <w:bookmarkStart w:id="34" w:name="_Toc433391925"/>
      <w:r w:rsidRPr="001B357D">
        <w:rPr>
          <w:rFonts w:ascii="Arial" w:hAnsi="Arial" w:cs="Arial"/>
        </w:rPr>
        <w:t xml:space="preserve">Figure </w:t>
      </w:r>
      <w:r w:rsidR="00115FEB" w:rsidRPr="001B357D">
        <w:rPr>
          <w:rFonts w:ascii="Arial" w:hAnsi="Arial" w:cs="Arial"/>
        </w:rPr>
        <w:fldChar w:fldCharType="begin"/>
      </w:r>
      <w:r w:rsidRPr="001B357D">
        <w:rPr>
          <w:rFonts w:ascii="Arial" w:hAnsi="Arial" w:cs="Arial"/>
        </w:rPr>
        <w:instrText xml:space="preserve"> SEQ Figure \* ARABIC </w:instrText>
      </w:r>
      <w:r w:rsidR="00115FEB" w:rsidRPr="001B357D">
        <w:rPr>
          <w:rFonts w:ascii="Arial" w:hAnsi="Arial" w:cs="Arial"/>
        </w:rPr>
        <w:fldChar w:fldCharType="separate"/>
      </w:r>
      <w:r w:rsidR="00DB55D3">
        <w:rPr>
          <w:rFonts w:ascii="Arial" w:hAnsi="Arial" w:cs="Arial"/>
          <w:noProof/>
        </w:rPr>
        <w:t>7</w:t>
      </w:r>
      <w:r w:rsidR="00115FEB" w:rsidRPr="001B357D">
        <w:rPr>
          <w:rFonts w:ascii="Arial" w:hAnsi="Arial" w:cs="Arial"/>
        </w:rPr>
        <w:fldChar w:fldCharType="end"/>
      </w:r>
      <w:r w:rsidR="00E81466" w:rsidRPr="00950C27">
        <w:rPr>
          <w:rFonts w:ascii="Arial" w:hAnsi="Arial" w:cs="Arial"/>
        </w:rPr>
        <w:t>: Etat d’aggravation des inégalités dans les départements entre 2011 et 2015</w:t>
      </w:r>
      <w:bookmarkEnd w:id="34"/>
    </w:p>
    <w:p w:rsidR="00314ED8" w:rsidRDefault="003E6DBD">
      <w:pPr>
        <w:spacing w:after="0" w:line="240" w:lineRule="auto"/>
      </w:pPr>
      <w:r>
        <w:rPr>
          <w:noProof/>
          <w:lang w:eastAsia="fr-FR"/>
        </w:rPr>
        <w:drawing>
          <wp:inline distT="0" distB="0" distL="0" distR="0">
            <wp:extent cx="5638800" cy="374332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638800" cy="3743325"/>
                    </a:xfrm>
                    <a:prstGeom prst="rect">
                      <a:avLst/>
                    </a:prstGeom>
                    <a:noFill/>
                    <a:ln w="9525">
                      <a:noFill/>
                      <a:miter lim="800000"/>
                      <a:headEnd/>
                      <a:tailEnd/>
                    </a:ln>
                  </pic:spPr>
                </pic:pic>
              </a:graphicData>
            </a:graphic>
          </wp:inline>
        </w:drawing>
      </w:r>
    </w:p>
    <w:p w:rsidR="00314ED8" w:rsidRDefault="005D3147">
      <w:pPr>
        <w:spacing w:after="0" w:line="240" w:lineRule="auto"/>
        <w:rPr>
          <w:rFonts w:ascii="Arial" w:hAnsi="Arial" w:cs="Arial"/>
          <w:sz w:val="20"/>
          <w:szCs w:val="20"/>
        </w:rPr>
      </w:pPr>
      <w:r w:rsidRPr="00E327C5">
        <w:rPr>
          <w:rFonts w:ascii="Arial" w:hAnsi="Arial" w:cs="Arial"/>
          <w:sz w:val="20"/>
          <w:szCs w:val="20"/>
          <w:u w:val="single"/>
        </w:rPr>
        <w:t>NB</w:t>
      </w:r>
      <w:r w:rsidRPr="00E327C5">
        <w:rPr>
          <w:rFonts w:ascii="Arial" w:hAnsi="Arial" w:cs="Arial"/>
          <w:sz w:val="20"/>
          <w:szCs w:val="20"/>
        </w:rPr>
        <w:t> : Tous les départements situés au-dessus de la ligne de stabilité sont celles qui ont connu une aggravation de le</w:t>
      </w:r>
      <w:r>
        <w:rPr>
          <w:rFonts w:ascii="Arial" w:hAnsi="Arial" w:cs="Arial"/>
          <w:sz w:val="20"/>
          <w:szCs w:val="20"/>
        </w:rPr>
        <w:t>ur incidence de pauvreté entre 2011 et 2015</w:t>
      </w:r>
      <w:r w:rsidRPr="00E327C5">
        <w:rPr>
          <w:rFonts w:ascii="Arial" w:hAnsi="Arial" w:cs="Arial"/>
          <w:sz w:val="20"/>
          <w:szCs w:val="20"/>
        </w:rPr>
        <w:t>.</w:t>
      </w:r>
    </w:p>
    <w:p w:rsidR="00314ED8" w:rsidRDefault="00314ED8">
      <w:pPr>
        <w:rPr>
          <w:rFonts w:ascii="Arial" w:hAnsi="Arial" w:cs="Arial"/>
        </w:rPr>
      </w:pPr>
    </w:p>
    <w:tbl>
      <w:tblPr>
        <w:tblStyle w:val="Grilledutableau"/>
        <w:tblW w:w="0" w:type="auto"/>
        <w:tblInd w:w="108" w:type="dxa"/>
        <w:tblLook w:val="04A0" w:firstRow="1" w:lastRow="0" w:firstColumn="1" w:lastColumn="0" w:noHBand="0" w:noVBand="1"/>
      </w:tblPr>
      <w:tblGrid>
        <w:gridCol w:w="8931"/>
      </w:tblGrid>
      <w:tr w:rsidR="005D3147" w:rsidTr="005D3147">
        <w:tc>
          <w:tcPr>
            <w:tcW w:w="8931" w:type="dxa"/>
            <w:shd w:val="clear" w:color="auto" w:fill="BFBFBF" w:themeFill="background1" w:themeFillShade="BF"/>
          </w:tcPr>
          <w:p w:rsidR="00314ED8" w:rsidRDefault="005D3147">
            <w:pPr>
              <w:pStyle w:val="Paragraphedeliste"/>
              <w:numPr>
                <w:ilvl w:val="0"/>
                <w:numId w:val="18"/>
              </w:numPr>
              <w:spacing w:after="200" w:line="276" w:lineRule="auto"/>
              <w:jc w:val="both"/>
            </w:pPr>
            <w:r>
              <w:t>Cadran A </w:t>
            </w:r>
            <w:r w:rsidRPr="00D31F90">
              <w:t>(</w:t>
            </w:r>
            <w:r w:rsidRPr="00212E99">
              <w:t>Alibori</w:t>
            </w:r>
            <w:r w:rsidRPr="00D31F90">
              <w:t xml:space="preserve">, </w:t>
            </w:r>
            <w:r w:rsidRPr="00212E99">
              <w:t>Atacora</w:t>
            </w:r>
            <w:r w:rsidRPr="00D31F90">
              <w:t xml:space="preserve">, </w:t>
            </w:r>
            <w:r w:rsidRPr="00212E99">
              <w:t>Borgou</w:t>
            </w:r>
            <w:r w:rsidRPr="00D31F90">
              <w:t xml:space="preserve">, </w:t>
            </w:r>
            <w:r w:rsidRPr="00212E99">
              <w:t>Collines</w:t>
            </w:r>
            <w:r w:rsidRPr="00D31F90">
              <w:t xml:space="preserve">, </w:t>
            </w:r>
            <w:r w:rsidRPr="00212E99">
              <w:t>Couffo</w:t>
            </w:r>
            <w:r w:rsidRPr="00D31F90">
              <w:t xml:space="preserve">, </w:t>
            </w:r>
            <w:r w:rsidRPr="00212E99">
              <w:t>Donga</w:t>
            </w:r>
            <w:r w:rsidRPr="00D31F90">
              <w:t xml:space="preserve">, </w:t>
            </w:r>
            <w:r w:rsidRPr="00212E99">
              <w:t>Littoral</w:t>
            </w:r>
            <w:r w:rsidRPr="00D31F90">
              <w:t xml:space="preserve">, </w:t>
            </w:r>
            <w:r w:rsidRPr="00212E99">
              <w:t>Mono</w:t>
            </w:r>
            <w:r w:rsidRPr="00D31F90">
              <w:t xml:space="preserve">, </w:t>
            </w:r>
            <w:r w:rsidRPr="00212E99">
              <w:t>Ouémé</w:t>
            </w:r>
            <w:r w:rsidRPr="00D31F90">
              <w:t xml:space="preserve">, </w:t>
            </w:r>
            <w:r w:rsidRPr="00212E99">
              <w:t>Zou</w:t>
            </w:r>
            <w:r w:rsidRPr="00D31F90">
              <w:t>)</w:t>
            </w:r>
            <w:r>
              <w:t xml:space="preserve"> : Baisse des inégalités en 2015. </w:t>
            </w:r>
          </w:p>
          <w:p w:rsidR="00314ED8" w:rsidRDefault="005D3147">
            <w:pPr>
              <w:pStyle w:val="Paragraphedeliste"/>
              <w:numPr>
                <w:ilvl w:val="0"/>
                <w:numId w:val="18"/>
              </w:numPr>
              <w:spacing w:after="200" w:line="276" w:lineRule="auto"/>
              <w:jc w:val="both"/>
              <w:rPr>
                <w:rFonts w:ascii="Arial" w:hAnsi="Arial" w:cs="Arial"/>
                <w:b/>
                <w:color w:val="E36C0A"/>
                <w:sz w:val="24"/>
                <w:szCs w:val="24"/>
              </w:rPr>
            </w:pPr>
            <w:r>
              <w:t>Cadran C (</w:t>
            </w:r>
            <w:r w:rsidRPr="00212E99">
              <w:t>Atlantique</w:t>
            </w:r>
            <w:r>
              <w:t xml:space="preserve">, </w:t>
            </w:r>
            <w:r w:rsidRPr="00212E99">
              <w:t>Plateau</w:t>
            </w:r>
            <w:r>
              <w:t>) : Hausse en 2015 par rapport à 2011 mais niveau en dessous de la moyenne nationale en 2015.</w:t>
            </w:r>
          </w:p>
        </w:tc>
      </w:tr>
    </w:tbl>
    <w:p w:rsidR="00673E8F" w:rsidRDefault="00673E8F" w:rsidP="00673E8F">
      <w:pPr>
        <w:rPr>
          <w:rFonts w:ascii="Arial" w:hAnsi="Arial" w:cs="Arial"/>
          <w:b/>
          <w:color w:val="E36C0A"/>
          <w:sz w:val="24"/>
          <w:szCs w:val="24"/>
        </w:rPr>
      </w:pPr>
    </w:p>
    <w:p w:rsidR="003B6589" w:rsidRPr="003B6589" w:rsidRDefault="00673E8F" w:rsidP="00673E8F">
      <w:pPr>
        <w:jc w:val="both"/>
        <w:rPr>
          <w:rFonts w:ascii="Arial" w:hAnsi="Arial" w:cs="Arial"/>
        </w:rPr>
      </w:pPr>
      <w:r w:rsidRPr="00673E8F">
        <w:rPr>
          <w:rFonts w:ascii="Arial" w:hAnsi="Arial" w:cs="Arial"/>
          <w:b/>
        </w:rPr>
        <w:t>L’inégalité entre les départements  (inter) contribue à environ 92% des inégalités au niveau national</w:t>
      </w:r>
      <w:r>
        <w:rPr>
          <w:rFonts w:ascii="Arial" w:hAnsi="Arial" w:cs="Arial"/>
        </w:rPr>
        <w:t>.</w:t>
      </w:r>
      <w:r w:rsidR="008E764F">
        <w:rPr>
          <w:rFonts w:ascii="Arial" w:hAnsi="Arial" w:cs="Arial"/>
        </w:rPr>
        <w:t xml:space="preserve"> </w:t>
      </w:r>
      <w:r w:rsidR="00B76C82">
        <w:rPr>
          <w:rFonts w:ascii="Arial" w:hAnsi="Arial" w:cs="Arial"/>
        </w:rPr>
        <w:t>Le tableau 14 présente l</w:t>
      </w:r>
      <w:r w:rsidRPr="00673E8F">
        <w:rPr>
          <w:rFonts w:ascii="Arial" w:hAnsi="Arial" w:cs="Arial"/>
        </w:rPr>
        <w:t>a</w:t>
      </w:r>
      <w:r>
        <w:rPr>
          <w:rFonts w:ascii="Arial" w:hAnsi="Arial" w:cs="Arial"/>
        </w:rPr>
        <w:t xml:space="preserve"> décomposition des inégalités en composantes </w:t>
      </w:r>
      <w:r>
        <w:rPr>
          <w:rFonts w:ascii="Arial" w:hAnsi="Arial" w:cs="Arial"/>
        </w:rPr>
        <w:lastRenderedPageBreak/>
        <w:t>int</w:t>
      </w:r>
      <w:r w:rsidR="00D31885">
        <w:rPr>
          <w:rFonts w:ascii="Arial" w:hAnsi="Arial" w:cs="Arial"/>
        </w:rPr>
        <w:t>er (entre les départements) et intra-groupe (au sein des inégalités)</w:t>
      </w:r>
      <w:r w:rsidR="00441E34">
        <w:rPr>
          <w:rFonts w:ascii="Arial" w:hAnsi="Arial" w:cs="Arial"/>
        </w:rPr>
        <w:t>. Elles sont respectivement de 0,083 et 0.917.</w:t>
      </w:r>
      <w:r w:rsidR="002F178F">
        <w:rPr>
          <w:rFonts w:ascii="Arial" w:hAnsi="Arial" w:cs="Arial"/>
        </w:rPr>
        <w:t xml:space="preserve"> Les </w:t>
      </w:r>
      <w:r w:rsidR="002F178F" w:rsidRPr="002F178F">
        <w:rPr>
          <w:rFonts w:ascii="Arial" w:hAnsi="Arial" w:cs="Arial"/>
        </w:rPr>
        <w:t>déséquilibres spatiaux</w:t>
      </w:r>
      <w:r w:rsidR="002F178F">
        <w:rPr>
          <w:rFonts w:ascii="Arial" w:hAnsi="Arial" w:cs="Arial"/>
        </w:rPr>
        <w:t xml:space="preserve"> s’</w:t>
      </w:r>
      <w:r w:rsidR="003B6589">
        <w:rPr>
          <w:rFonts w:ascii="Arial" w:hAnsi="Arial" w:cs="Arial"/>
        </w:rPr>
        <w:t xml:space="preserve">affichent </w:t>
      </w:r>
      <w:r w:rsidR="00F84E27">
        <w:rPr>
          <w:rFonts w:ascii="Arial" w:hAnsi="Arial" w:cs="Arial"/>
        </w:rPr>
        <w:t xml:space="preserve">ainsi comme </w:t>
      </w:r>
      <w:r w:rsidR="003B6589">
        <w:rPr>
          <w:rFonts w:ascii="Arial" w:hAnsi="Arial" w:cs="Arial"/>
        </w:rPr>
        <w:t xml:space="preserve">un véritable déterminant de </w:t>
      </w:r>
      <w:r w:rsidR="002F178F" w:rsidRPr="003B6589">
        <w:rPr>
          <w:rFonts w:ascii="Arial" w:hAnsi="Arial" w:cs="Arial"/>
        </w:rPr>
        <w:t>la pauvreté</w:t>
      </w:r>
      <w:r w:rsidR="003B6589" w:rsidRPr="003B6589">
        <w:rPr>
          <w:rFonts w:ascii="Arial" w:hAnsi="Arial" w:cs="Arial"/>
        </w:rPr>
        <w:t xml:space="preserve"> notamment des </w:t>
      </w:r>
      <w:r w:rsidR="002F178F" w:rsidRPr="003B6589">
        <w:rPr>
          <w:rFonts w:ascii="Arial" w:hAnsi="Arial" w:cs="Arial"/>
        </w:rPr>
        <w:t>localités rurales</w:t>
      </w:r>
      <w:r w:rsidR="003B6589" w:rsidRPr="003B6589">
        <w:rPr>
          <w:rFonts w:ascii="Arial" w:hAnsi="Arial" w:cs="Arial"/>
        </w:rPr>
        <w:t>. Les défis de relance de la croissance et réd</w:t>
      </w:r>
      <w:r w:rsidR="003B6589">
        <w:rPr>
          <w:rFonts w:ascii="Arial" w:hAnsi="Arial" w:cs="Arial"/>
        </w:rPr>
        <w:t>uction de</w:t>
      </w:r>
      <w:r w:rsidR="003B6589" w:rsidRPr="003B6589">
        <w:rPr>
          <w:rFonts w:ascii="Arial" w:hAnsi="Arial" w:cs="Arial"/>
        </w:rPr>
        <w:t xml:space="preserve"> la pauvreté implique donc la prise en compte, d’une part, de la question des disparités régionales en vue d’une plus grande équité territoriale dans la distribution des investissements sociaux et économiques et, d’autre part, de l’environnement pour garantir la pérennité des ressources</w:t>
      </w:r>
      <w:r w:rsidR="004A47B1">
        <w:rPr>
          <w:rFonts w:ascii="Arial" w:hAnsi="Arial" w:cs="Arial"/>
        </w:rPr>
        <w:t>.</w:t>
      </w:r>
    </w:p>
    <w:p w:rsidR="00A77EAB" w:rsidRDefault="00E45A93" w:rsidP="00A77EAB">
      <w:pPr>
        <w:widowControl w:val="0"/>
        <w:tabs>
          <w:tab w:val="left" w:pos="720"/>
        </w:tabs>
        <w:autoSpaceDE w:val="0"/>
        <w:autoSpaceDN w:val="0"/>
        <w:adjustRightInd w:val="0"/>
        <w:jc w:val="both"/>
        <w:rPr>
          <w:rFonts w:ascii="Arial" w:hAnsi="Arial" w:cs="Arial"/>
        </w:rPr>
      </w:pPr>
      <w:r>
        <w:rPr>
          <w:rFonts w:ascii="Arial" w:eastAsia="Cambria" w:hAnsi="Arial" w:cs="Arial"/>
          <w:b/>
          <w:bCs/>
          <w:lang w:eastAsia="fr-FR"/>
        </w:rPr>
        <w:t>U</w:t>
      </w:r>
      <w:r w:rsidR="007C1557" w:rsidRPr="007C1557">
        <w:rPr>
          <w:rFonts w:ascii="Arial" w:eastAsia="Cambria" w:hAnsi="Arial" w:cs="Arial"/>
          <w:b/>
          <w:bCs/>
          <w:lang w:eastAsia="fr-FR"/>
        </w:rPr>
        <w:t>n</w:t>
      </w:r>
      <w:r w:rsidR="00E57DEB">
        <w:rPr>
          <w:rFonts w:ascii="Arial" w:eastAsia="Cambria" w:hAnsi="Arial" w:cs="Arial"/>
          <w:b/>
          <w:bCs/>
          <w:lang w:eastAsia="fr-FR"/>
        </w:rPr>
        <w:t xml:space="preserve"> légère hausse des inégalités mais plus accentuée au niveau des femmes</w:t>
      </w:r>
      <w:r w:rsidR="00F2105F">
        <w:rPr>
          <w:rFonts w:ascii="Arial" w:eastAsia="Cambria" w:hAnsi="Arial" w:cs="Arial"/>
          <w:b/>
          <w:bCs/>
          <w:lang w:eastAsia="fr-FR"/>
        </w:rPr>
        <w:t xml:space="preserve"> entre</w:t>
      </w:r>
      <w:r w:rsidR="007C1557" w:rsidRPr="007C1557">
        <w:rPr>
          <w:rFonts w:ascii="Arial" w:eastAsia="Cambria" w:hAnsi="Arial" w:cs="Arial"/>
          <w:b/>
          <w:bCs/>
          <w:lang w:eastAsia="fr-FR"/>
        </w:rPr>
        <w:t>20</w:t>
      </w:r>
      <w:r w:rsidR="00E57DEB">
        <w:rPr>
          <w:rFonts w:ascii="Arial" w:eastAsia="Cambria" w:hAnsi="Arial" w:cs="Arial"/>
          <w:b/>
          <w:bCs/>
          <w:lang w:eastAsia="fr-FR"/>
        </w:rPr>
        <w:t>11</w:t>
      </w:r>
      <w:r w:rsidR="007C1557" w:rsidRPr="007C1557">
        <w:rPr>
          <w:rFonts w:ascii="Arial" w:eastAsia="Cambria" w:hAnsi="Arial" w:cs="Arial"/>
          <w:b/>
          <w:bCs/>
          <w:lang w:eastAsia="fr-FR"/>
        </w:rPr>
        <w:t xml:space="preserve"> et 201</w:t>
      </w:r>
      <w:r w:rsidR="00E57DEB">
        <w:rPr>
          <w:rFonts w:ascii="Arial" w:eastAsia="Cambria" w:hAnsi="Arial" w:cs="Arial"/>
          <w:b/>
          <w:bCs/>
          <w:lang w:eastAsia="fr-FR"/>
        </w:rPr>
        <w:t>5.</w:t>
      </w:r>
      <w:r w:rsidR="007C1557" w:rsidRPr="007C1557">
        <w:rPr>
          <w:rFonts w:ascii="Arial" w:hAnsi="Arial" w:cs="Arial"/>
        </w:rPr>
        <w:t xml:space="preserve">Les indices d’inégalité ont </w:t>
      </w:r>
      <w:r w:rsidR="00E57DEB">
        <w:rPr>
          <w:rFonts w:ascii="Arial" w:hAnsi="Arial" w:cs="Arial"/>
        </w:rPr>
        <w:t>au</w:t>
      </w:r>
      <w:r w:rsidR="00F2105F">
        <w:rPr>
          <w:rFonts w:ascii="Arial" w:hAnsi="Arial" w:cs="Arial"/>
        </w:rPr>
        <w:t>gmenté quel</w:t>
      </w:r>
      <w:r w:rsidR="00E81466">
        <w:rPr>
          <w:rFonts w:ascii="Arial" w:hAnsi="Arial" w:cs="Arial"/>
        </w:rPr>
        <w:t xml:space="preserve"> que soit l</w:t>
      </w:r>
      <w:r w:rsidR="007C1557" w:rsidRPr="007C1557">
        <w:rPr>
          <w:rFonts w:ascii="Arial" w:hAnsi="Arial" w:cs="Arial"/>
        </w:rPr>
        <w:t xml:space="preserve">e sexe du chef de ménage. </w:t>
      </w:r>
      <w:r w:rsidR="00E81466">
        <w:rPr>
          <w:rFonts w:ascii="Arial" w:hAnsi="Arial" w:cs="Arial"/>
        </w:rPr>
        <w:t>Pour</w:t>
      </w:r>
      <w:r w:rsidR="007C1557" w:rsidRPr="007C1557">
        <w:rPr>
          <w:rFonts w:ascii="Arial" w:hAnsi="Arial" w:cs="Arial"/>
        </w:rPr>
        <w:t xml:space="preserve"> les ménages dirigés par les femmes</w:t>
      </w:r>
      <w:r w:rsidR="00E81466">
        <w:rPr>
          <w:rFonts w:ascii="Arial" w:hAnsi="Arial" w:cs="Arial"/>
        </w:rPr>
        <w:t>, l’indice est passé de 0,441 en 2011 à 0,454 en 2015, soit une hausse de 0,013 point contre 0,003pour les ménages diri</w:t>
      </w:r>
      <w:r w:rsidR="007C1557" w:rsidRPr="007C1557">
        <w:rPr>
          <w:rFonts w:ascii="Arial" w:hAnsi="Arial" w:cs="Arial"/>
        </w:rPr>
        <w:t>gés par les hommes</w:t>
      </w:r>
      <w:r w:rsidR="00E81466">
        <w:rPr>
          <w:rFonts w:ascii="Arial" w:hAnsi="Arial" w:cs="Arial"/>
        </w:rPr>
        <w:t xml:space="preserve">. </w:t>
      </w:r>
    </w:p>
    <w:p w:rsidR="004A47B1" w:rsidRDefault="004A47B1" w:rsidP="00A77EAB">
      <w:pPr>
        <w:widowControl w:val="0"/>
        <w:tabs>
          <w:tab w:val="left" w:pos="720"/>
        </w:tabs>
        <w:autoSpaceDE w:val="0"/>
        <w:autoSpaceDN w:val="0"/>
        <w:adjustRightInd w:val="0"/>
        <w:jc w:val="both"/>
        <w:rPr>
          <w:rFonts w:ascii="Arial" w:hAnsi="Arial" w:cs="Arial"/>
        </w:rPr>
      </w:pPr>
    </w:p>
    <w:p w:rsidR="00314ED8" w:rsidRDefault="00C216A8" w:rsidP="00335988">
      <w:pPr>
        <w:widowControl w:val="0"/>
        <w:tabs>
          <w:tab w:val="left" w:pos="720"/>
        </w:tabs>
        <w:autoSpaceDE w:val="0"/>
        <w:autoSpaceDN w:val="0"/>
        <w:adjustRightInd w:val="0"/>
        <w:spacing w:after="0"/>
        <w:jc w:val="both"/>
        <w:rPr>
          <w:rFonts w:ascii="Arial" w:hAnsi="Arial" w:cs="Arial"/>
        </w:rPr>
      </w:pPr>
      <w:bookmarkStart w:id="35" w:name="_Toc432425315"/>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11</w:t>
      </w:r>
      <w:r w:rsidR="00115FEB" w:rsidRPr="00C216A8">
        <w:rPr>
          <w:rFonts w:ascii="Arial" w:hAnsi="Arial" w:cs="Arial"/>
        </w:rPr>
        <w:fldChar w:fldCharType="end"/>
      </w:r>
      <w:r w:rsidR="007C1557" w:rsidRPr="007C1557">
        <w:rPr>
          <w:rFonts w:ascii="Arial" w:hAnsi="Arial" w:cs="Arial"/>
        </w:rPr>
        <w:t>: Inégalité selon le sexe du chef de ménage entre 2009 et 2011</w:t>
      </w:r>
      <w:bookmarkEnd w:id="35"/>
    </w:p>
    <w:tbl>
      <w:tblPr>
        <w:tblW w:w="8808" w:type="dxa"/>
        <w:tblInd w:w="55" w:type="dxa"/>
        <w:tblCellMar>
          <w:left w:w="70" w:type="dxa"/>
          <w:right w:w="70" w:type="dxa"/>
        </w:tblCellMar>
        <w:tblLook w:val="04A0" w:firstRow="1" w:lastRow="0" w:firstColumn="1" w:lastColumn="0" w:noHBand="0" w:noVBand="1"/>
      </w:tblPr>
      <w:tblGrid>
        <w:gridCol w:w="2458"/>
        <w:gridCol w:w="3892"/>
        <w:gridCol w:w="2458"/>
      </w:tblGrid>
      <w:tr w:rsidR="00E57DEB" w:rsidRPr="00E57DEB" w:rsidTr="00E57DEB">
        <w:trPr>
          <w:trHeight w:val="277"/>
        </w:trPr>
        <w:tc>
          <w:tcPr>
            <w:tcW w:w="2458" w:type="dxa"/>
            <w:tcBorders>
              <w:top w:val="double" w:sz="6" w:space="0" w:color="auto"/>
              <w:left w:val="nil"/>
              <w:bottom w:val="single" w:sz="8" w:space="0" w:color="auto"/>
              <w:right w:val="nil"/>
            </w:tcBorders>
            <w:shd w:val="clear" w:color="auto" w:fill="auto"/>
            <w:hideMark/>
          </w:tcPr>
          <w:p w:rsidR="00314ED8" w:rsidRDefault="007C1557">
            <w:pPr>
              <w:spacing w:after="0" w:line="240" w:lineRule="auto"/>
              <w:jc w:val="both"/>
              <w:rPr>
                <w:rFonts w:ascii="Arial" w:eastAsia="Times New Roman" w:hAnsi="Arial" w:cs="Arial"/>
                <w:b/>
                <w:bCs/>
                <w:color w:val="000000"/>
                <w:lang w:eastAsia="fr-FR"/>
              </w:rPr>
            </w:pPr>
            <w:r w:rsidRPr="007C1557">
              <w:rPr>
                <w:rFonts w:ascii="Arial" w:eastAsia="Times New Roman" w:hAnsi="Arial" w:cs="Arial"/>
                <w:b/>
                <w:bCs/>
                <w:color w:val="000000"/>
                <w:lang w:eastAsia="fr-FR"/>
              </w:rPr>
              <w:t> </w:t>
            </w:r>
          </w:p>
        </w:tc>
        <w:tc>
          <w:tcPr>
            <w:tcW w:w="3892" w:type="dxa"/>
            <w:tcBorders>
              <w:top w:val="double" w:sz="6" w:space="0" w:color="auto"/>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2011</w:t>
            </w:r>
          </w:p>
        </w:tc>
        <w:tc>
          <w:tcPr>
            <w:tcW w:w="2458" w:type="dxa"/>
            <w:tcBorders>
              <w:top w:val="double" w:sz="6" w:space="0" w:color="auto"/>
              <w:left w:val="nil"/>
              <w:bottom w:val="single" w:sz="8"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2015</w:t>
            </w:r>
          </w:p>
        </w:tc>
      </w:tr>
      <w:tr w:rsidR="00E57DEB" w:rsidRPr="00E57DEB" w:rsidTr="00E57DEB">
        <w:trPr>
          <w:trHeight w:val="251"/>
        </w:trPr>
        <w:tc>
          <w:tcPr>
            <w:tcW w:w="2458" w:type="dxa"/>
            <w:vMerge w:val="restart"/>
            <w:tcBorders>
              <w:top w:val="nil"/>
              <w:left w:val="nil"/>
              <w:bottom w:val="nil"/>
              <w:right w:val="nil"/>
            </w:tcBorders>
            <w:shd w:val="clear" w:color="auto" w:fill="auto"/>
            <w:hideMark/>
          </w:tcPr>
          <w:p w:rsidR="00314ED8" w:rsidRDefault="007C1557">
            <w:pPr>
              <w:spacing w:after="0" w:line="240" w:lineRule="auto"/>
              <w:jc w:val="both"/>
              <w:rPr>
                <w:rFonts w:ascii="Arial" w:eastAsia="Times New Roman" w:hAnsi="Arial" w:cs="Arial"/>
                <w:color w:val="000000"/>
                <w:lang w:eastAsia="fr-FR"/>
              </w:rPr>
            </w:pPr>
            <w:r w:rsidRPr="007C1557">
              <w:rPr>
                <w:rFonts w:ascii="Arial" w:eastAsia="Times New Roman" w:hAnsi="Arial" w:cs="Arial"/>
                <w:color w:val="000000"/>
                <w:lang w:eastAsia="fr-FR"/>
              </w:rPr>
              <w:t>Homme</w:t>
            </w:r>
          </w:p>
        </w:tc>
        <w:tc>
          <w:tcPr>
            <w:tcW w:w="3892"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0,469</w:t>
            </w:r>
          </w:p>
        </w:tc>
        <w:tc>
          <w:tcPr>
            <w:tcW w:w="2458"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0,472</w:t>
            </w:r>
          </w:p>
        </w:tc>
      </w:tr>
      <w:tr w:rsidR="00E57DEB" w:rsidRPr="00E57DEB" w:rsidTr="00E57DEB">
        <w:trPr>
          <w:trHeight w:val="251"/>
        </w:trPr>
        <w:tc>
          <w:tcPr>
            <w:tcW w:w="2458" w:type="dxa"/>
            <w:vMerge/>
            <w:tcBorders>
              <w:top w:val="nil"/>
              <w:left w:val="nil"/>
              <w:bottom w:val="nil"/>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3892" w:type="dxa"/>
            <w:tcBorders>
              <w:top w:val="nil"/>
              <w:left w:val="nil"/>
              <w:bottom w:val="nil"/>
              <w:right w:val="nil"/>
            </w:tcBorders>
            <w:shd w:val="clear" w:color="auto" w:fill="auto"/>
            <w:vAlign w:val="bottom"/>
            <w:hideMark/>
          </w:tcPr>
          <w:p w:rsidR="00314ED8" w:rsidRDefault="00E57DEB">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0,005</w:t>
            </w:r>
            <w:r>
              <w:rPr>
                <w:rFonts w:ascii="Arial" w:eastAsia="Times New Roman" w:hAnsi="Arial" w:cs="Arial"/>
                <w:color w:val="000000"/>
                <w:lang w:eastAsia="fr-FR"/>
              </w:rPr>
              <w:t>)</w:t>
            </w:r>
          </w:p>
        </w:tc>
        <w:tc>
          <w:tcPr>
            <w:tcW w:w="2458" w:type="dxa"/>
            <w:tcBorders>
              <w:top w:val="nil"/>
              <w:left w:val="nil"/>
              <w:bottom w:val="nil"/>
              <w:right w:val="nil"/>
            </w:tcBorders>
            <w:shd w:val="clear" w:color="auto" w:fill="auto"/>
            <w:noWrap/>
            <w:vAlign w:val="bottom"/>
            <w:hideMark/>
          </w:tcPr>
          <w:p w:rsidR="00314ED8" w:rsidRDefault="00E57DEB">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0,005</w:t>
            </w:r>
          </w:p>
        </w:tc>
      </w:tr>
      <w:tr w:rsidR="00E57DEB" w:rsidRPr="00E57DEB" w:rsidTr="00E57DEB">
        <w:trPr>
          <w:trHeight w:val="251"/>
        </w:trPr>
        <w:tc>
          <w:tcPr>
            <w:tcW w:w="2458" w:type="dxa"/>
            <w:vMerge w:val="restart"/>
            <w:tcBorders>
              <w:top w:val="nil"/>
              <w:left w:val="nil"/>
              <w:bottom w:val="single" w:sz="8" w:space="0" w:color="000000"/>
              <w:right w:val="nil"/>
            </w:tcBorders>
            <w:shd w:val="clear" w:color="auto" w:fill="auto"/>
            <w:hideMark/>
          </w:tcPr>
          <w:p w:rsidR="00314ED8" w:rsidRDefault="007C1557">
            <w:pPr>
              <w:spacing w:after="0" w:line="240" w:lineRule="auto"/>
              <w:jc w:val="both"/>
              <w:rPr>
                <w:rFonts w:ascii="Arial" w:eastAsia="Times New Roman" w:hAnsi="Arial" w:cs="Arial"/>
                <w:color w:val="000000"/>
                <w:lang w:eastAsia="fr-FR"/>
              </w:rPr>
            </w:pPr>
            <w:r w:rsidRPr="007C1557">
              <w:rPr>
                <w:rFonts w:ascii="Arial" w:eastAsia="Times New Roman" w:hAnsi="Arial" w:cs="Arial"/>
                <w:color w:val="000000"/>
                <w:lang w:eastAsia="fr-FR"/>
              </w:rPr>
              <w:t>Femme</w:t>
            </w:r>
          </w:p>
        </w:tc>
        <w:tc>
          <w:tcPr>
            <w:tcW w:w="3892" w:type="dxa"/>
            <w:tcBorders>
              <w:top w:val="nil"/>
              <w:left w:val="nil"/>
              <w:bottom w:val="nil"/>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0,441</w:t>
            </w:r>
          </w:p>
        </w:tc>
        <w:tc>
          <w:tcPr>
            <w:tcW w:w="2458"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0,454</w:t>
            </w:r>
          </w:p>
        </w:tc>
      </w:tr>
      <w:tr w:rsidR="00E57DEB" w:rsidRPr="00E57DEB" w:rsidTr="00E57DEB">
        <w:trPr>
          <w:trHeight w:val="265"/>
        </w:trPr>
        <w:tc>
          <w:tcPr>
            <w:tcW w:w="2458" w:type="dxa"/>
            <w:vMerge/>
            <w:tcBorders>
              <w:top w:val="nil"/>
              <w:left w:val="nil"/>
              <w:bottom w:val="single" w:sz="4" w:space="0" w:color="auto"/>
              <w:right w:val="nil"/>
            </w:tcBorders>
            <w:vAlign w:val="center"/>
            <w:hideMark/>
          </w:tcPr>
          <w:p w:rsidR="00314ED8" w:rsidRDefault="00314ED8">
            <w:pPr>
              <w:spacing w:after="0" w:line="240" w:lineRule="auto"/>
              <w:rPr>
                <w:rFonts w:ascii="Arial" w:eastAsia="Times New Roman" w:hAnsi="Arial" w:cs="Arial"/>
                <w:color w:val="000000"/>
                <w:lang w:eastAsia="fr-FR"/>
              </w:rPr>
            </w:pPr>
          </w:p>
        </w:tc>
        <w:tc>
          <w:tcPr>
            <w:tcW w:w="3892"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(0,009)</w:t>
            </w:r>
          </w:p>
        </w:tc>
        <w:tc>
          <w:tcPr>
            <w:tcW w:w="2458" w:type="dxa"/>
            <w:tcBorders>
              <w:top w:val="nil"/>
              <w:left w:val="nil"/>
              <w:bottom w:val="single" w:sz="4" w:space="0" w:color="auto"/>
              <w:right w:val="nil"/>
            </w:tcBorders>
            <w:shd w:val="clear" w:color="auto" w:fill="auto"/>
            <w:noWrap/>
            <w:vAlign w:val="bottom"/>
            <w:hideMark/>
          </w:tcPr>
          <w:p w:rsidR="00314ED8" w:rsidRDefault="00E57DEB">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0,008</w:t>
            </w:r>
          </w:p>
        </w:tc>
      </w:tr>
      <w:tr w:rsidR="00E57DEB" w:rsidRPr="00E57DEB" w:rsidTr="00E57DEB">
        <w:trPr>
          <w:trHeight w:val="96"/>
        </w:trPr>
        <w:tc>
          <w:tcPr>
            <w:tcW w:w="2458" w:type="dxa"/>
            <w:vMerge w:val="restart"/>
            <w:tcBorders>
              <w:top w:val="single" w:sz="4" w:space="0" w:color="auto"/>
              <w:left w:val="nil"/>
              <w:right w:val="nil"/>
            </w:tcBorders>
            <w:shd w:val="clear" w:color="auto" w:fill="auto"/>
            <w:hideMark/>
          </w:tcPr>
          <w:p w:rsidR="00314ED8" w:rsidRDefault="007C1557">
            <w:pPr>
              <w:spacing w:after="0" w:line="240" w:lineRule="auto"/>
              <w:jc w:val="both"/>
              <w:rPr>
                <w:rFonts w:ascii="Arial" w:eastAsia="Times New Roman" w:hAnsi="Arial" w:cs="Arial"/>
                <w:bCs/>
                <w:color w:val="000000"/>
                <w:lang w:eastAsia="fr-FR"/>
              </w:rPr>
            </w:pPr>
            <w:r w:rsidRPr="007C1557">
              <w:rPr>
                <w:rFonts w:ascii="Arial" w:eastAsia="Times New Roman" w:hAnsi="Arial" w:cs="Arial"/>
                <w:bCs/>
                <w:color w:val="000000"/>
                <w:lang w:eastAsia="fr-FR"/>
              </w:rPr>
              <w:t>Ensemble</w:t>
            </w:r>
          </w:p>
        </w:tc>
        <w:tc>
          <w:tcPr>
            <w:tcW w:w="3892" w:type="dxa"/>
            <w:tcBorders>
              <w:top w:val="single" w:sz="4" w:space="0" w:color="auto"/>
              <w:left w:val="nil"/>
              <w:right w:val="nil"/>
            </w:tcBorders>
            <w:shd w:val="clear" w:color="auto" w:fill="auto"/>
            <w:vAlign w:val="bottom"/>
            <w:hideMark/>
          </w:tcPr>
          <w:p w:rsidR="00314ED8" w:rsidRDefault="007C1557">
            <w:pPr>
              <w:spacing w:after="0" w:line="240" w:lineRule="auto"/>
              <w:jc w:val="center"/>
              <w:rPr>
                <w:rFonts w:ascii="Arial" w:eastAsia="Times New Roman" w:hAnsi="Arial" w:cs="Arial"/>
                <w:bCs/>
                <w:color w:val="000000"/>
                <w:lang w:eastAsia="fr-FR"/>
              </w:rPr>
            </w:pPr>
            <w:r w:rsidRPr="007C1557">
              <w:rPr>
                <w:rFonts w:ascii="Arial" w:eastAsia="Times New Roman" w:hAnsi="Arial" w:cs="Arial"/>
                <w:bCs/>
                <w:color w:val="000000"/>
                <w:lang w:eastAsia="fr-FR"/>
              </w:rPr>
              <w:t>0,464</w:t>
            </w:r>
          </w:p>
        </w:tc>
        <w:tc>
          <w:tcPr>
            <w:tcW w:w="2458" w:type="dxa"/>
            <w:tcBorders>
              <w:top w:val="single" w:sz="4" w:space="0" w:color="auto"/>
              <w:left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0,470</w:t>
            </w:r>
          </w:p>
        </w:tc>
      </w:tr>
      <w:tr w:rsidR="00E57DEB" w:rsidRPr="00E57DEB" w:rsidTr="00E57DEB">
        <w:trPr>
          <w:trHeight w:val="265"/>
        </w:trPr>
        <w:tc>
          <w:tcPr>
            <w:tcW w:w="2458" w:type="dxa"/>
            <w:vMerge/>
            <w:tcBorders>
              <w:top w:val="nil"/>
              <w:left w:val="nil"/>
              <w:bottom w:val="single" w:sz="4" w:space="0" w:color="auto"/>
              <w:right w:val="nil"/>
            </w:tcBorders>
            <w:vAlign w:val="center"/>
            <w:hideMark/>
          </w:tcPr>
          <w:p w:rsidR="00314ED8" w:rsidRDefault="00314ED8">
            <w:pPr>
              <w:spacing w:after="0" w:line="240" w:lineRule="auto"/>
              <w:rPr>
                <w:rFonts w:ascii="Arial" w:eastAsia="Times New Roman" w:hAnsi="Arial" w:cs="Arial"/>
                <w:b/>
                <w:bCs/>
                <w:color w:val="000000"/>
                <w:lang w:eastAsia="fr-FR"/>
              </w:rPr>
            </w:pPr>
          </w:p>
        </w:tc>
        <w:tc>
          <w:tcPr>
            <w:tcW w:w="3892" w:type="dxa"/>
            <w:tcBorders>
              <w:top w:val="nil"/>
              <w:left w:val="nil"/>
              <w:bottom w:val="single" w:sz="4" w:space="0" w:color="auto"/>
              <w:right w:val="nil"/>
            </w:tcBorders>
            <w:shd w:val="clear" w:color="auto" w:fill="auto"/>
            <w:vAlign w:val="bottom"/>
            <w:hideMark/>
          </w:tcPr>
          <w:p w:rsidR="00314ED8" w:rsidRDefault="007C1557">
            <w:pPr>
              <w:spacing w:after="0" w:line="240" w:lineRule="auto"/>
              <w:jc w:val="center"/>
              <w:rPr>
                <w:rFonts w:ascii="Arial" w:eastAsia="Times New Roman" w:hAnsi="Arial" w:cs="Arial"/>
                <w:bCs/>
                <w:color w:val="000000"/>
                <w:lang w:eastAsia="fr-FR"/>
              </w:rPr>
            </w:pPr>
            <w:r w:rsidRPr="007C1557">
              <w:rPr>
                <w:rFonts w:ascii="Arial" w:eastAsia="Times New Roman" w:hAnsi="Arial" w:cs="Arial"/>
                <w:bCs/>
                <w:color w:val="000000"/>
                <w:lang w:eastAsia="fr-FR"/>
              </w:rPr>
              <w:t>(0,005)</w:t>
            </w:r>
          </w:p>
        </w:tc>
        <w:tc>
          <w:tcPr>
            <w:tcW w:w="2458" w:type="dxa"/>
            <w:tcBorders>
              <w:top w:val="nil"/>
              <w:left w:val="nil"/>
              <w:bottom w:val="single" w:sz="4" w:space="0" w:color="auto"/>
              <w:right w:val="nil"/>
            </w:tcBorders>
            <w:shd w:val="clear" w:color="auto" w:fill="auto"/>
            <w:noWrap/>
            <w:vAlign w:val="bottom"/>
            <w:hideMark/>
          </w:tcPr>
          <w:p w:rsidR="00314ED8" w:rsidRDefault="00E57DEB">
            <w:pPr>
              <w:spacing w:after="0" w:line="240" w:lineRule="auto"/>
              <w:jc w:val="center"/>
              <w:rPr>
                <w:rFonts w:ascii="Arial" w:eastAsia="Times New Roman" w:hAnsi="Arial" w:cs="Arial"/>
                <w:color w:val="000000"/>
                <w:lang w:eastAsia="fr-FR"/>
              </w:rPr>
            </w:pPr>
            <w:r>
              <w:rPr>
                <w:rFonts w:ascii="Arial" w:eastAsia="Times New Roman" w:hAnsi="Arial" w:cs="Arial"/>
                <w:color w:val="000000"/>
                <w:lang w:eastAsia="fr-FR"/>
              </w:rPr>
              <w:t>(</w:t>
            </w:r>
            <w:r w:rsidR="007C1557" w:rsidRPr="007C1557">
              <w:rPr>
                <w:rFonts w:ascii="Arial" w:eastAsia="Times New Roman" w:hAnsi="Arial" w:cs="Arial"/>
                <w:color w:val="000000"/>
                <w:lang w:eastAsia="fr-FR"/>
              </w:rPr>
              <w:t>0,004</w:t>
            </w:r>
            <w:r>
              <w:rPr>
                <w:rFonts w:ascii="Arial" w:eastAsia="Times New Roman" w:hAnsi="Arial" w:cs="Arial"/>
                <w:color w:val="000000"/>
                <w:lang w:eastAsia="fr-FR"/>
              </w:rPr>
              <w:t>)</w:t>
            </w:r>
          </w:p>
        </w:tc>
      </w:tr>
    </w:tbl>
    <w:p w:rsidR="00314ED8" w:rsidRDefault="007C1557">
      <w:pPr>
        <w:widowControl w:val="0"/>
        <w:autoSpaceDE w:val="0"/>
        <w:autoSpaceDN w:val="0"/>
        <w:adjustRightInd w:val="0"/>
        <w:jc w:val="both"/>
        <w:rPr>
          <w:rFonts w:ascii="Arial" w:eastAsia="Cambria" w:hAnsi="Arial" w:cs="Arial"/>
        </w:rPr>
      </w:pPr>
      <w:r w:rsidRPr="007C1557">
        <w:rPr>
          <w:rFonts w:ascii="Arial" w:eastAsia="Cambria" w:hAnsi="Arial" w:cs="Arial"/>
          <w:u w:val="single"/>
        </w:rPr>
        <w:t>Source </w:t>
      </w:r>
      <w:r w:rsidRPr="007C1557">
        <w:rPr>
          <w:rFonts w:ascii="Arial" w:eastAsia="Cambria" w:hAnsi="Arial" w:cs="Arial"/>
          <w:b/>
        </w:rPr>
        <w:t>:</w:t>
      </w:r>
      <w:r w:rsidR="00E81466" w:rsidRPr="009D0286">
        <w:rPr>
          <w:rFonts w:ascii="Arial" w:hAnsi="Arial" w:cs="Arial"/>
          <w:color w:val="000000"/>
        </w:rPr>
        <w:t>INSAE, EMICoV 2015 et  2011 /   NB : (.) = Erreur standard de la moyenne</w:t>
      </w:r>
    </w:p>
    <w:p w:rsidR="00314ED8" w:rsidRDefault="00314ED8">
      <w:pPr>
        <w:pStyle w:val="Paragraphedeliste"/>
        <w:ind w:left="405"/>
        <w:rPr>
          <w:rFonts w:ascii="Arial" w:hAnsi="Arial" w:cs="Arial"/>
          <w:b/>
          <w:color w:val="E36C0A"/>
        </w:rPr>
      </w:pPr>
    </w:p>
    <w:p w:rsidR="00314ED8" w:rsidRPr="00FA0ACB" w:rsidRDefault="007C1557" w:rsidP="00FA0ACB">
      <w:pPr>
        <w:pStyle w:val="Titre1"/>
        <w:spacing w:before="0"/>
        <w:rPr>
          <w:rFonts w:ascii="Arial" w:hAnsi="Arial" w:cs="Arial"/>
          <w:color w:val="E36C0A" w:themeColor="accent6" w:themeShade="BF"/>
        </w:rPr>
      </w:pPr>
      <w:bookmarkStart w:id="36" w:name="_Toc433391205"/>
      <w:r w:rsidRPr="00FA0ACB">
        <w:rPr>
          <w:rFonts w:ascii="Arial" w:hAnsi="Arial" w:cs="Arial"/>
          <w:color w:val="E36C0A" w:themeColor="accent6" w:themeShade="BF"/>
        </w:rPr>
        <w:t>Conclusion</w:t>
      </w:r>
      <w:bookmarkEnd w:id="36"/>
    </w:p>
    <w:p w:rsidR="00FA0ACB" w:rsidRDefault="00FA0ACB" w:rsidP="00FA0ACB">
      <w:pPr>
        <w:spacing w:after="0"/>
        <w:jc w:val="both"/>
        <w:rPr>
          <w:rFonts w:ascii="Arial" w:hAnsi="Arial" w:cs="Arial"/>
        </w:rPr>
      </w:pPr>
    </w:p>
    <w:p w:rsidR="00E414BB" w:rsidRDefault="007C1557">
      <w:pPr>
        <w:jc w:val="both"/>
        <w:rPr>
          <w:rFonts w:ascii="Arial" w:hAnsi="Arial" w:cs="Arial"/>
        </w:rPr>
      </w:pPr>
      <w:r w:rsidRPr="007C1557">
        <w:rPr>
          <w:rFonts w:ascii="Arial" w:hAnsi="Arial" w:cs="Arial"/>
        </w:rPr>
        <w:t>Cette note présente les résultats préliminaires sur la pauvreté et les inégalités à partir de l’Enquête Modulaire Intégrée sur les Conditions de Vie des Ménages (EMICoV) réalisée en 2015.</w:t>
      </w:r>
    </w:p>
    <w:p w:rsidR="00314ED8" w:rsidRDefault="00701A91">
      <w:pPr>
        <w:rPr>
          <w:rFonts w:ascii="Arial" w:hAnsi="Arial" w:cs="Arial"/>
        </w:rPr>
      </w:pPr>
      <w:r>
        <w:rPr>
          <w:rFonts w:ascii="Arial" w:hAnsi="Arial" w:cs="Arial"/>
        </w:rPr>
        <w:t>De ces r</w:t>
      </w:r>
      <w:r w:rsidR="007C1557" w:rsidRPr="007C1557">
        <w:rPr>
          <w:rFonts w:ascii="Arial" w:hAnsi="Arial" w:cs="Arial"/>
        </w:rPr>
        <w:t>ésultats</w:t>
      </w:r>
      <w:r>
        <w:rPr>
          <w:rFonts w:ascii="Arial" w:hAnsi="Arial" w:cs="Arial"/>
        </w:rPr>
        <w:t>, il ressort :</w:t>
      </w:r>
    </w:p>
    <w:p w:rsidR="00314ED8" w:rsidRDefault="007C1557">
      <w:pPr>
        <w:pStyle w:val="Paragraphedeliste"/>
        <w:numPr>
          <w:ilvl w:val="0"/>
          <w:numId w:val="21"/>
        </w:numPr>
        <w:jc w:val="both"/>
        <w:rPr>
          <w:rFonts w:ascii="Arial" w:hAnsi="Arial" w:cs="Arial"/>
        </w:rPr>
      </w:pPr>
      <w:r w:rsidRPr="007C1557">
        <w:rPr>
          <w:rFonts w:ascii="Arial" w:hAnsi="Arial" w:cs="Arial"/>
        </w:rPr>
        <w:t xml:space="preserve">une aggravation de la pauvreté </w:t>
      </w:r>
      <w:r w:rsidR="00701A91">
        <w:rPr>
          <w:rFonts w:ascii="Arial" w:hAnsi="Arial" w:cs="Arial"/>
        </w:rPr>
        <w:t>monétaire</w:t>
      </w:r>
      <w:r w:rsidRPr="007C1557">
        <w:rPr>
          <w:rFonts w:ascii="Arial" w:hAnsi="Arial" w:cs="Arial"/>
        </w:rPr>
        <w:t xml:space="preserve"> de 3,9 points,</w:t>
      </w:r>
      <w:r w:rsidR="00701A91">
        <w:rPr>
          <w:rFonts w:ascii="Arial" w:hAnsi="Arial" w:cs="Arial"/>
        </w:rPr>
        <w:t xml:space="preserve"> passant de 36,2% en 2011 à 40,1% en 2015. </w:t>
      </w:r>
      <w:r w:rsidR="00A666F9">
        <w:rPr>
          <w:rFonts w:ascii="Arial" w:hAnsi="Arial" w:cs="Arial"/>
        </w:rPr>
        <w:t>Cette situation</w:t>
      </w:r>
      <w:r w:rsidRPr="007C1557">
        <w:rPr>
          <w:rFonts w:ascii="Arial" w:hAnsi="Arial" w:cs="Arial"/>
        </w:rPr>
        <w:t xml:space="preserve"> pourrait s’expliquer par </w:t>
      </w:r>
      <w:r w:rsidR="00A666F9">
        <w:rPr>
          <w:rFonts w:ascii="Arial" w:hAnsi="Arial" w:cs="Arial"/>
        </w:rPr>
        <w:t>la</w:t>
      </w:r>
      <w:r w:rsidRPr="007C1557">
        <w:rPr>
          <w:rFonts w:ascii="Arial" w:hAnsi="Arial" w:cs="Arial"/>
        </w:rPr>
        <w:t xml:space="preserve"> contraction des dépenses de consommation </w:t>
      </w:r>
      <w:r w:rsidR="00A666F9">
        <w:rPr>
          <w:rFonts w:ascii="Arial" w:hAnsi="Arial" w:cs="Arial"/>
        </w:rPr>
        <w:t>couplée à la</w:t>
      </w:r>
      <w:r w:rsidR="00FF4EB2">
        <w:rPr>
          <w:rFonts w:ascii="Arial" w:hAnsi="Arial" w:cs="Arial"/>
        </w:rPr>
        <w:t xml:space="preserve"> légère hausse des inégalités</w:t>
      </w:r>
      <w:r w:rsidR="00A666F9">
        <w:rPr>
          <w:rFonts w:ascii="Arial" w:hAnsi="Arial" w:cs="Arial"/>
        </w:rPr>
        <w:t xml:space="preserve"> entre 2011 et 2015</w:t>
      </w:r>
      <w:r w:rsidR="00FF4EB2">
        <w:rPr>
          <w:rFonts w:ascii="Arial" w:hAnsi="Arial" w:cs="Arial"/>
        </w:rPr>
        <w:t>.</w:t>
      </w:r>
    </w:p>
    <w:p w:rsidR="00314ED8" w:rsidRDefault="00314ED8">
      <w:pPr>
        <w:pStyle w:val="Paragraphedeliste"/>
        <w:jc w:val="both"/>
        <w:rPr>
          <w:rFonts w:ascii="Arial" w:hAnsi="Arial" w:cs="Arial"/>
        </w:rPr>
      </w:pPr>
    </w:p>
    <w:p w:rsidR="00314ED8" w:rsidRDefault="00FF4EB2">
      <w:pPr>
        <w:pStyle w:val="Paragraphedeliste"/>
        <w:numPr>
          <w:ilvl w:val="0"/>
          <w:numId w:val="21"/>
        </w:numPr>
        <w:jc w:val="both"/>
        <w:rPr>
          <w:rFonts w:ascii="Arial" w:hAnsi="Arial" w:cs="Arial"/>
        </w:rPr>
      </w:pPr>
      <w:r>
        <w:rPr>
          <w:rFonts w:ascii="Arial" w:hAnsi="Arial" w:cs="Arial"/>
        </w:rPr>
        <w:t>Une légère baisse de la pauvreté non monétaire de 0,8 point, passant de 30,2% en 2011 à 29,4% en 2015</w:t>
      </w:r>
      <w:r w:rsidR="00A666F9">
        <w:rPr>
          <w:rFonts w:ascii="Arial" w:hAnsi="Arial" w:cs="Arial"/>
        </w:rPr>
        <w:t xml:space="preserve">. </w:t>
      </w:r>
      <w:r w:rsidR="00A666F9" w:rsidRPr="008730A9">
        <w:rPr>
          <w:rFonts w:ascii="Arial" w:hAnsi="Arial" w:cs="Arial"/>
        </w:rPr>
        <w:t xml:space="preserve">Le recul progressif de la pauvreté non monétaire ces dernières années est signe d’une amélioration dans l’accès aux infrastructures de base. En effet, l’incidence de la pauvreté non monétaire est passée de 42% en 2006 à </w:t>
      </w:r>
      <w:r w:rsidR="00A666F9">
        <w:rPr>
          <w:rFonts w:ascii="Arial" w:hAnsi="Arial" w:cs="Arial"/>
        </w:rPr>
        <w:t>29,41% en 2015</w:t>
      </w:r>
      <w:r w:rsidR="00A666F9" w:rsidRPr="008730A9">
        <w:rPr>
          <w:rFonts w:ascii="Arial" w:hAnsi="Arial" w:cs="Arial"/>
        </w:rPr>
        <w:t>, soit une baisse</w:t>
      </w:r>
      <w:r w:rsidR="00A666F9">
        <w:rPr>
          <w:rFonts w:ascii="Arial" w:hAnsi="Arial" w:cs="Arial"/>
        </w:rPr>
        <w:t xml:space="preserve"> d’environ  13</w:t>
      </w:r>
      <w:r w:rsidR="00A666F9" w:rsidRPr="008730A9">
        <w:rPr>
          <w:rFonts w:ascii="Arial" w:hAnsi="Arial" w:cs="Arial"/>
        </w:rPr>
        <w:t xml:space="preserve"> points</w:t>
      </w:r>
      <w:r w:rsidR="00A666F9">
        <w:rPr>
          <w:rFonts w:ascii="Arial" w:hAnsi="Arial" w:cs="Arial"/>
        </w:rPr>
        <w:t>.</w:t>
      </w:r>
    </w:p>
    <w:p w:rsidR="00314ED8" w:rsidRDefault="00314ED8">
      <w:pPr>
        <w:pStyle w:val="Paragraphedeliste"/>
        <w:jc w:val="both"/>
        <w:rPr>
          <w:rFonts w:ascii="Arial" w:hAnsi="Arial" w:cs="Arial"/>
        </w:rPr>
      </w:pPr>
    </w:p>
    <w:p w:rsidR="00314ED8" w:rsidRDefault="00D40745">
      <w:pPr>
        <w:pStyle w:val="Paragraphedeliste"/>
        <w:numPr>
          <w:ilvl w:val="0"/>
          <w:numId w:val="21"/>
        </w:numPr>
        <w:jc w:val="both"/>
        <w:rPr>
          <w:rFonts w:ascii="Arial" w:hAnsi="Arial" w:cs="Arial"/>
        </w:rPr>
      </w:pPr>
      <w:r>
        <w:rPr>
          <w:rFonts w:ascii="Arial" w:hAnsi="Arial" w:cs="Arial"/>
        </w:rPr>
        <w:t>Une forte corrélation de la pauvreté avec les attributs de la population que sont la taille du ménage, le milieu de résidence, le niveau d’instruction et le sexe du chef de ménage</w:t>
      </w:r>
      <w:r w:rsidR="008F4E63">
        <w:rPr>
          <w:rFonts w:ascii="Arial" w:hAnsi="Arial" w:cs="Arial"/>
        </w:rPr>
        <w:t>.</w:t>
      </w:r>
    </w:p>
    <w:p w:rsidR="00314ED8" w:rsidRDefault="00314ED8">
      <w:pPr>
        <w:pStyle w:val="Paragraphedeliste"/>
        <w:jc w:val="both"/>
        <w:rPr>
          <w:rFonts w:ascii="Arial" w:hAnsi="Arial" w:cs="Arial"/>
        </w:rPr>
      </w:pPr>
    </w:p>
    <w:p w:rsidR="00314ED8" w:rsidRDefault="001A022A">
      <w:pPr>
        <w:pStyle w:val="Paragraphedeliste"/>
        <w:numPr>
          <w:ilvl w:val="0"/>
          <w:numId w:val="21"/>
        </w:numPr>
        <w:jc w:val="both"/>
        <w:rPr>
          <w:rFonts w:ascii="Arial" w:hAnsi="Arial" w:cs="Arial"/>
        </w:rPr>
      </w:pPr>
      <w:r>
        <w:rPr>
          <w:rFonts w:ascii="Arial" w:hAnsi="Arial" w:cs="Arial"/>
        </w:rPr>
        <w:lastRenderedPageBreak/>
        <w:t xml:space="preserve">Une appréhension plus forte du </w:t>
      </w:r>
      <w:r w:rsidR="007C1557" w:rsidRPr="007C1557">
        <w:rPr>
          <w:rFonts w:ascii="Arial" w:hAnsi="Arial" w:cs="Arial"/>
        </w:rPr>
        <w:t xml:space="preserve">risque de pauvreté apprécié par les individus eux-mêmes (66,6%). 24,7% se considèrent parmi les 20% les pauvres et 41,9% parmi les 20% moyennement pauvres. </w:t>
      </w:r>
    </w:p>
    <w:p w:rsidR="00314ED8" w:rsidRDefault="00314ED8">
      <w:pPr>
        <w:pStyle w:val="Paragraphedeliste"/>
        <w:rPr>
          <w:rFonts w:ascii="Arial" w:hAnsi="Arial" w:cs="Arial"/>
        </w:rPr>
      </w:pPr>
    </w:p>
    <w:p w:rsidR="00314ED8" w:rsidRDefault="00DB2B63">
      <w:pPr>
        <w:pStyle w:val="Paragraphedeliste"/>
        <w:numPr>
          <w:ilvl w:val="0"/>
          <w:numId w:val="21"/>
        </w:numPr>
        <w:jc w:val="both"/>
        <w:rPr>
          <w:rFonts w:ascii="Arial" w:hAnsi="Arial" w:cs="Arial"/>
        </w:rPr>
      </w:pPr>
      <w:r>
        <w:rPr>
          <w:rFonts w:ascii="Arial" w:hAnsi="Arial" w:cs="Arial"/>
        </w:rPr>
        <w:t>Un niveau relativement élevé des inégalités  (0.47) en 2015 avec un</w:t>
      </w:r>
      <w:r w:rsidR="00F2105F">
        <w:rPr>
          <w:rFonts w:ascii="Arial" w:hAnsi="Arial" w:cs="Arial"/>
        </w:rPr>
        <w:t xml:space="preserve">e augmentation </w:t>
      </w:r>
      <w:r>
        <w:rPr>
          <w:rFonts w:ascii="Arial" w:hAnsi="Arial" w:cs="Arial"/>
        </w:rPr>
        <w:t xml:space="preserve">par rapport à 2011. </w:t>
      </w:r>
    </w:p>
    <w:p w:rsidR="00BD28B1" w:rsidRPr="00BD28B1" w:rsidRDefault="00BD28B1" w:rsidP="00BD28B1">
      <w:pPr>
        <w:pStyle w:val="Paragraphedeliste"/>
        <w:rPr>
          <w:rFonts w:ascii="Arial" w:hAnsi="Arial" w:cs="Arial"/>
        </w:rPr>
      </w:pPr>
    </w:p>
    <w:p w:rsidR="00BD28B1" w:rsidRDefault="00F84E27">
      <w:pPr>
        <w:pStyle w:val="Paragraphedeliste"/>
        <w:numPr>
          <w:ilvl w:val="0"/>
          <w:numId w:val="21"/>
        </w:numPr>
        <w:jc w:val="both"/>
        <w:rPr>
          <w:rFonts w:ascii="Arial" w:hAnsi="Arial" w:cs="Arial"/>
        </w:rPr>
      </w:pPr>
      <w:r>
        <w:rPr>
          <w:rFonts w:ascii="Arial" w:hAnsi="Arial" w:cs="Arial"/>
        </w:rPr>
        <w:t xml:space="preserve">Les </w:t>
      </w:r>
      <w:r w:rsidR="00BD28B1">
        <w:rPr>
          <w:rFonts w:ascii="Arial" w:hAnsi="Arial" w:cs="Arial"/>
        </w:rPr>
        <w:t xml:space="preserve">inégalités entre les départements </w:t>
      </w:r>
      <w:r w:rsidR="004A47B1">
        <w:rPr>
          <w:rFonts w:ascii="Arial" w:hAnsi="Arial" w:cs="Arial"/>
        </w:rPr>
        <w:t>contribuent</w:t>
      </w:r>
      <w:r w:rsidR="00BD28B1">
        <w:rPr>
          <w:rFonts w:ascii="Arial" w:hAnsi="Arial" w:cs="Arial"/>
        </w:rPr>
        <w:t xml:space="preserve"> globalement </w:t>
      </w:r>
      <w:r w:rsidR="00B76C82">
        <w:rPr>
          <w:rFonts w:ascii="Arial" w:hAnsi="Arial" w:cs="Arial"/>
        </w:rPr>
        <w:t>à l’inégalité nationale.</w:t>
      </w:r>
    </w:p>
    <w:p w:rsidR="00314ED8" w:rsidRDefault="00314ED8">
      <w:pPr>
        <w:pStyle w:val="Paragraphedeliste"/>
        <w:jc w:val="both"/>
        <w:rPr>
          <w:rFonts w:ascii="Arial" w:hAnsi="Arial" w:cs="Arial"/>
        </w:rPr>
      </w:pPr>
    </w:p>
    <w:p w:rsidR="00314ED8" w:rsidRDefault="00314ED8">
      <w:pPr>
        <w:pStyle w:val="Paragraphedeliste"/>
        <w:ind w:left="405"/>
        <w:rPr>
          <w:rFonts w:ascii="Arial" w:hAnsi="Arial" w:cs="Arial"/>
          <w:b/>
          <w:color w:val="E36C0A"/>
        </w:rPr>
      </w:pPr>
    </w:p>
    <w:p w:rsidR="00314ED8" w:rsidRDefault="00314ED8">
      <w:pPr>
        <w:pStyle w:val="Paragraphedeliste"/>
        <w:ind w:left="405"/>
        <w:rPr>
          <w:rFonts w:ascii="Arial" w:hAnsi="Arial" w:cs="Arial"/>
          <w:b/>
          <w:color w:val="E36C0A"/>
          <w:sz w:val="24"/>
          <w:szCs w:val="24"/>
        </w:rPr>
      </w:pPr>
    </w:p>
    <w:p w:rsidR="00314ED8" w:rsidRDefault="00314ED8">
      <w:pPr>
        <w:pStyle w:val="Paragraphedeliste"/>
        <w:ind w:left="405"/>
        <w:rPr>
          <w:rFonts w:ascii="Arial" w:hAnsi="Arial" w:cs="Arial"/>
          <w:b/>
          <w:color w:val="E36C0A"/>
          <w:sz w:val="24"/>
          <w:szCs w:val="24"/>
        </w:rPr>
      </w:pPr>
    </w:p>
    <w:p w:rsidR="00314ED8" w:rsidRDefault="00314ED8">
      <w:pPr>
        <w:pStyle w:val="Paragraphedeliste"/>
        <w:ind w:left="405"/>
        <w:rPr>
          <w:rFonts w:ascii="Arial" w:hAnsi="Arial" w:cs="Arial"/>
          <w:b/>
          <w:color w:val="E36C0A"/>
          <w:sz w:val="24"/>
          <w:szCs w:val="24"/>
        </w:rPr>
      </w:pPr>
    </w:p>
    <w:p w:rsidR="00314ED8" w:rsidRPr="00A258AF" w:rsidRDefault="00B03123" w:rsidP="00FA0ACB">
      <w:pPr>
        <w:pStyle w:val="Titre1"/>
        <w:spacing w:before="0"/>
        <w:rPr>
          <w:rFonts w:ascii="Arial" w:hAnsi="Arial" w:cs="Arial"/>
          <w:color w:val="E36C0A" w:themeColor="accent6" w:themeShade="BF"/>
          <w:lang w:val="de-DE"/>
        </w:rPr>
      </w:pPr>
      <w:bookmarkStart w:id="37" w:name="_Toc433391206"/>
      <w:r w:rsidRPr="00A258AF">
        <w:rPr>
          <w:rFonts w:ascii="Arial" w:hAnsi="Arial" w:cs="Arial"/>
          <w:color w:val="E36C0A" w:themeColor="accent6" w:themeShade="BF"/>
          <w:lang w:val="de-DE"/>
        </w:rPr>
        <w:t>Bibliographie</w:t>
      </w:r>
      <w:r w:rsidR="00EE044A" w:rsidRPr="00A258AF">
        <w:rPr>
          <w:rFonts w:ascii="Arial" w:hAnsi="Arial" w:cs="Arial"/>
          <w:color w:val="E36C0A" w:themeColor="accent6" w:themeShade="BF"/>
          <w:lang w:val="de-DE"/>
        </w:rPr>
        <w:t>.</w:t>
      </w:r>
      <w:bookmarkEnd w:id="37"/>
    </w:p>
    <w:p w:rsidR="00FA0ACB" w:rsidRDefault="00FA0ACB" w:rsidP="00A3207F">
      <w:pPr>
        <w:spacing w:after="0"/>
        <w:jc w:val="both"/>
        <w:rPr>
          <w:rFonts w:ascii="Arial" w:hAnsi="Arial" w:cs="Arial"/>
          <w:lang w:val="de-DE"/>
        </w:rPr>
      </w:pPr>
    </w:p>
    <w:p w:rsidR="00B03123" w:rsidRPr="00E414BB" w:rsidRDefault="007C1557" w:rsidP="00B03123">
      <w:pPr>
        <w:jc w:val="both"/>
        <w:rPr>
          <w:rFonts w:ascii="Arial" w:hAnsi="Arial" w:cs="Arial"/>
          <w:lang w:val="en-US"/>
        </w:rPr>
      </w:pPr>
      <w:r w:rsidRPr="007C1557">
        <w:rPr>
          <w:rFonts w:ascii="Arial" w:hAnsi="Arial" w:cs="Arial"/>
          <w:lang w:val="de-DE"/>
        </w:rPr>
        <w:t>D</w:t>
      </w:r>
      <w:r w:rsidR="00B03123">
        <w:rPr>
          <w:rFonts w:ascii="Arial" w:hAnsi="Arial" w:cs="Arial"/>
          <w:lang w:val="de-DE"/>
        </w:rPr>
        <w:t>iener</w:t>
      </w:r>
      <w:r w:rsidRPr="007C1557">
        <w:rPr>
          <w:rFonts w:ascii="Arial" w:hAnsi="Arial" w:cs="Arial"/>
          <w:lang w:val="de-DE"/>
        </w:rPr>
        <w:t xml:space="preserve"> E, Sapyta J</w:t>
      </w:r>
      <w:r w:rsidR="00B03123">
        <w:rPr>
          <w:rFonts w:ascii="Arial" w:hAnsi="Arial" w:cs="Arial"/>
          <w:lang w:val="de-DE"/>
        </w:rPr>
        <w:t>.</w:t>
      </w:r>
      <w:r w:rsidRPr="007C1557">
        <w:rPr>
          <w:rFonts w:ascii="Arial" w:hAnsi="Arial" w:cs="Arial"/>
          <w:lang w:val="de-DE"/>
        </w:rPr>
        <w:t>J, S</w:t>
      </w:r>
      <w:r w:rsidR="00B03123">
        <w:rPr>
          <w:rFonts w:ascii="Arial" w:hAnsi="Arial" w:cs="Arial"/>
          <w:lang w:val="de-DE"/>
        </w:rPr>
        <w:t>uh</w:t>
      </w:r>
      <w:r w:rsidRPr="007C1557">
        <w:rPr>
          <w:rFonts w:ascii="Arial" w:hAnsi="Arial" w:cs="Arial"/>
          <w:lang w:val="de-DE"/>
        </w:rPr>
        <w:t xml:space="preserve"> E. Subjective Well-BeingIs Essential to Well-Being.</w:t>
      </w:r>
      <w:r w:rsidRPr="007C1557">
        <w:rPr>
          <w:rFonts w:ascii="Arial" w:hAnsi="Arial" w:cs="Arial"/>
          <w:lang w:val="de-DE"/>
        </w:rPr>
        <w:br/>
      </w:r>
      <w:r w:rsidRPr="00E414BB">
        <w:rPr>
          <w:rFonts w:ascii="Arial" w:hAnsi="Arial" w:cs="Arial"/>
          <w:lang w:val="en-US"/>
        </w:rPr>
        <w:t xml:space="preserve">Psychological Inquiry </w:t>
      </w:r>
      <w:r w:rsidR="00B01DBD" w:rsidRPr="00E414BB">
        <w:rPr>
          <w:rFonts w:ascii="Arial" w:hAnsi="Arial" w:cs="Arial"/>
          <w:lang w:val="en-US"/>
        </w:rPr>
        <w:t>1998;9:</w:t>
      </w:r>
      <w:r w:rsidRPr="00E414BB">
        <w:rPr>
          <w:rFonts w:ascii="Arial" w:hAnsi="Arial" w:cs="Arial"/>
          <w:lang w:val="en-US"/>
        </w:rPr>
        <w:t xml:space="preserve"> 33-37.</w:t>
      </w:r>
    </w:p>
    <w:p w:rsidR="00B03123" w:rsidRPr="00E414BB" w:rsidRDefault="00B03123" w:rsidP="00B03123">
      <w:pPr>
        <w:jc w:val="both"/>
        <w:rPr>
          <w:rFonts w:ascii="Arial" w:hAnsi="Arial" w:cs="Arial"/>
          <w:lang w:val="en-US"/>
        </w:rPr>
      </w:pPr>
      <w:r w:rsidRPr="00E414BB">
        <w:rPr>
          <w:rFonts w:ascii="Arial" w:hAnsi="Arial" w:cs="Arial"/>
          <w:lang w:val="en-US"/>
        </w:rPr>
        <w:t>Foster, J.E., J. Greer and E. Thorbecke (1984), "A Class of Decomposable Poverty Measures", Econometrica, vol. 52, no. 3, pp.761-776.</w:t>
      </w:r>
    </w:p>
    <w:p w:rsidR="00314ED8" w:rsidRDefault="007C1557">
      <w:pPr>
        <w:jc w:val="both"/>
        <w:rPr>
          <w:rFonts w:ascii="Arial" w:hAnsi="Arial" w:cs="Arial"/>
        </w:rPr>
      </w:pPr>
      <w:r w:rsidRPr="006F36D7">
        <w:rPr>
          <w:rFonts w:ascii="Arial" w:hAnsi="Arial" w:cs="Arial"/>
        </w:rPr>
        <w:t xml:space="preserve">INSAE, 2014. </w:t>
      </w:r>
      <w:r w:rsidRPr="007C1557">
        <w:rPr>
          <w:rFonts w:ascii="Arial" w:hAnsi="Arial" w:cs="Arial"/>
        </w:rPr>
        <w:t>Evaluation de la pauvreté au Bénin</w:t>
      </w:r>
    </w:p>
    <w:p w:rsidR="00314ED8" w:rsidRDefault="00314ED8">
      <w:pPr>
        <w:rPr>
          <w:rFonts w:ascii="Arial" w:hAnsi="Arial" w:cs="Arial"/>
          <w:b/>
          <w:color w:val="E36C0A"/>
          <w:sz w:val="24"/>
          <w:szCs w:val="24"/>
        </w:rPr>
      </w:pPr>
    </w:p>
    <w:p w:rsidR="00314ED8" w:rsidRPr="006F36D7" w:rsidRDefault="00314ED8">
      <w:pPr>
        <w:rPr>
          <w:i/>
          <w:iCs/>
          <w:color w:val="000000"/>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Default="00314ED8">
      <w:pPr>
        <w:rPr>
          <w:rFonts w:ascii="Arial" w:hAnsi="Arial" w:cs="Arial"/>
          <w:b/>
          <w:color w:val="E36C0A"/>
          <w:sz w:val="24"/>
          <w:szCs w:val="24"/>
        </w:rPr>
      </w:pPr>
    </w:p>
    <w:p w:rsidR="00701687" w:rsidRDefault="00701687">
      <w:pPr>
        <w:rPr>
          <w:rFonts w:ascii="Arial" w:hAnsi="Arial" w:cs="Arial"/>
          <w:b/>
          <w:color w:val="E36C0A"/>
          <w:sz w:val="24"/>
          <w:szCs w:val="24"/>
        </w:rPr>
      </w:pPr>
    </w:p>
    <w:p w:rsidR="00701687" w:rsidRPr="006F36D7" w:rsidRDefault="00701687">
      <w:pPr>
        <w:rPr>
          <w:rFonts w:ascii="Arial" w:hAnsi="Arial" w:cs="Arial"/>
          <w:b/>
          <w:color w:val="E36C0A"/>
          <w:sz w:val="24"/>
          <w:szCs w:val="24"/>
        </w:rPr>
      </w:pPr>
    </w:p>
    <w:p w:rsidR="00314ED8" w:rsidRPr="006F36D7" w:rsidRDefault="00314ED8">
      <w:pPr>
        <w:rPr>
          <w:rFonts w:ascii="Arial" w:hAnsi="Arial" w:cs="Arial"/>
          <w:b/>
          <w:color w:val="E36C0A"/>
          <w:sz w:val="24"/>
          <w:szCs w:val="24"/>
        </w:rPr>
      </w:pPr>
    </w:p>
    <w:p w:rsidR="00314ED8" w:rsidRDefault="00314ED8">
      <w:pPr>
        <w:rPr>
          <w:rFonts w:ascii="Arial" w:hAnsi="Arial" w:cs="Arial"/>
          <w:b/>
          <w:color w:val="E36C0A"/>
          <w:sz w:val="24"/>
          <w:szCs w:val="24"/>
        </w:rPr>
      </w:pPr>
    </w:p>
    <w:p w:rsidR="005B7DEF" w:rsidRDefault="005B7DEF">
      <w:pPr>
        <w:rPr>
          <w:rFonts w:ascii="Arial" w:hAnsi="Arial" w:cs="Arial"/>
          <w:b/>
          <w:color w:val="E36C0A"/>
          <w:sz w:val="24"/>
          <w:szCs w:val="24"/>
        </w:rPr>
      </w:pPr>
    </w:p>
    <w:p w:rsidR="00314ED8" w:rsidRPr="00BD2F9C" w:rsidRDefault="007C1557" w:rsidP="00171534">
      <w:pPr>
        <w:pStyle w:val="Titre1"/>
        <w:spacing w:before="0"/>
        <w:rPr>
          <w:rFonts w:ascii="Arial" w:hAnsi="Arial" w:cs="Arial"/>
          <w:color w:val="E36C0A" w:themeColor="accent6" w:themeShade="BF"/>
        </w:rPr>
      </w:pPr>
      <w:bookmarkStart w:id="38" w:name="_Toc433391207"/>
      <w:r w:rsidRPr="00BD2F9C">
        <w:rPr>
          <w:rFonts w:ascii="Arial" w:hAnsi="Arial" w:cs="Arial"/>
          <w:color w:val="E36C0A" w:themeColor="accent6" w:themeShade="BF"/>
        </w:rPr>
        <w:t>Annexe</w:t>
      </w:r>
      <w:bookmarkEnd w:id="38"/>
    </w:p>
    <w:p w:rsidR="00314ED8" w:rsidRDefault="000426B2" w:rsidP="00171534">
      <w:pPr>
        <w:pStyle w:val="Titre2"/>
        <w:numPr>
          <w:ilvl w:val="0"/>
          <w:numId w:val="0"/>
        </w:numPr>
      </w:pPr>
      <w:bookmarkStart w:id="39" w:name="_Toc433391208"/>
      <w:r>
        <w:t xml:space="preserve">Annexe 1 : </w:t>
      </w:r>
      <w:r w:rsidR="00A80D68">
        <w:t>Calcul du seuil de pauvreté</w:t>
      </w:r>
      <w:bookmarkEnd w:id="39"/>
    </w:p>
    <w:p w:rsidR="00314ED8" w:rsidRDefault="00A80D68">
      <w:pPr>
        <w:jc w:val="both"/>
        <w:rPr>
          <w:rFonts w:ascii="Arial" w:hAnsi="Arial" w:cs="Arial"/>
        </w:rPr>
      </w:pPr>
      <w:r>
        <w:rPr>
          <w:rFonts w:ascii="Arial" w:hAnsi="Arial" w:cs="Arial"/>
        </w:rPr>
        <w:t xml:space="preserve">La détermination du seuil alimentaire </w:t>
      </w:r>
      <w:r w:rsidRPr="00E06D39">
        <w:rPr>
          <w:rFonts w:ascii="Arial" w:hAnsi="Arial" w:cs="Arial"/>
        </w:rPr>
        <w:t>comprend trois étapes: (i) d’abord la détermination du panier de bien</w:t>
      </w:r>
      <w:r>
        <w:rPr>
          <w:rFonts w:ascii="Arial" w:hAnsi="Arial" w:cs="Arial"/>
        </w:rPr>
        <w:t>s</w:t>
      </w:r>
      <w:r w:rsidRPr="00E06D39">
        <w:rPr>
          <w:rFonts w:ascii="Arial" w:hAnsi="Arial" w:cs="Arial"/>
        </w:rPr>
        <w:t>; (ii) ensuite, la détermination de la quantité de chaque bien dans le panier nécessaire pour l’obtention de la consommation calorique minimale; et enfin, (iii) l’évaluation du niveau du seuil de pauvreté alimentaire.</w:t>
      </w:r>
    </w:p>
    <w:p w:rsidR="00741D15" w:rsidRDefault="007B40FE">
      <w:pPr>
        <w:jc w:val="both"/>
        <w:rPr>
          <w:rFonts w:ascii="Arial" w:hAnsi="Arial" w:cs="Arial"/>
        </w:rPr>
      </w:pPr>
      <w:r>
        <w:rPr>
          <w:rFonts w:ascii="Arial" w:hAnsi="Arial" w:cs="Arial"/>
        </w:rPr>
        <w:t xml:space="preserve">En raison des différences observées dans les habitudes de consommation des populations et dans le niveau des prix, les seuils de pauvreté ont été calculés </w:t>
      </w:r>
      <w:r w:rsidR="00741D15" w:rsidRPr="005F1131">
        <w:rPr>
          <w:rFonts w:ascii="Arial" w:hAnsi="Arial" w:cs="Arial"/>
        </w:rPr>
        <w:t>dans chaque strate, constituée par les milieux de r</w:t>
      </w:r>
      <w:r w:rsidR="00741D15">
        <w:rPr>
          <w:rFonts w:ascii="Arial" w:hAnsi="Arial" w:cs="Arial"/>
        </w:rPr>
        <w:t>ésidence de chaque commune.</w:t>
      </w:r>
    </w:p>
    <w:p w:rsidR="00741D15" w:rsidRDefault="00741D15">
      <w:pPr>
        <w:jc w:val="both"/>
        <w:rPr>
          <w:rFonts w:ascii="Arial" w:hAnsi="Arial" w:cs="Arial"/>
        </w:rPr>
      </w:pPr>
      <w:r>
        <w:rPr>
          <w:rFonts w:ascii="Arial" w:hAnsi="Arial" w:cs="Arial"/>
        </w:rPr>
        <w:t>L</w:t>
      </w:r>
      <w:r w:rsidR="00A80D68">
        <w:rPr>
          <w:rFonts w:ascii="Arial" w:hAnsi="Arial" w:cs="Arial"/>
        </w:rPr>
        <w:t xml:space="preserve">e panier de biens est </w:t>
      </w:r>
      <w:r w:rsidR="007B40FE">
        <w:rPr>
          <w:rFonts w:ascii="Arial" w:hAnsi="Arial" w:cs="Arial"/>
        </w:rPr>
        <w:t xml:space="preserve">ainsi </w:t>
      </w:r>
      <w:r w:rsidR="00A80D68">
        <w:rPr>
          <w:rFonts w:ascii="Arial" w:hAnsi="Arial" w:cs="Arial"/>
        </w:rPr>
        <w:t>d</w:t>
      </w:r>
      <w:r w:rsidR="00A80D68" w:rsidRPr="00A16157">
        <w:rPr>
          <w:rFonts w:ascii="Arial" w:hAnsi="Arial" w:cs="Arial"/>
        </w:rPr>
        <w:t xml:space="preserve">éterminé en référence </w:t>
      </w:r>
      <w:r>
        <w:rPr>
          <w:rFonts w:ascii="Arial" w:hAnsi="Arial" w:cs="Arial"/>
        </w:rPr>
        <w:t>aux besoins</w:t>
      </w:r>
      <w:r w:rsidR="007B40FE">
        <w:rPr>
          <w:rFonts w:ascii="Arial" w:hAnsi="Arial" w:cs="Arial"/>
        </w:rPr>
        <w:t xml:space="preserve"> alimentaire</w:t>
      </w:r>
      <w:r>
        <w:rPr>
          <w:rFonts w:ascii="Arial" w:hAnsi="Arial" w:cs="Arial"/>
        </w:rPr>
        <w:t>sminimaux</w:t>
      </w:r>
      <w:r w:rsidR="007B40FE">
        <w:rPr>
          <w:rFonts w:ascii="Arial" w:hAnsi="Arial" w:cs="Arial"/>
        </w:rPr>
        <w:t xml:space="preserve"> dans chaque zone</w:t>
      </w:r>
      <w:r w:rsidR="00A80D68">
        <w:rPr>
          <w:rFonts w:ascii="Arial" w:hAnsi="Arial" w:cs="Arial"/>
        </w:rPr>
        <w:t>. L</w:t>
      </w:r>
      <w:r w:rsidR="00A80D68" w:rsidRPr="005F1131">
        <w:rPr>
          <w:rFonts w:ascii="Arial" w:hAnsi="Arial" w:cs="Arial"/>
        </w:rPr>
        <w:t xml:space="preserve">e seuil calorique normatif retenu par individu est de 2 400 Kcalories. </w:t>
      </w:r>
    </w:p>
    <w:p w:rsidR="00314ED8" w:rsidRDefault="00A80D68">
      <w:pPr>
        <w:jc w:val="both"/>
        <w:rPr>
          <w:rFonts w:ascii="Arial" w:hAnsi="Arial" w:cs="Arial"/>
        </w:rPr>
      </w:pPr>
      <w:r w:rsidRPr="005F1131">
        <w:rPr>
          <w:rFonts w:ascii="Arial" w:hAnsi="Arial" w:cs="Arial"/>
        </w:rPr>
        <w:t>La valorisation du panier de consommation a été faite à partir des prix collectés sur le marché local au moment de l’enquête par les agents enquêteurs. L’optique adoptée pour la collecte est le relevé par achat de tous les produits du panier vendu pour la plupart dans des unités non standard puis la pesée de ces produits achetés.</w:t>
      </w:r>
      <w:r w:rsidR="00821EBB">
        <w:rPr>
          <w:rFonts w:ascii="Arial" w:hAnsi="Arial" w:cs="Arial"/>
        </w:rPr>
        <w:t xml:space="preserve"> Ainsi :</w:t>
      </w:r>
    </w:p>
    <w:p w:rsidR="000570DC" w:rsidRDefault="000570DC" w:rsidP="000570DC">
      <w:pPr>
        <w:jc w:val="center"/>
        <w:rPr>
          <w:rFonts w:ascii="Arial" w:hAnsi="Arial" w:cs="Arial"/>
        </w:rPr>
      </w:pPr>
      <m:oMathPara>
        <m:oMath>
          <m:r>
            <w:rPr>
              <w:rFonts w:ascii="Cambria Math" w:hAnsi="Cambria Math" w:cs="Arial"/>
            </w:rPr>
            <m:t>SPA=</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nary>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i</m:t>
              </m:r>
              <m:d>
                <m:dPr>
                  <m:ctrlPr>
                    <w:rPr>
                      <w:rFonts w:ascii="Cambria Math" w:hAnsi="Cambria Math" w:cs="Arial"/>
                      <w:i/>
                    </w:rPr>
                  </m:ctrlPr>
                </m:dPr>
                <m:e>
                  <m:r>
                    <w:rPr>
                      <w:rFonts w:ascii="Cambria Math" w:hAnsi="Cambria Math" w:cs="Arial"/>
                    </w:rPr>
                    <m:t>t</m:t>
                  </m:r>
                </m:e>
              </m:d>
            </m:sub>
          </m:sSub>
          <m:r>
            <w:rPr>
              <w:rFonts w:ascii="Cambria Math" w:hAnsi="Cambria Math" w:cs="Arial"/>
            </w:rPr>
            <m:t xml:space="preserve">   i=1……n</m:t>
          </m:r>
        </m:oMath>
      </m:oMathPara>
    </w:p>
    <w:p w:rsidR="000570DC" w:rsidRDefault="000570DC">
      <w:pPr>
        <w:jc w:val="both"/>
        <w:rPr>
          <w:rFonts w:ascii="Arial" w:hAnsi="Arial" w:cs="Arial"/>
        </w:rPr>
      </w:pPr>
      <w:r>
        <w:rPr>
          <w:rFonts w:ascii="Arial" w:hAnsi="Arial" w:cs="Arial"/>
        </w:rPr>
        <w:t>Où : SPA = seuil de pauvreté alimentaire ;  q</w:t>
      </w:r>
      <w:r w:rsidRPr="000570DC">
        <w:rPr>
          <w:rFonts w:ascii="Arial" w:hAnsi="Arial" w:cs="Arial"/>
          <w:vertAlign w:val="subscript"/>
        </w:rPr>
        <w:t>i</w:t>
      </w:r>
      <w:r>
        <w:rPr>
          <w:rFonts w:ascii="Arial" w:hAnsi="Arial" w:cs="Arial"/>
        </w:rPr>
        <w:t>=Quantité requise du produit (i) et p</w:t>
      </w:r>
      <w:r w:rsidRPr="000570DC">
        <w:rPr>
          <w:rFonts w:ascii="Arial" w:hAnsi="Arial" w:cs="Arial"/>
          <w:vertAlign w:val="subscript"/>
        </w:rPr>
        <w:t>i(t) </w:t>
      </w:r>
      <w:r>
        <w:rPr>
          <w:rFonts w:ascii="Arial" w:hAnsi="Arial" w:cs="Arial"/>
        </w:rPr>
        <w:t>: Prix moyen observé du produit (i) au cours de la période (t).</w:t>
      </w:r>
    </w:p>
    <w:p w:rsidR="00314ED8" w:rsidRDefault="00A80D68">
      <w:pPr>
        <w:jc w:val="both"/>
        <w:rPr>
          <w:rFonts w:ascii="Arial" w:hAnsi="Arial" w:cs="Arial"/>
        </w:rPr>
      </w:pPr>
      <w:r w:rsidRPr="005F1131">
        <w:rPr>
          <w:rFonts w:ascii="Arial" w:hAnsi="Arial" w:cs="Arial"/>
        </w:rPr>
        <w:t xml:space="preserve">La détermination du seuil non alimentaire est similaire à celle du seuil alimentaire, en substituant simplement les biens et services non alimentaires. Mais contrairement au seuil alimentaire, il n’existe pas de normes pour estimer un panier en matière non alimentaire. Il est obtenu en multipliant le seuil de pauvreté alimentaire par un ratio </w:t>
      </w:r>
      <w:r w:rsidR="009176A1">
        <w:rPr>
          <w:rFonts w:ascii="Arial" w:hAnsi="Arial" w:cs="Arial"/>
        </w:rPr>
        <w:t xml:space="preserve">(p) </w:t>
      </w:r>
      <w:r w:rsidRPr="005F1131">
        <w:rPr>
          <w:rFonts w:ascii="Arial" w:hAnsi="Arial" w:cs="Arial"/>
        </w:rPr>
        <w:t xml:space="preserve">entre les dépenses alimentaires </w:t>
      </w:r>
      <w:r w:rsidR="009176A1">
        <w:rPr>
          <w:rFonts w:ascii="Arial" w:hAnsi="Arial" w:cs="Arial"/>
        </w:rPr>
        <w:t xml:space="preserve">non alimentaires et les dépenses </w:t>
      </w:r>
      <w:r w:rsidRPr="005F1131">
        <w:rPr>
          <w:rFonts w:ascii="Arial" w:hAnsi="Arial" w:cs="Arial"/>
        </w:rPr>
        <w:t>alimentaires des ménages en dessous de la médiane</w:t>
      </w:r>
      <w:r w:rsidRPr="009176A1">
        <w:rPr>
          <w:rFonts w:ascii="Arial" w:hAnsi="Arial" w:cs="Arial"/>
          <w:vertAlign w:val="superscript"/>
        </w:rPr>
        <w:footnoteReference w:id="7"/>
      </w:r>
      <w:r w:rsidRPr="005F1131">
        <w:rPr>
          <w:rFonts w:ascii="Arial" w:hAnsi="Arial" w:cs="Arial"/>
        </w:rPr>
        <w:t>.</w:t>
      </w:r>
    </w:p>
    <w:p w:rsidR="009176A1" w:rsidRDefault="00A80D68" w:rsidP="009176A1">
      <w:pPr>
        <w:rPr>
          <w:rFonts w:ascii="Arial" w:eastAsiaTheme="minorEastAsia" w:hAnsi="Arial" w:cs="Arial"/>
        </w:rPr>
      </w:pPr>
      <w:r w:rsidRPr="005F1131">
        <w:rPr>
          <w:rFonts w:ascii="Arial" w:hAnsi="Arial" w:cs="Arial"/>
        </w:rPr>
        <w:lastRenderedPageBreak/>
        <w:t>Ainsi, le seuil de pauvreté global</w:t>
      </w:r>
      <w:r w:rsidR="009176A1">
        <w:rPr>
          <w:rFonts w:ascii="Arial" w:hAnsi="Arial" w:cs="Arial"/>
        </w:rPr>
        <w:t xml:space="preserve"> est donné par :  </w:t>
      </w:r>
      <m:oMath>
        <m:r>
          <w:rPr>
            <w:rFonts w:ascii="Cambria Math" w:hAnsi="Cambria Math" w:cs="Arial"/>
          </w:rPr>
          <m:t>SP=SPA+SPNA=</m:t>
        </m:r>
        <m:d>
          <m:dPr>
            <m:ctrlPr>
              <w:rPr>
                <w:rFonts w:ascii="Cambria Math" w:hAnsi="Cambria Math" w:cs="Arial"/>
                <w:i/>
              </w:rPr>
            </m:ctrlPr>
          </m:dPr>
          <m:e>
            <m:r>
              <w:rPr>
                <w:rFonts w:ascii="Cambria Math" w:hAnsi="Cambria Math" w:cs="Arial"/>
              </w:rPr>
              <m:t>1+p</m:t>
            </m:r>
          </m:e>
        </m:d>
        <m:r>
          <w:rPr>
            <w:rFonts w:ascii="Cambria Math" w:hAnsi="Cambria Math" w:cs="Arial"/>
          </w:rPr>
          <m:t>*SPA</m:t>
        </m:r>
      </m:oMath>
      <w:r w:rsidR="00821EBB">
        <w:rPr>
          <w:rFonts w:ascii="Arial" w:eastAsiaTheme="minorEastAsia" w:hAnsi="Arial" w:cs="Arial"/>
        </w:rPr>
        <w:t xml:space="preserve"> (1)</w:t>
      </w:r>
    </w:p>
    <w:p w:rsidR="00CF1ABC" w:rsidRDefault="009176A1" w:rsidP="009176A1">
      <w:pPr>
        <w:rPr>
          <w:rFonts w:ascii="Arial" w:eastAsiaTheme="minorEastAsia" w:hAnsi="Arial" w:cs="Arial"/>
        </w:rPr>
      </w:pPr>
      <w:r>
        <w:rPr>
          <w:rFonts w:ascii="Arial" w:eastAsiaTheme="minorEastAsia" w:hAnsi="Arial" w:cs="Arial"/>
        </w:rPr>
        <w:t>où</w:t>
      </w:r>
      <w:r w:rsidR="00CF1ABC">
        <w:rPr>
          <w:rFonts w:ascii="Arial" w:eastAsiaTheme="minorEastAsia" w:hAnsi="Arial" w:cs="Arial"/>
        </w:rPr>
        <w:t> :</w:t>
      </w:r>
    </w:p>
    <w:p w:rsidR="009176A1" w:rsidRDefault="00CF1ABC" w:rsidP="009176A1">
      <w:pPr>
        <w:rPr>
          <w:rFonts w:ascii="Arial" w:hAnsi="Arial" w:cs="Arial"/>
        </w:rPr>
      </w:pPr>
      <w:r>
        <w:rPr>
          <w:rFonts w:ascii="Arial" w:eastAsiaTheme="minorEastAsia" w:hAnsi="Arial" w:cs="Arial"/>
        </w:rPr>
        <w:t>p</w:t>
      </w:r>
      <m:oMath>
        <m:r>
          <w:rPr>
            <w:rFonts w:ascii="Cambria Math" w:hAnsi="Cambria Math" w:cs="Arial"/>
          </w:rPr>
          <m:t>=</m:t>
        </m:r>
        <m:f>
          <m:fPr>
            <m:ctrlPr>
              <w:rPr>
                <w:rFonts w:ascii="Cambria Math" w:hAnsi="Cambria Math" w:cs="Arial"/>
                <w:i/>
              </w:rPr>
            </m:ctrlPr>
          </m:fPr>
          <m:num>
            <m:r>
              <w:rPr>
                <w:rFonts w:ascii="Cambria Math" w:hAnsi="Cambria Math" w:cs="Arial"/>
              </w:rPr>
              <m:t>Dépenses de consommation non alimentaires des ménages en dessous de la médiane des dépenses par tête</m:t>
            </m:r>
          </m:num>
          <m:den>
            <m:r>
              <w:rPr>
                <w:rFonts w:ascii="Cambria Math" w:hAnsi="Cambria Math" w:cs="Arial"/>
              </w:rPr>
              <m:t>Dépenses de consommation alimentaire de ces mêmes ménages</m:t>
            </m:r>
          </m:den>
        </m:f>
      </m:oMath>
    </w:p>
    <w:p w:rsidR="00821EBB" w:rsidRDefault="00CF1ABC">
      <w:pPr>
        <w:jc w:val="both"/>
        <w:rPr>
          <w:rFonts w:ascii="Arial" w:hAnsi="Arial" w:cs="Arial"/>
        </w:rPr>
      </w:pPr>
      <w:r>
        <w:rPr>
          <w:rFonts w:ascii="Arial" w:hAnsi="Arial" w:cs="Arial"/>
        </w:rPr>
        <w:t>Le seuil de pauvreté d’une strate</w:t>
      </w:r>
      <w:r w:rsidR="00821EBB">
        <w:rPr>
          <w:rFonts w:ascii="Arial" w:hAnsi="Arial" w:cs="Arial"/>
        </w:rPr>
        <w:t xml:space="preserve"> est obtenu comme suit</w:t>
      </w:r>
      <w:r>
        <w:rPr>
          <w:rFonts w:ascii="Arial" w:hAnsi="Arial" w:cs="Arial"/>
        </w:rPr>
        <w:t> :</w:t>
      </w:r>
    </w:p>
    <w:p w:rsidR="00CF1ABC" w:rsidRDefault="00821EBB" w:rsidP="00821EBB">
      <w:pPr>
        <w:jc w:val="center"/>
        <w:rPr>
          <w:rFonts w:ascii="Arial" w:hAnsi="Arial" w:cs="Arial"/>
        </w:rPr>
      </w:pPr>
      <m:oMath>
        <m:r>
          <w:rPr>
            <w:rFonts w:ascii="Cambria Math" w:hAnsi="Cambria Math" w:cs="Arial"/>
          </w:rPr>
          <m:t>SP=SPA*</m:t>
        </m:r>
        <m:f>
          <m:fPr>
            <m:ctrlPr>
              <w:rPr>
                <w:rFonts w:ascii="Cambria Math" w:hAnsi="Cambria Math" w:cs="Arial"/>
                <w:i/>
              </w:rPr>
            </m:ctrlPr>
          </m:fPr>
          <m:num>
            <m:r>
              <w:rPr>
                <w:rFonts w:ascii="Cambria Math" w:hAnsi="Cambria Math" w:cs="Arial"/>
              </w:rPr>
              <m:t>1</m:t>
            </m:r>
          </m:num>
          <m:den>
            <m:r>
              <w:rPr>
                <w:rFonts w:ascii="Cambria Math" w:hAnsi="Cambria Math" w:cs="Arial"/>
              </w:rPr>
              <m:t>∝</m:t>
            </m:r>
          </m:den>
        </m:f>
      </m:oMath>
      <w:r>
        <w:rPr>
          <w:rFonts w:ascii="Arial" w:eastAsiaTheme="minorEastAsia" w:hAnsi="Arial" w:cs="Arial"/>
        </w:rPr>
        <w:t xml:space="preserve">                                                                                 (2)</w:t>
      </w:r>
    </w:p>
    <w:p w:rsidR="00314ED8" w:rsidRDefault="00CF1ABC" w:rsidP="00CF1ABC">
      <w:pPr>
        <w:jc w:val="both"/>
        <w:rPr>
          <w:rFonts w:ascii="Arial" w:hAnsi="Arial" w:cs="Arial"/>
        </w:rPr>
      </w:pPr>
      <w:r w:rsidRPr="00CF1ABC">
        <w:rPr>
          <w:rFonts w:ascii="Arial" w:hAnsi="Arial" w:cs="Arial"/>
        </w:rPr>
        <w:t xml:space="preserve">Où : </w:t>
      </w:r>
      <w:r>
        <w:rPr>
          <w:rFonts w:ascii="Arial" w:hAnsi="Arial" w:cs="Arial"/>
        </w:rPr>
        <w:t xml:space="preserve">α </w:t>
      </w:r>
      <w:r w:rsidRPr="00CF1ABC">
        <w:rPr>
          <w:rFonts w:ascii="Arial" w:hAnsi="Arial" w:cs="Arial"/>
        </w:rPr>
        <w:t>représente la part des dépenses alimentaires dans la dépense totale des ménages en dessous de la médiane des dépenses de consommation par t</w:t>
      </w:r>
      <w:r>
        <w:rPr>
          <w:rFonts w:ascii="Arial" w:hAnsi="Arial" w:cs="Arial"/>
        </w:rPr>
        <w:t>êt</w:t>
      </w:r>
      <w:r w:rsidRPr="00CF1ABC">
        <w:rPr>
          <w:rFonts w:ascii="Arial" w:hAnsi="Arial" w:cs="Arial"/>
        </w:rPr>
        <w:t>e</w:t>
      </w:r>
      <w:r w:rsidR="00701687">
        <w:rPr>
          <w:rFonts w:ascii="Arial" w:hAnsi="Arial" w:cs="Arial"/>
        </w:rPr>
        <w:t>.</w:t>
      </w:r>
    </w:p>
    <w:p w:rsidR="00701687" w:rsidRDefault="00701687" w:rsidP="00CF1ABC">
      <w:pPr>
        <w:jc w:val="both"/>
        <w:rPr>
          <w:rFonts w:ascii="Arial" w:hAnsi="Arial" w:cs="Arial"/>
        </w:rPr>
      </w:pPr>
    </w:p>
    <w:p w:rsidR="00314ED8" w:rsidRDefault="007C1557" w:rsidP="00171534">
      <w:pPr>
        <w:pStyle w:val="Titre2"/>
        <w:numPr>
          <w:ilvl w:val="0"/>
          <w:numId w:val="0"/>
        </w:numPr>
        <w:ind w:left="360"/>
      </w:pPr>
      <w:bookmarkStart w:id="40" w:name="_Toc433391209"/>
      <w:r w:rsidRPr="007C1557">
        <w:rPr>
          <w:sz w:val="24"/>
          <w:szCs w:val="24"/>
        </w:rPr>
        <w:t>Annexe 2</w:t>
      </w:r>
      <w:r w:rsidR="005F2205">
        <w:t> :</w:t>
      </w:r>
      <w:r w:rsidR="00EE044A">
        <w:t xml:space="preserve"> Indices de pauvreté, d’inégalité et perception des individus sur leurs conditions de vie.</w:t>
      </w:r>
      <w:bookmarkEnd w:id="40"/>
    </w:p>
    <w:p w:rsidR="00171534" w:rsidRDefault="00171534">
      <w:pPr>
        <w:spacing w:after="0" w:line="240" w:lineRule="auto"/>
        <w:rPr>
          <w:rFonts w:ascii="Arial" w:hAnsi="Arial" w:cs="Arial"/>
        </w:rPr>
      </w:pPr>
      <w:bookmarkStart w:id="41" w:name="_Toc432425316"/>
    </w:p>
    <w:p w:rsidR="00314ED8" w:rsidRDefault="000E28C5">
      <w:pPr>
        <w:spacing w:after="0" w:line="240" w:lineRule="auto"/>
        <w:rPr>
          <w:rFonts w:ascii="Arial" w:hAnsi="Arial" w:cs="Arial"/>
          <w:b/>
        </w:rPr>
      </w:pPr>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12</w:t>
      </w:r>
      <w:r w:rsidR="00115FEB" w:rsidRPr="00C216A8">
        <w:rPr>
          <w:rFonts w:ascii="Arial" w:hAnsi="Arial" w:cs="Arial"/>
        </w:rPr>
        <w:fldChar w:fldCharType="end"/>
      </w:r>
      <w:r w:rsidRPr="007C1557">
        <w:rPr>
          <w:rFonts w:ascii="Arial" w:hAnsi="Arial" w:cs="Arial"/>
        </w:rPr>
        <w:t>:</w:t>
      </w:r>
      <w:r w:rsidR="007C1557" w:rsidRPr="007C1557">
        <w:rPr>
          <w:rFonts w:ascii="Arial" w:hAnsi="Arial" w:cs="Arial"/>
        </w:rPr>
        <w:t xml:space="preserve"> Perception des individus par rapport à leur niveau de vie selon le milieu de résidence</w:t>
      </w:r>
      <w:bookmarkEnd w:id="41"/>
    </w:p>
    <w:tbl>
      <w:tblPr>
        <w:tblW w:w="8540" w:type="dxa"/>
        <w:tblInd w:w="70" w:type="dxa"/>
        <w:tblCellMar>
          <w:left w:w="70" w:type="dxa"/>
          <w:right w:w="70" w:type="dxa"/>
        </w:tblCellMar>
        <w:tblLook w:val="04A0" w:firstRow="1" w:lastRow="0" w:firstColumn="1" w:lastColumn="0" w:noHBand="0" w:noVBand="1"/>
      </w:tblPr>
      <w:tblGrid>
        <w:gridCol w:w="3350"/>
        <w:gridCol w:w="1436"/>
        <w:gridCol w:w="1159"/>
        <w:gridCol w:w="1436"/>
        <w:gridCol w:w="1159"/>
      </w:tblGrid>
      <w:tr w:rsidR="00FE5A45" w:rsidRPr="00933851" w:rsidTr="00C347D7">
        <w:trPr>
          <w:trHeight w:val="301"/>
        </w:trPr>
        <w:tc>
          <w:tcPr>
            <w:tcW w:w="3350" w:type="dxa"/>
            <w:tcBorders>
              <w:top w:val="single" w:sz="4" w:space="0" w:color="auto"/>
              <w:left w:val="nil"/>
              <w:right w:val="nil"/>
            </w:tcBorders>
            <w:shd w:val="clear" w:color="auto" w:fill="auto"/>
            <w:noWrap/>
            <w:vAlign w:val="bottom"/>
            <w:hideMark/>
          </w:tcPr>
          <w:p w:rsidR="00314ED8" w:rsidRDefault="00314ED8">
            <w:pPr>
              <w:spacing w:after="0" w:line="240" w:lineRule="auto"/>
              <w:rPr>
                <w:rFonts w:ascii="Arial" w:eastAsia="Times New Roman" w:hAnsi="Arial" w:cs="Arial"/>
                <w:color w:val="000000"/>
                <w:lang w:eastAsia="fr-FR"/>
              </w:rPr>
            </w:pPr>
          </w:p>
        </w:tc>
        <w:tc>
          <w:tcPr>
            <w:tcW w:w="2594" w:type="dxa"/>
            <w:gridSpan w:val="2"/>
            <w:tcBorders>
              <w:top w:val="single" w:sz="4" w:space="0" w:color="auto"/>
              <w:left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2011</w:t>
            </w:r>
          </w:p>
        </w:tc>
        <w:tc>
          <w:tcPr>
            <w:tcW w:w="2594" w:type="dxa"/>
            <w:gridSpan w:val="2"/>
            <w:tcBorders>
              <w:top w:val="single" w:sz="4" w:space="0" w:color="auto"/>
              <w:left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2015</w:t>
            </w:r>
          </w:p>
        </w:tc>
      </w:tr>
      <w:tr w:rsidR="00FE5A45" w:rsidRPr="00933851" w:rsidTr="00C347D7">
        <w:trPr>
          <w:trHeight w:val="301"/>
        </w:trPr>
        <w:tc>
          <w:tcPr>
            <w:tcW w:w="3350" w:type="dxa"/>
            <w:tcBorders>
              <w:left w:val="nil"/>
              <w:bottom w:val="single" w:sz="4"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1436" w:type="dxa"/>
            <w:tcBorders>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Urbain</w:t>
            </w:r>
          </w:p>
        </w:tc>
        <w:tc>
          <w:tcPr>
            <w:tcW w:w="1159" w:type="dxa"/>
            <w:tcBorders>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Rural</w:t>
            </w:r>
          </w:p>
        </w:tc>
        <w:tc>
          <w:tcPr>
            <w:tcW w:w="1436" w:type="dxa"/>
            <w:tcBorders>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Urbain</w:t>
            </w:r>
          </w:p>
        </w:tc>
        <w:tc>
          <w:tcPr>
            <w:tcW w:w="1159" w:type="dxa"/>
            <w:tcBorders>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Rural</w:t>
            </w:r>
          </w:p>
        </w:tc>
      </w:tr>
      <w:tr w:rsidR="00FE5A45" w:rsidRPr="00933851" w:rsidTr="00C347D7">
        <w:trPr>
          <w:trHeight w:val="301"/>
        </w:trPr>
        <w:tc>
          <w:tcPr>
            <w:tcW w:w="3350" w:type="dxa"/>
            <w:tcBorders>
              <w:top w:val="nil"/>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Des 20% les plus pauvres</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24,8</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30,6</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23,3</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25,9</w:t>
            </w:r>
          </w:p>
        </w:tc>
      </w:tr>
      <w:tr w:rsidR="00FE5A45" w:rsidRPr="00933851" w:rsidTr="00C347D7">
        <w:trPr>
          <w:trHeight w:val="301"/>
        </w:trPr>
        <w:tc>
          <w:tcPr>
            <w:tcW w:w="3350" w:type="dxa"/>
            <w:tcBorders>
              <w:top w:val="nil"/>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Des 20% moyennement pauvres</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45,1</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42,4</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42,7</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41,3</w:t>
            </w:r>
          </w:p>
        </w:tc>
      </w:tr>
      <w:tr w:rsidR="00FE5A45" w:rsidRPr="00933851" w:rsidTr="00C347D7">
        <w:trPr>
          <w:trHeight w:val="301"/>
        </w:trPr>
        <w:tc>
          <w:tcPr>
            <w:tcW w:w="3350" w:type="dxa"/>
            <w:tcBorders>
              <w:top w:val="nil"/>
              <w:left w:val="nil"/>
              <w:bottom w:val="nil"/>
              <w:right w:val="nil"/>
            </w:tcBorders>
            <w:shd w:val="clear" w:color="auto" w:fill="auto"/>
            <w:noWrap/>
            <w:vAlign w:val="bottom"/>
            <w:hideMark/>
          </w:tcPr>
          <w:p w:rsidR="00314ED8" w:rsidRDefault="00314ED8">
            <w:pPr>
              <w:spacing w:after="0" w:line="240" w:lineRule="auto"/>
              <w:rPr>
                <w:rFonts w:ascii="Arial" w:eastAsia="Times New Roman" w:hAnsi="Arial" w:cs="Arial"/>
                <w:color w:val="000000"/>
                <w:lang w:eastAsia="fr-FR"/>
              </w:rPr>
            </w:pP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70,0</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73,0</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66,0</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bCs/>
                <w:color w:val="000000"/>
                <w:lang w:eastAsia="fr-FR"/>
              </w:rPr>
            </w:pPr>
            <w:r w:rsidRPr="007C1557">
              <w:rPr>
                <w:rFonts w:ascii="Arial" w:eastAsia="Times New Roman" w:hAnsi="Arial" w:cs="Arial"/>
                <w:b/>
                <w:bCs/>
                <w:color w:val="000000"/>
                <w:lang w:eastAsia="fr-FR"/>
              </w:rPr>
              <w:t>67,2</w:t>
            </w:r>
          </w:p>
        </w:tc>
      </w:tr>
      <w:tr w:rsidR="00FE5A45" w:rsidRPr="00933851" w:rsidTr="00C347D7">
        <w:trPr>
          <w:trHeight w:val="301"/>
        </w:trPr>
        <w:tc>
          <w:tcPr>
            <w:tcW w:w="3350" w:type="dxa"/>
            <w:tcBorders>
              <w:top w:val="nil"/>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Des 20% qui sont au milieu</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25,7</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23,3</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27,9</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28,4</w:t>
            </w:r>
          </w:p>
        </w:tc>
      </w:tr>
      <w:tr w:rsidR="00FE5A45" w:rsidRPr="00933851" w:rsidTr="00C347D7">
        <w:trPr>
          <w:trHeight w:val="301"/>
        </w:trPr>
        <w:tc>
          <w:tcPr>
            <w:tcW w:w="3350" w:type="dxa"/>
            <w:tcBorders>
              <w:top w:val="nil"/>
              <w:left w:val="nil"/>
              <w:bottom w:val="nil"/>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Des 20% moyennement riches</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3,3</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2,7</w:t>
            </w:r>
          </w:p>
        </w:tc>
        <w:tc>
          <w:tcPr>
            <w:tcW w:w="1436"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5,6</w:t>
            </w:r>
          </w:p>
        </w:tc>
        <w:tc>
          <w:tcPr>
            <w:tcW w:w="1159" w:type="dxa"/>
            <w:tcBorders>
              <w:top w:val="nil"/>
              <w:left w:val="nil"/>
              <w:bottom w:val="nil"/>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3,9</w:t>
            </w:r>
          </w:p>
        </w:tc>
      </w:tr>
      <w:tr w:rsidR="00FE5A45" w:rsidRPr="00933851" w:rsidTr="00C347D7">
        <w:trPr>
          <w:trHeight w:val="301"/>
        </w:trPr>
        <w:tc>
          <w:tcPr>
            <w:tcW w:w="3350"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Des 20% les plus riches</w:t>
            </w:r>
          </w:p>
        </w:tc>
        <w:tc>
          <w:tcPr>
            <w:tcW w:w="1436"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1,1</w:t>
            </w:r>
          </w:p>
        </w:tc>
        <w:tc>
          <w:tcPr>
            <w:tcW w:w="1159"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w:t>
            </w:r>
          </w:p>
        </w:tc>
        <w:tc>
          <w:tcPr>
            <w:tcW w:w="1436"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0,5</w:t>
            </w:r>
          </w:p>
        </w:tc>
        <w:tc>
          <w:tcPr>
            <w:tcW w:w="1159"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0,4</w:t>
            </w:r>
          </w:p>
        </w:tc>
      </w:tr>
      <w:tr w:rsidR="00FE5A45" w:rsidRPr="00933851" w:rsidTr="00C347D7">
        <w:trPr>
          <w:trHeight w:val="301"/>
        </w:trPr>
        <w:tc>
          <w:tcPr>
            <w:tcW w:w="3350" w:type="dxa"/>
            <w:tcBorders>
              <w:top w:val="single" w:sz="4" w:space="0" w:color="auto"/>
              <w:left w:val="nil"/>
              <w:bottom w:val="single" w:sz="4" w:space="0" w:color="auto"/>
              <w:right w:val="nil"/>
            </w:tcBorders>
            <w:shd w:val="clear" w:color="auto" w:fill="auto"/>
            <w:noWrap/>
            <w:vAlign w:val="bottom"/>
            <w:hideMark/>
          </w:tcPr>
          <w:p w:rsidR="00314ED8" w:rsidRDefault="00314ED8">
            <w:pPr>
              <w:spacing w:after="0" w:line="240" w:lineRule="auto"/>
              <w:rPr>
                <w:rFonts w:ascii="Arial" w:eastAsia="Times New Roman" w:hAnsi="Arial" w:cs="Arial"/>
                <w:color w:val="000000"/>
                <w:lang w:eastAsia="fr-FR"/>
              </w:rPr>
            </w:pPr>
          </w:p>
        </w:tc>
        <w:tc>
          <w:tcPr>
            <w:tcW w:w="1436"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100,0</w:t>
            </w:r>
          </w:p>
        </w:tc>
        <w:tc>
          <w:tcPr>
            <w:tcW w:w="1159"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100,0</w:t>
            </w:r>
          </w:p>
        </w:tc>
        <w:tc>
          <w:tcPr>
            <w:tcW w:w="1436"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100,0</w:t>
            </w:r>
          </w:p>
        </w:tc>
        <w:tc>
          <w:tcPr>
            <w:tcW w:w="1159"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lang w:eastAsia="fr-FR"/>
              </w:rPr>
            </w:pPr>
            <w:r w:rsidRPr="007C1557">
              <w:rPr>
                <w:rFonts w:ascii="Arial" w:eastAsia="Times New Roman" w:hAnsi="Arial" w:cs="Arial"/>
                <w:color w:val="000000"/>
                <w:lang w:eastAsia="fr-FR"/>
              </w:rPr>
              <w:t>100,0</w:t>
            </w:r>
          </w:p>
        </w:tc>
      </w:tr>
    </w:tbl>
    <w:p w:rsidR="00314ED8" w:rsidRDefault="00314ED8">
      <w:pPr>
        <w:rPr>
          <w:rFonts w:ascii="Arial" w:hAnsi="Arial" w:cs="Arial"/>
          <w:b/>
          <w:color w:val="E36C0A"/>
        </w:rPr>
      </w:pPr>
    </w:p>
    <w:p w:rsidR="00314ED8" w:rsidRDefault="000E28C5">
      <w:pPr>
        <w:spacing w:after="0" w:line="240" w:lineRule="auto"/>
        <w:rPr>
          <w:rFonts w:ascii="Arial" w:eastAsia="Cambria" w:hAnsi="Arial" w:cs="Arial"/>
          <w:b/>
          <w:color w:val="FF0000"/>
          <w:kern w:val="1"/>
          <w:sz w:val="20"/>
          <w:szCs w:val="20"/>
        </w:rPr>
      </w:pPr>
      <w:bookmarkStart w:id="42" w:name="_Toc432425317"/>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13</w:t>
      </w:r>
      <w:r w:rsidR="00115FEB" w:rsidRPr="00C216A8">
        <w:rPr>
          <w:rFonts w:ascii="Arial" w:hAnsi="Arial" w:cs="Arial"/>
        </w:rPr>
        <w:fldChar w:fldCharType="end"/>
      </w:r>
      <w:r w:rsidR="00716F68">
        <w:rPr>
          <w:rFonts w:ascii="Arial" w:hAnsi="Arial" w:cs="Arial"/>
        </w:rPr>
        <w:t xml:space="preserve">: </w:t>
      </w:r>
      <w:r w:rsidR="00716F68" w:rsidRPr="00FE5A45">
        <w:rPr>
          <w:rFonts w:ascii="Arial" w:hAnsi="Arial" w:cs="Arial"/>
        </w:rPr>
        <w:t>Opinion par rapport à la situation économique du ménage</w:t>
      </w:r>
      <w:r w:rsidR="00716F68">
        <w:rPr>
          <w:rFonts w:ascii="Arial" w:hAnsi="Arial" w:cs="Arial"/>
        </w:rPr>
        <w:t xml:space="preserve"> selon le milieu de résidence</w:t>
      </w:r>
      <w:bookmarkEnd w:id="42"/>
    </w:p>
    <w:tbl>
      <w:tblPr>
        <w:tblW w:w="8476" w:type="dxa"/>
        <w:tblInd w:w="70" w:type="dxa"/>
        <w:tblCellMar>
          <w:left w:w="70" w:type="dxa"/>
          <w:right w:w="70" w:type="dxa"/>
        </w:tblCellMar>
        <w:tblLook w:val="04A0" w:firstRow="1" w:lastRow="0" w:firstColumn="1" w:lastColumn="0" w:noHBand="0" w:noVBand="1"/>
      </w:tblPr>
      <w:tblGrid>
        <w:gridCol w:w="3322"/>
        <w:gridCol w:w="1299"/>
        <w:gridCol w:w="1278"/>
        <w:gridCol w:w="1297"/>
        <w:gridCol w:w="1280"/>
      </w:tblGrid>
      <w:tr w:rsidR="00933851" w:rsidRPr="005F2205" w:rsidTr="00376690">
        <w:trPr>
          <w:trHeight w:val="285"/>
        </w:trPr>
        <w:tc>
          <w:tcPr>
            <w:tcW w:w="3322" w:type="dxa"/>
            <w:tcBorders>
              <w:top w:val="single" w:sz="4" w:space="0" w:color="auto"/>
              <w:lef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2577" w:type="dxa"/>
            <w:gridSpan w:val="2"/>
            <w:tcBorders>
              <w:top w:val="single" w:sz="4" w:space="0" w:color="auto"/>
              <w:bottom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b/>
                <w:color w:val="000000"/>
                <w:lang w:eastAsia="fr-FR"/>
              </w:rPr>
            </w:pPr>
            <w:r w:rsidRPr="007C1557">
              <w:rPr>
                <w:rFonts w:ascii="Arial" w:eastAsia="Times New Roman" w:hAnsi="Arial" w:cs="Arial"/>
                <w:b/>
                <w:color w:val="000000"/>
                <w:lang w:eastAsia="fr-FR"/>
              </w:rPr>
              <w:t>2011</w:t>
            </w:r>
          </w:p>
        </w:tc>
        <w:tc>
          <w:tcPr>
            <w:tcW w:w="2577" w:type="dxa"/>
            <w:gridSpan w:val="2"/>
            <w:tcBorders>
              <w:top w:val="single" w:sz="4" w:space="0" w:color="auto"/>
              <w:bottom w:val="single" w:sz="4" w:space="0" w:color="auto"/>
              <w:right w:val="nil"/>
            </w:tcBorders>
            <w:shd w:val="clear" w:color="auto" w:fill="auto"/>
            <w:noWrap/>
            <w:vAlign w:val="bottom"/>
            <w:hideMark/>
          </w:tcPr>
          <w:p w:rsidR="00314ED8" w:rsidRDefault="007C1557">
            <w:pPr>
              <w:spacing w:after="0" w:line="240" w:lineRule="auto"/>
              <w:jc w:val="center"/>
              <w:rPr>
                <w:rFonts w:ascii="Arial" w:eastAsia="Times New Roman" w:hAnsi="Arial" w:cs="Arial"/>
                <w:b/>
                <w:color w:val="000000"/>
                <w:lang w:eastAsia="fr-FR"/>
              </w:rPr>
            </w:pPr>
            <w:r w:rsidRPr="007C1557">
              <w:rPr>
                <w:rFonts w:ascii="Arial" w:eastAsia="Times New Roman" w:hAnsi="Arial" w:cs="Arial"/>
                <w:b/>
                <w:color w:val="000000"/>
                <w:lang w:eastAsia="fr-FR"/>
              </w:rPr>
              <w:t>2015</w:t>
            </w:r>
          </w:p>
        </w:tc>
      </w:tr>
      <w:tr w:rsidR="00933851" w:rsidRPr="005F2205" w:rsidTr="00376690">
        <w:trPr>
          <w:trHeight w:val="285"/>
        </w:trPr>
        <w:tc>
          <w:tcPr>
            <w:tcW w:w="3322" w:type="dxa"/>
            <w:tcBorders>
              <w:top w:val="nil"/>
              <w:left w:val="nil"/>
              <w:bottom w:val="single" w:sz="4" w:space="0" w:color="auto"/>
              <w:right w:val="nil"/>
            </w:tcBorders>
            <w:shd w:val="clear" w:color="auto" w:fill="auto"/>
            <w:noWrap/>
            <w:vAlign w:val="bottom"/>
            <w:hideMark/>
          </w:tcPr>
          <w:p w:rsidR="00314ED8" w:rsidRDefault="00314ED8">
            <w:pPr>
              <w:spacing w:after="0" w:line="240" w:lineRule="auto"/>
              <w:rPr>
                <w:rFonts w:ascii="Arial" w:eastAsia="Times New Roman" w:hAnsi="Arial" w:cs="Arial"/>
                <w:color w:val="000000"/>
                <w:lang w:eastAsia="fr-FR"/>
              </w:rPr>
            </w:pPr>
          </w:p>
        </w:tc>
        <w:tc>
          <w:tcPr>
            <w:tcW w:w="1299"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b/>
                <w:bCs/>
                <w:color w:val="000000"/>
                <w:lang w:eastAsia="fr-FR"/>
              </w:rPr>
            </w:pPr>
            <w:r w:rsidRPr="007C1557">
              <w:rPr>
                <w:rFonts w:ascii="Arial" w:eastAsia="Times New Roman" w:hAnsi="Arial" w:cs="Arial"/>
                <w:b/>
                <w:bCs/>
                <w:color w:val="000000"/>
                <w:lang w:eastAsia="fr-FR"/>
              </w:rPr>
              <w:t>Urbain</w:t>
            </w:r>
          </w:p>
        </w:tc>
        <w:tc>
          <w:tcPr>
            <w:tcW w:w="1278"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b/>
                <w:bCs/>
                <w:color w:val="000000"/>
                <w:lang w:eastAsia="fr-FR"/>
              </w:rPr>
            </w:pPr>
            <w:r w:rsidRPr="007C1557">
              <w:rPr>
                <w:rFonts w:ascii="Arial" w:eastAsia="Times New Roman" w:hAnsi="Arial" w:cs="Arial"/>
                <w:b/>
                <w:bCs/>
                <w:color w:val="000000"/>
                <w:lang w:eastAsia="fr-FR"/>
              </w:rPr>
              <w:t>Rural</w:t>
            </w:r>
          </w:p>
        </w:tc>
        <w:tc>
          <w:tcPr>
            <w:tcW w:w="1297"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b/>
                <w:bCs/>
                <w:color w:val="000000"/>
                <w:lang w:eastAsia="fr-FR"/>
              </w:rPr>
            </w:pPr>
            <w:r w:rsidRPr="007C1557">
              <w:rPr>
                <w:rFonts w:ascii="Arial" w:eastAsia="Times New Roman" w:hAnsi="Arial" w:cs="Arial"/>
                <w:b/>
                <w:bCs/>
                <w:color w:val="000000"/>
                <w:lang w:eastAsia="fr-FR"/>
              </w:rPr>
              <w:t>Urbain</w:t>
            </w:r>
          </w:p>
        </w:tc>
        <w:tc>
          <w:tcPr>
            <w:tcW w:w="1280" w:type="dxa"/>
            <w:tcBorders>
              <w:top w:val="single" w:sz="4" w:space="0" w:color="auto"/>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b/>
                <w:bCs/>
                <w:color w:val="000000"/>
                <w:lang w:eastAsia="fr-FR"/>
              </w:rPr>
            </w:pPr>
            <w:r w:rsidRPr="007C1557">
              <w:rPr>
                <w:rFonts w:ascii="Arial" w:eastAsia="Times New Roman" w:hAnsi="Arial" w:cs="Arial"/>
                <w:b/>
                <w:bCs/>
                <w:color w:val="000000"/>
                <w:lang w:eastAsia="fr-FR"/>
              </w:rPr>
              <w:t>Rural</w:t>
            </w:r>
          </w:p>
        </w:tc>
      </w:tr>
      <w:tr w:rsidR="00933851" w:rsidRPr="005F2205" w:rsidTr="00C347D7">
        <w:trPr>
          <w:trHeight w:val="285"/>
        </w:trPr>
        <w:tc>
          <w:tcPr>
            <w:tcW w:w="3322" w:type="dxa"/>
            <w:tcBorders>
              <w:top w:val="single" w:sz="4" w:space="0" w:color="auto"/>
              <w:left w:val="nil"/>
              <w:bottom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Vive bien</w:t>
            </w:r>
          </w:p>
        </w:tc>
        <w:tc>
          <w:tcPr>
            <w:tcW w:w="1299" w:type="dxa"/>
            <w:tcBorders>
              <w:top w:val="single" w:sz="4" w:space="0" w:color="auto"/>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5,34</w:t>
            </w:r>
          </w:p>
        </w:tc>
        <w:tc>
          <w:tcPr>
            <w:tcW w:w="1278" w:type="dxa"/>
            <w:tcBorders>
              <w:top w:val="single" w:sz="4" w:space="0" w:color="auto"/>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5,55</w:t>
            </w:r>
          </w:p>
        </w:tc>
        <w:tc>
          <w:tcPr>
            <w:tcW w:w="1297" w:type="dxa"/>
            <w:tcBorders>
              <w:top w:val="single" w:sz="4" w:space="0" w:color="auto"/>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9,76</w:t>
            </w:r>
          </w:p>
        </w:tc>
        <w:tc>
          <w:tcPr>
            <w:tcW w:w="1280" w:type="dxa"/>
            <w:tcBorders>
              <w:top w:val="single" w:sz="4" w:space="0" w:color="auto"/>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7,98</w:t>
            </w:r>
          </w:p>
        </w:tc>
      </w:tr>
      <w:tr w:rsidR="00933851" w:rsidRPr="005F2205" w:rsidTr="00C347D7">
        <w:trPr>
          <w:trHeight w:val="300"/>
        </w:trPr>
        <w:tc>
          <w:tcPr>
            <w:tcW w:w="3322" w:type="dxa"/>
            <w:tcBorders>
              <w:top w:val="nil"/>
              <w:left w:val="nil"/>
              <w:bottom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Ca va à peu près</w:t>
            </w:r>
          </w:p>
        </w:tc>
        <w:tc>
          <w:tcPr>
            <w:tcW w:w="1299"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35,62</w:t>
            </w:r>
          </w:p>
        </w:tc>
        <w:tc>
          <w:tcPr>
            <w:tcW w:w="1278"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29,01</w:t>
            </w:r>
          </w:p>
        </w:tc>
        <w:tc>
          <w:tcPr>
            <w:tcW w:w="1297"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41,20</w:t>
            </w:r>
          </w:p>
        </w:tc>
        <w:tc>
          <w:tcPr>
            <w:tcW w:w="1280"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41,99</w:t>
            </w:r>
          </w:p>
        </w:tc>
      </w:tr>
      <w:tr w:rsidR="00933851" w:rsidRPr="005F2205" w:rsidTr="00C347D7">
        <w:trPr>
          <w:trHeight w:val="285"/>
        </w:trPr>
        <w:tc>
          <w:tcPr>
            <w:tcW w:w="3322" w:type="dxa"/>
            <w:tcBorders>
              <w:left w:val="nil"/>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Ca va mais il faut faire attention</w:t>
            </w:r>
          </w:p>
        </w:tc>
        <w:tc>
          <w:tcPr>
            <w:tcW w:w="1299"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35,91</w:t>
            </w:r>
          </w:p>
        </w:tc>
        <w:tc>
          <w:tcPr>
            <w:tcW w:w="1278"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36,99</w:t>
            </w:r>
          </w:p>
        </w:tc>
        <w:tc>
          <w:tcPr>
            <w:tcW w:w="1297"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30,20</w:t>
            </w:r>
          </w:p>
        </w:tc>
        <w:tc>
          <w:tcPr>
            <w:tcW w:w="1280" w:type="dxa"/>
            <w:tcBorders>
              <w:top w:val="nil"/>
              <w:left w:val="nil"/>
              <w:bottom w:val="nil"/>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29,66</w:t>
            </w:r>
          </w:p>
        </w:tc>
      </w:tr>
      <w:tr w:rsidR="00933851" w:rsidRPr="005F2205" w:rsidTr="00376690">
        <w:trPr>
          <w:trHeight w:val="285"/>
        </w:trPr>
        <w:tc>
          <w:tcPr>
            <w:tcW w:w="3322" w:type="dxa"/>
            <w:tcBorders>
              <w:top w:val="nil"/>
              <w:left w:val="nil"/>
              <w:bottom w:val="single" w:sz="4" w:space="0" w:color="auto"/>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Vive difficilement</w:t>
            </w:r>
          </w:p>
        </w:tc>
        <w:tc>
          <w:tcPr>
            <w:tcW w:w="1299"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23,14</w:t>
            </w:r>
          </w:p>
        </w:tc>
        <w:tc>
          <w:tcPr>
            <w:tcW w:w="1278"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28,46</w:t>
            </w:r>
          </w:p>
        </w:tc>
        <w:tc>
          <w:tcPr>
            <w:tcW w:w="1297"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18,84</w:t>
            </w:r>
          </w:p>
        </w:tc>
        <w:tc>
          <w:tcPr>
            <w:tcW w:w="1280" w:type="dxa"/>
            <w:tcBorders>
              <w:top w:val="nil"/>
              <w:left w:val="nil"/>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20,37</w:t>
            </w:r>
          </w:p>
        </w:tc>
      </w:tr>
      <w:tr w:rsidR="00C347D7" w:rsidRPr="005F2205" w:rsidTr="00376690">
        <w:trPr>
          <w:trHeight w:val="285"/>
        </w:trPr>
        <w:tc>
          <w:tcPr>
            <w:tcW w:w="3322" w:type="dxa"/>
            <w:tcBorders>
              <w:top w:val="single" w:sz="4" w:space="0" w:color="auto"/>
              <w:bottom w:val="single" w:sz="4" w:space="0" w:color="auto"/>
            </w:tcBorders>
            <w:shd w:val="clear" w:color="auto" w:fill="auto"/>
            <w:hideMark/>
          </w:tcPr>
          <w:p w:rsidR="00314ED8" w:rsidRDefault="007C1557">
            <w:pPr>
              <w:spacing w:after="0" w:line="240" w:lineRule="auto"/>
              <w:rPr>
                <w:rFonts w:ascii="Arial" w:eastAsia="Times New Roman" w:hAnsi="Arial" w:cs="Arial"/>
                <w:color w:val="000000"/>
                <w:lang w:eastAsia="fr-FR"/>
              </w:rPr>
            </w:pPr>
            <w:r w:rsidRPr="007C1557">
              <w:rPr>
                <w:rFonts w:ascii="Arial" w:eastAsia="Times New Roman" w:hAnsi="Arial" w:cs="Arial"/>
                <w:color w:val="000000"/>
                <w:lang w:eastAsia="fr-FR"/>
              </w:rPr>
              <w:t> </w:t>
            </w:r>
          </w:p>
        </w:tc>
        <w:tc>
          <w:tcPr>
            <w:tcW w:w="1299" w:type="dxa"/>
            <w:tcBorders>
              <w:top w:val="single" w:sz="4" w:space="0" w:color="auto"/>
              <w:bottom w:val="single" w:sz="4" w:space="0" w:color="auto"/>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100,00</w:t>
            </w:r>
          </w:p>
        </w:tc>
        <w:tc>
          <w:tcPr>
            <w:tcW w:w="1278" w:type="dxa"/>
            <w:tcBorders>
              <w:top w:val="single" w:sz="4" w:space="0" w:color="auto"/>
              <w:bottom w:val="single" w:sz="4" w:space="0" w:color="auto"/>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100,00</w:t>
            </w:r>
          </w:p>
        </w:tc>
        <w:tc>
          <w:tcPr>
            <w:tcW w:w="1297" w:type="dxa"/>
            <w:tcBorders>
              <w:top w:val="single" w:sz="4" w:space="0" w:color="auto"/>
              <w:bottom w:val="single" w:sz="4" w:space="0" w:color="auto"/>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100,00</w:t>
            </w:r>
          </w:p>
        </w:tc>
        <w:tc>
          <w:tcPr>
            <w:tcW w:w="1280" w:type="dxa"/>
            <w:tcBorders>
              <w:top w:val="single" w:sz="4" w:space="0" w:color="auto"/>
              <w:bottom w:val="single" w:sz="4" w:space="0" w:color="auto"/>
              <w:right w:val="nil"/>
            </w:tcBorders>
            <w:shd w:val="clear" w:color="auto" w:fill="auto"/>
            <w:noWrap/>
            <w:vAlign w:val="bottom"/>
            <w:hideMark/>
          </w:tcPr>
          <w:p w:rsidR="00314ED8" w:rsidRDefault="007C1557">
            <w:pPr>
              <w:spacing w:after="0" w:line="240" w:lineRule="auto"/>
              <w:jc w:val="right"/>
              <w:rPr>
                <w:rFonts w:ascii="Arial" w:eastAsia="Times New Roman" w:hAnsi="Arial" w:cs="Arial"/>
                <w:color w:val="000000"/>
                <w:lang w:eastAsia="fr-FR"/>
              </w:rPr>
            </w:pPr>
            <w:r w:rsidRPr="007C1557">
              <w:rPr>
                <w:rFonts w:ascii="Arial" w:eastAsia="Times New Roman" w:hAnsi="Arial" w:cs="Arial"/>
                <w:color w:val="000000"/>
                <w:lang w:eastAsia="fr-FR"/>
              </w:rPr>
              <w:t>100,00</w:t>
            </w:r>
          </w:p>
        </w:tc>
      </w:tr>
    </w:tbl>
    <w:p w:rsidR="00314ED8" w:rsidRDefault="00314ED8">
      <w:pPr>
        <w:spacing w:after="0" w:line="240" w:lineRule="auto"/>
        <w:rPr>
          <w:rFonts w:ascii="Arial" w:eastAsia="Cambria" w:hAnsi="Arial" w:cs="Arial"/>
          <w:b/>
          <w:color w:val="FF0000"/>
          <w:kern w:val="1"/>
          <w:sz w:val="20"/>
          <w:szCs w:val="20"/>
        </w:rPr>
      </w:pPr>
    </w:p>
    <w:p w:rsidR="00314ED8" w:rsidRDefault="000E28C5">
      <w:pPr>
        <w:spacing w:after="0" w:line="240" w:lineRule="auto"/>
        <w:rPr>
          <w:rFonts w:ascii="Arial" w:eastAsia="Cambria" w:hAnsi="Arial" w:cs="Arial"/>
          <w:b/>
          <w:kern w:val="1"/>
        </w:rPr>
      </w:pPr>
      <w:bookmarkStart w:id="43" w:name="_Toc432425318"/>
      <w:r w:rsidRPr="00C216A8">
        <w:rPr>
          <w:rFonts w:ascii="Arial" w:hAnsi="Arial" w:cs="Arial"/>
        </w:rPr>
        <w:t xml:space="preserve">Tableau </w:t>
      </w:r>
      <w:r w:rsidR="00115FEB" w:rsidRPr="00C216A8">
        <w:rPr>
          <w:rFonts w:ascii="Arial" w:hAnsi="Arial" w:cs="Arial"/>
        </w:rPr>
        <w:fldChar w:fldCharType="begin"/>
      </w:r>
      <w:r w:rsidRPr="00C216A8">
        <w:rPr>
          <w:rFonts w:ascii="Arial" w:hAnsi="Arial" w:cs="Arial"/>
        </w:rPr>
        <w:instrText xml:space="preserve"> SEQ Tableau \* ARABIC </w:instrText>
      </w:r>
      <w:r w:rsidR="00115FEB" w:rsidRPr="00C216A8">
        <w:rPr>
          <w:rFonts w:ascii="Arial" w:hAnsi="Arial" w:cs="Arial"/>
        </w:rPr>
        <w:fldChar w:fldCharType="separate"/>
      </w:r>
      <w:r w:rsidR="00DB55D3">
        <w:rPr>
          <w:rFonts w:ascii="Arial" w:hAnsi="Arial" w:cs="Arial"/>
          <w:noProof/>
        </w:rPr>
        <w:t>14</w:t>
      </w:r>
      <w:r w:rsidR="00115FEB" w:rsidRPr="00C216A8">
        <w:rPr>
          <w:rFonts w:ascii="Arial" w:hAnsi="Arial" w:cs="Arial"/>
        </w:rPr>
        <w:fldChar w:fldCharType="end"/>
      </w:r>
      <w:r w:rsidR="007C1557" w:rsidRPr="007C1557">
        <w:rPr>
          <w:rFonts w:ascii="Arial" w:eastAsia="Cambria" w:hAnsi="Arial" w:cs="Arial"/>
          <w:b/>
          <w:kern w:val="1"/>
        </w:rPr>
        <w:t>: Décomposition des inégalités en composantes inter et intra groupe.</w:t>
      </w:r>
      <w:bookmarkEnd w:id="43"/>
    </w:p>
    <w:tbl>
      <w:tblPr>
        <w:tblW w:w="9229" w:type="dxa"/>
        <w:tblInd w:w="55" w:type="dxa"/>
        <w:tblCellMar>
          <w:left w:w="70" w:type="dxa"/>
          <w:right w:w="70" w:type="dxa"/>
        </w:tblCellMar>
        <w:tblLook w:val="04A0" w:firstRow="1" w:lastRow="0" w:firstColumn="1" w:lastColumn="0" w:noHBand="0" w:noVBand="1"/>
      </w:tblPr>
      <w:tblGrid>
        <w:gridCol w:w="2146"/>
        <w:gridCol w:w="1490"/>
        <w:gridCol w:w="1192"/>
        <w:gridCol w:w="1679"/>
        <w:gridCol w:w="1327"/>
        <w:gridCol w:w="1397"/>
      </w:tblGrid>
      <w:tr w:rsidR="000D66C4" w:rsidRPr="0020261B" w:rsidTr="000D66C4">
        <w:trPr>
          <w:trHeight w:val="900"/>
        </w:trPr>
        <w:tc>
          <w:tcPr>
            <w:tcW w:w="2146"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 </w:t>
            </w:r>
          </w:p>
        </w:tc>
        <w:tc>
          <w:tcPr>
            <w:tcW w:w="1490"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Indice de Gini</w:t>
            </w:r>
          </w:p>
        </w:tc>
        <w:tc>
          <w:tcPr>
            <w:tcW w:w="1192" w:type="dxa"/>
            <w:tcBorders>
              <w:top w:val="single" w:sz="4" w:space="0" w:color="auto"/>
              <w:left w:val="nil"/>
              <w:bottom w:val="single" w:sz="4" w:space="0" w:color="auto"/>
              <w:right w:val="nil"/>
            </w:tcBorders>
            <w:shd w:val="clear" w:color="auto" w:fill="auto"/>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Poids dans la population</w:t>
            </w:r>
          </w:p>
        </w:tc>
        <w:tc>
          <w:tcPr>
            <w:tcW w:w="1679" w:type="dxa"/>
            <w:tcBorders>
              <w:top w:val="single" w:sz="4" w:space="0" w:color="auto"/>
              <w:left w:val="nil"/>
              <w:bottom w:val="single" w:sz="4" w:space="0" w:color="auto"/>
              <w:right w:val="nil"/>
            </w:tcBorders>
            <w:shd w:val="clear" w:color="auto" w:fill="auto"/>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Poids dans les dépenses de consommation</w:t>
            </w:r>
          </w:p>
        </w:tc>
        <w:tc>
          <w:tcPr>
            <w:tcW w:w="1325" w:type="dxa"/>
            <w:tcBorders>
              <w:top w:val="single" w:sz="4" w:space="0" w:color="auto"/>
              <w:left w:val="nil"/>
              <w:bottom w:val="single" w:sz="4" w:space="0" w:color="auto"/>
              <w:right w:val="nil"/>
            </w:tcBorders>
            <w:shd w:val="clear" w:color="auto" w:fill="auto"/>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Contribution absolue</w:t>
            </w:r>
          </w:p>
        </w:tc>
        <w:tc>
          <w:tcPr>
            <w:tcW w:w="1397" w:type="dxa"/>
            <w:tcBorders>
              <w:top w:val="single" w:sz="4" w:space="0" w:color="auto"/>
              <w:left w:val="nil"/>
              <w:bottom w:val="single" w:sz="4" w:space="0" w:color="auto"/>
              <w:right w:val="nil"/>
            </w:tcBorders>
            <w:shd w:val="clear" w:color="auto" w:fill="auto"/>
            <w:vAlign w:val="bottom"/>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Contribution relative</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Alibori</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0,394</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0,106</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0,072</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0,006</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Atacora</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0,436</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0,087</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0,058</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0,002</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0,005</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Atlantique</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0,345</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0,122</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0,134</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0,006</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0,012</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Borgou</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0,499</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0,157</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0,127</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0,010</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0,021</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lastRenderedPageBreak/>
              <w:t>Collines</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0,460</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0,077</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0,077</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0,006</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Couffo</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0,408</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0,070</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0,054</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0,002</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Donga</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0,414</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0,067</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0,048</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0,001</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Littoral</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0,405</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0,055</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0,137</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0,007</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Mono</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0,401</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0,043</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0,039</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0,001</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0,001</w:t>
            </w:r>
          </w:p>
        </w:tc>
      </w:tr>
      <w:tr w:rsidR="0020261B" w:rsidRPr="0020261B" w:rsidTr="000D66C4">
        <w:trPr>
          <w:trHeight w:val="300"/>
        </w:trPr>
        <w:tc>
          <w:tcPr>
            <w:tcW w:w="2146" w:type="dxa"/>
            <w:tcBorders>
              <w:top w:val="nil"/>
              <w:left w:val="nil"/>
              <w:bottom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Ouémé</w:t>
            </w:r>
          </w:p>
        </w:tc>
        <w:tc>
          <w:tcPr>
            <w:tcW w:w="1490"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0,485</w:t>
            </w:r>
          </w:p>
        </w:tc>
        <w:tc>
          <w:tcPr>
            <w:tcW w:w="1192"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0,075</w:t>
            </w:r>
          </w:p>
        </w:tc>
        <w:tc>
          <w:tcPr>
            <w:tcW w:w="1679"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0,123</w:t>
            </w:r>
          </w:p>
        </w:tc>
        <w:tc>
          <w:tcPr>
            <w:tcW w:w="1325"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0,005</w:t>
            </w:r>
          </w:p>
        </w:tc>
        <w:tc>
          <w:tcPr>
            <w:tcW w:w="1397" w:type="dxa"/>
            <w:tcBorders>
              <w:top w:val="nil"/>
              <w:left w:val="nil"/>
              <w:bottom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0,010</w:t>
            </w:r>
          </w:p>
        </w:tc>
      </w:tr>
      <w:tr w:rsidR="0020261B" w:rsidRPr="0020261B" w:rsidTr="000D66C4">
        <w:trPr>
          <w:trHeight w:val="300"/>
        </w:trPr>
        <w:tc>
          <w:tcPr>
            <w:tcW w:w="2146" w:type="dxa"/>
            <w:tcBorders>
              <w:top w:val="nil"/>
              <w:left w:val="nil"/>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Plateau</w:t>
            </w:r>
          </w:p>
        </w:tc>
        <w:tc>
          <w:tcPr>
            <w:tcW w:w="1490" w:type="dxa"/>
            <w:tcBorders>
              <w:top w:val="nil"/>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0,372</w:t>
            </w:r>
          </w:p>
        </w:tc>
        <w:tc>
          <w:tcPr>
            <w:tcW w:w="1192" w:type="dxa"/>
            <w:tcBorders>
              <w:top w:val="nil"/>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0,054</w:t>
            </w:r>
          </w:p>
        </w:tc>
        <w:tc>
          <w:tcPr>
            <w:tcW w:w="1679" w:type="dxa"/>
            <w:tcBorders>
              <w:top w:val="nil"/>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0,051</w:t>
            </w:r>
          </w:p>
        </w:tc>
        <w:tc>
          <w:tcPr>
            <w:tcW w:w="1325" w:type="dxa"/>
            <w:tcBorders>
              <w:top w:val="nil"/>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0,001</w:t>
            </w:r>
          </w:p>
        </w:tc>
        <w:tc>
          <w:tcPr>
            <w:tcW w:w="1397" w:type="dxa"/>
            <w:tcBorders>
              <w:top w:val="nil"/>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0,002</w:t>
            </w:r>
          </w:p>
        </w:tc>
      </w:tr>
      <w:tr w:rsidR="0020261B" w:rsidRPr="0020261B" w:rsidTr="000D66C4">
        <w:trPr>
          <w:trHeight w:val="300"/>
        </w:trPr>
        <w:tc>
          <w:tcPr>
            <w:tcW w:w="2146" w:type="dxa"/>
            <w:tcBorders>
              <w:top w:val="nil"/>
              <w:left w:val="nil"/>
              <w:bottom w:val="single" w:sz="4" w:space="0" w:color="auto"/>
              <w:right w:val="nil"/>
            </w:tcBorders>
            <w:shd w:val="clear" w:color="auto" w:fill="auto"/>
            <w:hideMark/>
          </w:tcPr>
          <w:p w:rsidR="00314ED8" w:rsidRDefault="0020261B">
            <w:pPr>
              <w:spacing w:after="0" w:line="240" w:lineRule="auto"/>
              <w:rPr>
                <w:rFonts w:ascii="Arial" w:eastAsia="Times New Roman" w:hAnsi="Arial" w:cs="Arial"/>
                <w:color w:val="000000"/>
                <w:lang w:eastAsia="fr-FR"/>
              </w:rPr>
            </w:pPr>
            <w:r w:rsidRPr="0020261B">
              <w:rPr>
                <w:rFonts w:ascii="Arial" w:eastAsia="Times New Roman" w:hAnsi="Arial" w:cs="Arial"/>
                <w:color w:val="000000"/>
                <w:lang w:eastAsia="fr-FR"/>
              </w:rPr>
              <w:t>Zou</w:t>
            </w:r>
          </w:p>
        </w:tc>
        <w:tc>
          <w:tcPr>
            <w:tcW w:w="1490"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0,477</w:t>
            </w:r>
          </w:p>
        </w:tc>
        <w:tc>
          <w:tcPr>
            <w:tcW w:w="1192"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0,086</w:t>
            </w:r>
          </w:p>
        </w:tc>
        <w:tc>
          <w:tcPr>
            <w:tcW w:w="1679"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0,080</w:t>
            </w:r>
          </w:p>
        </w:tc>
        <w:tc>
          <w:tcPr>
            <w:tcW w:w="1325"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0,003</w:t>
            </w:r>
          </w:p>
        </w:tc>
        <w:tc>
          <w:tcPr>
            <w:tcW w:w="1397"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0,007</w:t>
            </w:r>
          </w:p>
        </w:tc>
      </w:tr>
      <w:tr w:rsidR="000D66C4" w:rsidRPr="0020261B" w:rsidTr="000D66C4">
        <w:trPr>
          <w:trHeight w:val="300"/>
        </w:trPr>
        <w:tc>
          <w:tcPr>
            <w:tcW w:w="2146" w:type="dxa"/>
            <w:tcBorders>
              <w:top w:val="single" w:sz="4" w:space="0" w:color="auto"/>
              <w:left w:val="nil"/>
              <w:right w:val="nil"/>
            </w:tcBorders>
            <w:shd w:val="clear" w:color="auto" w:fill="auto"/>
            <w:hideMark/>
          </w:tcPr>
          <w:p w:rsidR="00314ED8" w:rsidRDefault="00673E8F">
            <w:pPr>
              <w:spacing w:after="0" w:line="240" w:lineRule="auto"/>
              <w:jc w:val="both"/>
              <w:rPr>
                <w:rFonts w:ascii="Arial" w:eastAsia="Times New Roman" w:hAnsi="Arial" w:cs="Arial"/>
                <w:color w:val="000000"/>
                <w:lang w:eastAsia="fr-FR"/>
              </w:rPr>
            </w:pPr>
            <w:r w:rsidRPr="0020261B">
              <w:rPr>
                <w:rFonts w:ascii="Arial" w:eastAsia="Times New Roman" w:hAnsi="Arial" w:cs="Arial"/>
                <w:color w:val="000000"/>
                <w:lang w:eastAsia="fr-FR"/>
              </w:rPr>
              <w:t>Inégalité</w:t>
            </w:r>
            <w:r w:rsidR="0020261B" w:rsidRPr="0020261B">
              <w:rPr>
                <w:rFonts w:ascii="Arial" w:eastAsia="Times New Roman" w:hAnsi="Arial" w:cs="Arial"/>
                <w:color w:val="000000"/>
                <w:lang w:eastAsia="fr-FR"/>
              </w:rPr>
              <w:t>intra-groupe</w:t>
            </w:r>
          </w:p>
        </w:tc>
        <w:tc>
          <w:tcPr>
            <w:tcW w:w="1490" w:type="dxa"/>
            <w:tcBorders>
              <w:top w:val="single" w:sz="4" w:space="0" w:color="auto"/>
              <w:left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192" w:type="dxa"/>
            <w:tcBorders>
              <w:top w:val="single" w:sz="4" w:space="0" w:color="auto"/>
              <w:left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679" w:type="dxa"/>
            <w:tcBorders>
              <w:top w:val="single" w:sz="4" w:space="0" w:color="auto"/>
              <w:left w:val="nil"/>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325" w:type="dxa"/>
            <w:tcBorders>
              <w:top w:val="single" w:sz="4" w:space="0" w:color="auto"/>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0,039</w:t>
            </w:r>
          </w:p>
        </w:tc>
        <w:tc>
          <w:tcPr>
            <w:tcW w:w="1397" w:type="dxa"/>
            <w:tcBorders>
              <w:top w:val="single" w:sz="4" w:space="0" w:color="auto"/>
              <w:left w:val="nil"/>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0,083</w:t>
            </w:r>
          </w:p>
        </w:tc>
      </w:tr>
      <w:tr w:rsidR="000D66C4" w:rsidRPr="0020261B" w:rsidTr="000D66C4">
        <w:trPr>
          <w:trHeight w:val="300"/>
        </w:trPr>
        <w:tc>
          <w:tcPr>
            <w:tcW w:w="2146" w:type="dxa"/>
            <w:tcBorders>
              <w:top w:val="nil"/>
              <w:left w:val="nil"/>
              <w:bottom w:val="single" w:sz="4" w:space="0" w:color="auto"/>
              <w:right w:val="nil"/>
            </w:tcBorders>
            <w:shd w:val="clear" w:color="auto" w:fill="auto"/>
            <w:hideMark/>
          </w:tcPr>
          <w:p w:rsidR="00314ED8" w:rsidRDefault="0020261B">
            <w:pPr>
              <w:spacing w:after="0" w:line="240" w:lineRule="auto"/>
              <w:jc w:val="both"/>
              <w:rPr>
                <w:rFonts w:ascii="Arial" w:eastAsia="Times New Roman" w:hAnsi="Arial" w:cs="Arial"/>
                <w:color w:val="000000"/>
                <w:lang w:eastAsia="fr-FR"/>
              </w:rPr>
            </w:pPr>
            <w:r w:rsidRPr="0020261B">
              <w:rPr>
                <w:rFonts w:ascii="Arial" w:eastAsia="Times New Roman" w:hAnsi="Arial" w:cs="Arial"/>
                <w:color w:val="000000"/>
                <w:lang w:eastAsia="fr-FR"/>
              </w:rPr>
              <w:t>Inégaliteinter-groupe</w:t>
            </w:r>
          </w:p>
        </w:tc>
        <w:tc>
          <w:tcPr>
            <w:tcW w:w="1490" w:type="dxa"/>
            <w:tcBorders>
              <w:top w:val="nil"/>
              <w:left w:val="nil"/>
              <w:bottom w:val="single" w:sz="4" w:space="0" w:color="auto"/>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192" w:type="dxa"/>
            <w:tcBorders>
              <w:top w:val="nil"/>
              <w:left w:val="nil"/>
              <w:bottom w:val="single" w:sz="4" w:space="0" w:color="auto"/>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679" w:type="dxa"/>
            <w:tcBorders>
              <w:top w:val="nil"/>
              <w:left w:val="nil"/>
              <w:bottom w:val="single" w:sz="4" w:space="0" w:color="auto"/>
              <w:right w:val="nil"/>
            </w:tcBorders>
            <w:shd w:val="clear" w:color="auto" w:fill="auto"/>
            <w:noWrap/>
            <w:vAlign w:val="bottom"/>
            <w:hideMark/>
          </w:tcPr>
          <w:p w:rsidR="00314ED8" w:rsidRDefault="00314ED8">
            <w:pPr>
              <w:spacing w:after="0" w:line="240" w:lineRule="auto"/>
              <w:jc w:val="center"/>
              <w:rPr>
                <w:rFonts w:ascii="Arial" w:eastAsia="Times New Roman" w:hAnsi="Arial" w:cs="Arial"/>
                <w:color w:val="000000"/>
                <w:lang w:eastAsia="fr-FR"/>
              </w:rPr>
            </w:pPr>
          </w:p>
        </w:tc>
        <w:tc>
          <w:tcPr>
            <w:tcW w:w="1325"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0,389</w:t>
            </w:r>
          </w:p>
        </w:tc>
        <w:tc>
          <w:tcPr>
            <w:tcW w:w="1397" w:type="dxa"/>
            <w:tcBorders>
              <w:top w:val="nil"/>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color w:val="000000"/>
                <w:lang w:eastAsia="fr-FR"/>
              </w:rPr>
            </w:pPr>
            <w:r w:rsidRPr="0020261B">
              <w:rPr>
                <w:rFonts w:ascii="Arial" w:eastAsia="Times New Roman" w:hAnsi="Arial" w:cs="Arial"/>
                <w:color w:val="000000"/>
                <w:lang w:eastAsia="fr-FR"/>
              </w:rPr>
              <w:t>0,917</w:t>
            </w:r>
          </w:p>
        </w:tc>
      </w:tr>
      <w:tr w:rsidR="000D66C4" w:rsidRPr="0020261B" w:rsidTr="000D66C4">
        <w:trPr>
          <w:trHeight w:val="300"/>
        </w:trPr>
        <w:tc>
          <w:tcPr>
            <w:tcW w:w="2146" w:type="dxa"/>
            <w:tcBorders>
              <w:top w:val="single" w:sz="4" w:space="0" w:color="auto"/>
              <w:left w:val="nil"/>
              <w:bottom w:val="single" w:sz="4" w:space="0" w:color="auto"/>
              <w:right w:val="nil"/>
            </w:tcBorders>
            <w:shd w:val="clear" w:color="auto" w:fill="auto"/>
            <w:hideMark/>
          </w:tcPr>
          <w:p w:rsidR="00314ED8" w:rsidRDefault="005F2205">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Ensemble</w:t>
            </w:r>
          </w:p>
        </w:tc>
        <w:tc>
          <w:tcPr>
            <w:tcW w:w="1490"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b/>
                <w:bCs/>
                <w:color w:val="000000"/>
                <w:lang w:eastAsia="fr-FR"/>
              </w:rPr>
            </w:pPr>
            <w:r w:rsidRPr="0020261B">
              <w:rPr>
                <w:rFonts w:ascii="Arial" w:eastAsia="Times New Roman" w:hAnsi="Arial" w:cs="Arial"/>
                <w:b/>
                <w:bCs/>
                <w:color w:val="000000"/>
                <w:lang w:eastAsia="fr-FR"/>
              </w:rPr>
              <w:t>0,470</w:t>
            </w:r>
          </w:p>
        </w:tc>
        <w:tc>
          <w:tcPr>
            <w:tcW w:w="1192"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b/>
                <w:bCs/>
                <w:color w:val="000000"/>
                <w:lang w:eastAsia="fr-FR"/>
              </w:rPr>
            </w:pPr>
            <w:r w:rsidRPr="0020261B">
              <w:rPr>
                <w:rFonts w:ascii="Arial" w:eastAsia="Times New Roman" w:hAnsi="Arial" w:cs="Arial"/>
                <w:b/>
                <w:bCs/>
                <w:color w:val="000000"/>
                <w:lang w:eastAsia="fr-FR"/>
              </w:rPr>
              <w:t>1,000</w:t>
            </w:r>
          </w:p>
        </w:tc>
        <w:tc>
          <w:tcPr>
            <w:tcW w:w="1679"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b/>
                <w:bCs/>
                <w:color w:val="000000"/>
                <w:lang w:eastAsia="fr-FR"/>
              </w:rPr>
            </w:pPr>
            <w:r w:rsidRPr="0020261B">
              <w:rPr>
                <w:rFonts w:ascii="Arial" w:eastAsia="Times New Roman" w:hAnsi="Arial" w:cs="Arial"/>
                <w:b/>
                <w:bCs/>
                <w:color w:val="000000"/>
                <w:lang w:eastAsia="fr-FR"/>
              </w:rPr>
              <w:t>1,000</w:t>
            </w:r>
          </w:p>
        </w:tc>
        <w:tc>
          <w:tcPr>
            <w:tcW w:w="1325"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b/>
                <w:bCs/>
                <w:color w:val="000000"/>
                <w:lang w:eastAsia="fr-FR"/>
              </w:rPr>
            </w:pPr>
            <w:r w:rsidRPr="0020261B">
              <w:rPr>
                <w:rFonts w:ascii="Arial" w:eastAsia="Times New Roman" w:hAnsi="Arial" w:cs="Arial"/>
                <w:b/>
                <w:bCs/>
                <w:color w:val="000000"/>
                <w:lang w:eastAsia="fr-FR"/>
              </w:rPr>
              <w:t>0,470</w:t>
            </w:r>
          </w:p>
        </w:tc>
        <w:tc>
          <w:tcPr>
            <w:tcW w:w="1397" w:type="dxa"/>
            <w:tcBorders>
              <w:top w:val="single" w:sz="4" w:space="0" w:color="auto"/>
              <w:left w:val="nil"/>
              <w:bottom w:val="single" w:sz="4" w:space="0" w:color="auto"/>
              <w:right w:val="nil"/>
            </w:tcBorders>
            <w:shd w:val="clear" w:color="auto" w:fill="auto"/>
            <w:noWrap/>
            <w:vAlign w:val="bottom"/>
            <w:hideMark/>
          </w:tcPr>
          <w:p w:rsidR="00314ED8" w:rsidRDefault="0020261B">
            <w:pPr>
              <w:spacing w:after="0" w:line="240" w:lineRule="auto"/>
              <w:jc w:val="center"/>
              <w:rPr>
                <w:rFonts w:ascii="Arial" w:eastAsia="Times New Roman" w:hAnsi="Arial" w:cs="Arial"/>
                <w:b/>
                <w:bCs/>
                <w:color w:val="000000"/>
                <w:lang w:eastAsia="fr-FR"/>
              </w:rPr>
            </w:pPr>
            <w:r w:rsidRPr="0020261B">
              <w:rPr>
                <w:rFonts w:ascii="Arial" w:eastAsia="Times New Roman" w:hAnsi="Arial" w:cs="Arial"/>
                <w:b/>
                <w:bCs/>
                <w:color w:val="000000"/>
                <w:lang w:eastAsia="fr-FR"/>
              </w:rPr>
              <w:t>1,000</w:t>
            </w:r>
          </w:p>
        </w:tc>
      </w:tr>
    </w:tbl>
    <w:p w:rsidR="00314ED8" w:rsidRDefault="000E28C5">
      <w:pPr>
        <w:pStyle w:val="Lgende"/>
        <w:jc w:val="left"/>
        <w:rPr>
          <w:rFonts w:ascii="Arial" w:hAnsi="Arial" w:cs="Arial"/>
          <w:sz w:val="22"/>
          <w:szCs w:val="22"/>
        </w:rPr>
      </w:pPr>
      <w:bookmarkStart w:id="44" w:name="_Toc432425319"/>
      <w:r w:rsidRPr="00C216A8">
        <w:rPr>
          <w:rFonts w:ascii="Arial" w:hAnsi="Arial" w:cs="Arial"/>
          <w:sz w:val="22"/>
          <w:szCs w:val="22"/>
        </w:rPr>
        <w:t xml:space="preserve">Tableau </w:t>
      </w:r>
      <w:r w:rsidR="00115FEB" w:rsidRPr="00C216A8">
        <w:rPr>
          <w:rFonts w:ascii="Arial" w:hAnsi="Arial" w:cs="Arial"/>
          <w:sz w:val="22"/>
          <w:szCs w:val="22"/>
        </w:rPr>
        <w:fldChar w:fldCharType="begin"/>
      </w:r>
      <w:r w:rsidRPr="00C216A8">
        <w:rPr>
          <w:rFonts w:ascii="Arial" w:hAnsi="Arial" w:cs="Arial"/>
          <w:sz w:val="22"/>
          <w:szCs w:val="22"/>
        </w:rPr>
        <w:instrText xml:space="preserve"> SEQ Tableau \* ARABIC </w:instrText>
      </w:r>
      <w:r w:rsidR="00115FEB" w:rsidRPr="00C216A8">
        <w:rPr>
          <w:rFonts w:ascii="Arial" w:hAnsi="Arial" w:cs="Arial"/>
          <w:sz w:val="22"/>
          <w:szCs w:val="22"/>
        </w:rPr>
        <w:fldChar w:fldCharType="separate"/>
      </w:r>
      <w:r w:rsidR="00DB55D3">
        <w:rPr>
          <w:rFonts w:ascii="Arial" w:hAnsi="Arial" w:cs="Arial"/>
          <w:noProof/>
          <w:sz w:val="22"/>
          <w:szCs w:val="22"/>
        </w:rPr>
        <w:t>15</w:t>
      </w:r>
      <w:r w:rsidR="00115FEB" w:rsidRPr="00C216A8">
        <w:rPr>
          <w:rFonts w:ascii="Arial" w:hAnsi="Arial" w:cs="Arial"/>
          <w:sz w:val="22"/>
          <w:szCs w:val="22"/>
        </w:rPr>
        <w:fldChar w:fldCharType="end"/>
      </w:r>
      <w:r w:rsidRPr="007C1557">
        <w:rPr>
          <w:rFonts w:ascii="Arial" w:hAnsi="Arial" w:cs="Arial"/>
          <w:sz w:val="22"/>
          <w:szCs w:val="22"/>
        </w:rPr>
        <w:t>:</w:t>
      </w:r>
      <w:r w:rsidR="007C1557" w:rsidRPr="007C1557">
        <w:rPr>
          <w:rFonts w:ascii="Arial" w:hAnsi="Arial" w:cs="Arial"/>
          <w:sz w:val="22"/>
          <w:szCs w:val="22"/>
        </w:rPr>
        <w:t xml:space="preserve"> Incidence de pauvreté monétaire des communes entre 20</w:t>
      </w:r>
      <w:r w:rsidR="00F84C66">
        <w:rPr>
          <w:rFonts w:ascii="Arial" w:hAnsi="Arial" w:cs="Arial"/>
          <w:sz w:val="22"/>
          <w:szCs w:val="22"/>
        </w:rPr>
        <w:t>11</w:t>
      </w:r>
      <w:r w:rsidR="007C1557" w:rsidRPr="007C1557">
        <w:rPr>
          <w:rFonts w:ascii="Arial" w:hAnsi="Arial" w:cs="Arial"/>
          <w:sz w:val="22"/>
          <w:szCs w:val="22"/>
        </w:rPr>
        <w:t xml:space="preserve"> et 201</w:t>
      </w:r>
      <w:r w:rsidR="00F84C66">
        <w:rPr>
          <w:rFonts w:ascii="Arial" w:hAnsi="Arial" w:cs="Arial"/>
          <w:sz w:val="22"/>
          <w:szCs w:val="22"/>
        </w:rPr>
        <w:t>5</w:t>
      </w:r>
      <w:bookmarkEnd w:id="44"/>
    </w:p>
    <w:tbl>
      <w:tblPr>
        <w:tblW w:w="8710" w:type="dxa"/>
        <w:tblInd w:w="55" w:type="dxa"/>
        <w:tblCellMar>
          <w:left w:w="70" w:type="dxa"/>
          <w:right w:w="70" w:type="dxa"/>
        </w:tblCellMar>
        <w:tblLook w:val="04A0" w:firstRow="1" w:lastRow="0" w:firstColumn="1" w:lastColumn="0" w:noHBand="0" w:noVBand="1"/>
      </w:tblPr>
      <w:tblGrid>
        <w:gridCol w:w="3884"/>
        <w:gridCol w:w="2262"/>
        <w:gridCol w:w="2564"/>
      </w:tblGrid>
      <w:tr w:rsidR="0097394E" w:rsidRPr="00F84C66" w:rsidTr="00237E2B">
        <w:trPr>
          <w:trHeight w:val="736"/>
          <w:tblHeader/>
        </w:trPr>
        <w:tc>
          <w:tcPr>
            <w:tcW w:w="3884" w:type="dxa"/>
            <w:tcBorders>
              <w:top w:val="single" w:sz="4" w:space="0" w:color="auto"/>
              <w:bottom w:val="single" w:sz="4" w:space="0" w:color="auto"/>
            </w:tcBorders>
            <w:shd w:val="clear" w:color="auto" w:fill="auto"/>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 </w:t>
            </w:r>
          </w:p>
        </w:tc>
        <w:tc>
          <w:tcPr>
            <w:tcW w:w="2262" w:type="dxa"/>
            <w:tcBorders>
              <w:top w:val="single" w:sz="4" w:space="0" w:color="auto"/>
              <w:bottom w:val="single" w:sz="4" w:space="0" w:color="auto"/>
            </w:tcBorders>
            <w:shd w:val="clear" w:color="auto" w:fill="auto"/>
            <w:hideMark/>
          </w:tcPr>
          <w:p w:rsidR="00314ED8" w:rsidRDefault="005F2205">
            <w:pPr>
              <w:spacing w:after="0" w:line="240" w:lineRule="auto"/>
              <w:jc w:val="center"/>
              <w:rPr>
                <w:rFonts w:ascii="Arial" w:eastAsia="Times New Roman" w:hAnsi="Arial" w:cs="Arial"/>
                <w:b/>
                <w:color w:val="000000"/>
                <w:sz w:val="20"/>
                <w:szCs w:val="20"/>
                <w:lang w:eastAsia="fr-FR"/>
              </w:rPr>
            </w:pPr>
            <w:r w:rsidRPr="005D6C4C">
              <w:rPr>
                <w:rFonts w:ascii="Arial" w:eastAsia="Times New Roman" w:hAnsi="Arial" w:cs="Arial"/>
                <w:b/>
                <w:color w:val="000000"/>
                <w:sz w:val="20"/>
                <w:szCs w:val="20"/>
                <w:lang w:eastAsia="fr-FR"/>
              </w:rPr>
              <w:t xml:space="preserve">Incidence de la </w:t>
            </w:r>
            <w:r w:rsidR="007C1557" w:rsidRPr="007C1557">
              <w:rPr>
                <w:rFonts w:ascii="Arial" w:eastAsia="Times New Roman" w:hAnsi="Arial" w:cs="Arial"/>
                <w:b/>
                <w:color w:val="000000"/>
                <w:sz w:val="20"/>
                <w:szCs w:val="20"/>
                <w:lang w:eastAsia="fr-FR"/>
              </w:rPr>
              <w:t>pauvreté monétaire 2011</w:t>
            </w:r>
          </w:p>
        </w:tc>
        <w:tc>
          <w:tcPr>
            <w:tcW w:w="2564" w:type="dxa"/>
            <w:tcBorders>
              <w:top w:val="single" w:sz="4" w:space="0" w:color="auto"/>
              <w:bottom w:val="single" w:sz="4" w:space="0" w:color="auto"/>
            </w:tcBorders>
            <w:shd w:val="clear" w:color="auto" w:fill="auto"/>
            <w:hideMark/>
          </w:tcPr>
          <w:p w:rsidR="00314ED8" w:rsidRDefault="007C1557">
            <w:pPr>
              <w:spacing w:after="0" w:line="240" w:lineRule="auto"/>
              <w:jc w:val="center"/>
              <w:rPr>
                <w:rFonts w:ascii="Arial" w:eastAsia="Times New Roman" w:hAnsi="Arial" w:cs="Arial"/>
                <w:b/>
                <w:color w:val="000000"/>
                <w:sz w:val="20"/>
                <w:szCs w:val="20"/>
                <w:lang w:eastAsia="fr-FR"/>
              </w:rPr>
            </w:pPr>
            <w:r w:rsidRPr="007C1557">
              <w:rPr>
                <w:rFonts w:ascii="Arial" w:eastAsia="Times New Roman" w:hAnsi="Arial" w:cs="Arial"/>
                <w:b/>
                <w:color w:val="000000"/>
                <w:sz w:val="20"/>
                <w:szCs w:val="20"/>
                <w:lang w:eastAsia="fr-FR"/>
              </w:rPr>
              <w:t>Incidence de la pauvreté monétaire 2015</w:t>
            </w:r>
          </w:p>
        </w:tc>
      </w:tr>
      <w:tr w:rsidR="0097394E" w:rsidRPr="00F84C66" w:rsidTr="005F2205">
        <w:trPr>
          <w:trHeight w:val="303"/>
        </w:trPr>
        <w:tc>
          <w:tcPr>
            <w:tcW w:w="3884" w:type="dxa"/>
            <w:tcBorders>
              <w:top w:val="single" w:sz="4" w:space="0" w:color="auto"/>
            </w:tcBorders>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Abomey</w:t>
            </w:r>
          </w:p>
        </w:tc>
        <w:tc>
          <w:tcPr>
            <w:tcW w:w="2262" w:type="dxa"/>
            <w:tcBorders>
              <w:top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29,47</w:t>
            </w:r>
          </w:p>
        </w:tc>
        <w:tc>
          <w:tcPr>
            <w:tcW w:w="2564" w:type="dxa"/>
            <w:tcBorders>
              <w:top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30,44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Abomey-Calavi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18,36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41,63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Adja-Ouere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31,64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36,92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Adjarra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34,81</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50,42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Adjohoun</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20,18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47,80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Agbangnizoun</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42,95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49,42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Aguegues</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32,2</w:t>
            </w:r>
            <w:r w:rsidR="00E414BB">
              <w:rPr>
                <w:rFonts w:ascii="Arial" w:eastAsia="Times New Roman" w:hAnsi="Arial" w:cs="Arial"/>
                <w:color w:val="000000"/>
                <w:sz w:val="20"/>
                <w:szCs w:val="20"/>
                <w:lang w:eastAsia="fr-FR"/>
              </w:rPr>
              <w:t>0</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44,91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Akpro-Misserete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34,26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34,00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Allada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46,88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39,05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Aplahoue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49,77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49,33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Athieme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50,43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38,68</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Avrankou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24,25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45,16</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Banikoara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27,55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51,74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Bante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44,88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33,39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Bassila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32,14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37,83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Bembereke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28,26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24,37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Bohicon</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40,1</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43,64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Bonou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39,86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37,77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Bopa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43,52</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52,68</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Boukoumbe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47,48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58,53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Cobly</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34,81</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58,57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Come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45,18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46,52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Copargo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45,54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64,79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Cotonou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25,88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34,65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Cove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54,78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48,45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Dangbo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40,64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Dassa-Zoume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44,98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52,13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Djakotomey</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55,18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24,85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Djidja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38,23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33,19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Djougou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39,83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30,62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Dogbo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49,83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44,18</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Glazoue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54,8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46,97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lastRenderedPageBreak/>
              <w:t>Gogounou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33,65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49,81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Grand-Popo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47,67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52,84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Houeyogbe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41,19</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51,49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Ifangni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33,36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42,55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Kalale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37,85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36,04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Kandi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31,79</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49,82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Karimama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53,74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55,11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Kérou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35,82</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52,70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Ketou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42,25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Klouékanme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38,39</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47,30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Kouandé</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50,88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48,57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Kpomasse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40,34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Lalo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39,57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49,96</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Lokossa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38,05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47,42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Malanville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42,46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25,90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Matéri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31,26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25,73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Natitingou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40,06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46,25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N'dali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33,02</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47,83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Nikki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43,87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41,31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Ouake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20,24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48,80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Ouesse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50,48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47,35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Ouidah</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54,03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48,94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Ouinhi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43,98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31,90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Parakou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22,53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32,81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Péhunco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47,13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38,84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Perere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28,08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30,99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Pobe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44,67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23,93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Porto-Novo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19,06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36,08</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Sakete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35,69</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32,79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Savalou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45,55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22,47</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Save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30,18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24,12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Ségbana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48,04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34,50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Seme-Kpodji</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19,3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38,42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Sinende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28,93</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31,16</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So-Ava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60,98</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49,59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Tanguiéta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33,94</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34,94</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Tchaourou</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34,11</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32,42</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Toffo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56,96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46,90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Torri-Bossito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51,6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42,63</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Toucountouna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38,67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49,99</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Toviklin</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44,17</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37,15</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Zagnanado</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48,5</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44,00</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Za-Kpota</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46,16</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48,81</w:t>
            </w:r>
          </w:p>
        </w:tc>
      </w:tr>
      <w:tr w:rsidR="0097394E" w:rsidRPr="00F84C66" w:rsidTr="005F2205">
        <w:trPr>
          <w:trHeight w:val="288"/>
        </w:trPr>
        <w:tc>
          <w:tcPr>
            <w:tcW w:w="3884" w:type="dxa"/>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Ze</w:t>
            </w:r>
          </w:p>
        </w:tc>
        <w:tc>
          <w:tcPr>
            <w:tcW w:w="2262" w:type="dxa"/>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61,19</w:t>
            </w:r>
          </w:p>
        </w:tc>
        <w:tc>
          <w:tcPr>
            <w:tcW w:w="2564" w:type="dxa"/>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46,72</w:t>
            </w:r>
          </w:p>
        </w:tc>
      </w:tr>
      <w:tr w:rsidR="0097394E" w:rsidRPr="00F84C66" w:rsidTr="005F2205">
        <w:trPr>
          <w:trHeight w:val="303"/>
        </w:trPr>
        <w:tc>
          <w:tcPr>
            <w:tcW w:w="3884" w:type="dxa"/>
            <w:tcBorders>
              <w:bottom w:val="single" w:sz="4" w:space="0" w:color="auto"/>
            </w:tcBorders>
            <w:shd w:val="clear" w:color="auto" w:fill="auto"/>
            <w:noWrap/>
            <w:vAlign w:val="bottom"/>
            <w:hideMark/>
          </w:tcPr>
          <w:p w:rsidR="00314ED8" w:rsidRDefault="007C1557">
            <w:pPr>
              <w:spacing w:after="0" w:line="240" w:lineRule="auto"/>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Zogbodomey</w:t>
            </w:r>
          </w:p>
        </w:tc>
        <w:tc>
          <w:tcPr>
            <w:tcW w:w="2262" w:type="dxa"/>
            <w:tcBorders>
              <w:bottom w:val="single" w:sz="4" w:space="0" w:color="auto"/>
            </w:tcBorders>
            <w:shd w:val="clear" w:color="auto" w:fill="auto"/>
            <w:noWrap/>
            <w:vAlign w:val="bottom"/>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40,55</w:t>
            </w:r>
          </w:p>
        </w:tc>
        <w:tc>
          <w:tcPr>
            <w:tcW w:w="2564" w:type="dxa"/>
            <w:tcBorders>
              <w:bottom w:val="single" w:sz="4" w:space="0" w:color="auto"/>
            </w:tcBorders>
            <w:shd w:val="clear" w:color="auto" w:fill="auto"/>
            <w:noWrap/>
            <w:vAlign w:val="center"/>
            <w:hideMark/>
          </w:tcPr>
          <w:p w:rsidR="00314ED8" w:rsidRDefault="007C1557">
            <w:pPr>
              <w:spacing w:after="0" w:line="240" w:lineRule="auto"/>
              <w:jc w:val="center"/>
              <w:rPr>
                <w:rFonts w:ascii="Arial" w:eastAsia="Times New Roman" w:hAnsi="Arial" w:cs="Arial"/>
                <w:color w:val="000000"/>
                <w:sz w:val="20"/>
                <w:szCs w:val="20"/>
                <w:lang w:eastAsia="fr-FR"/>
              </w:rPr>
            </w:pPr>
            <w:r w:rsidRPr="007C1557">
              <w:rPr>
                <w:rFonts w:ascii="Arial" w:eastAsia="Times New Roman" w:hAnsi="Arial" w:cs="Arial"/>
                <w:color w:val="000000"/>
                <w:sz w:val="20"/>
                <w:szCs w:val="20"/>
                <w:lang w:eastAsia="fr-FR"/>
              </w:rPr>
              <w:t>43,82</w:t>
            </w:r>
          </w:p>
        </w:tc>
      </w:tr>
    </w:tbl>
    <w:p w:rsidR="003E6DBD" w:rsidRDefault="003E6DBD">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p w:rsidR="00171534" w:rsidRPr="00171534" w:rsidRDefault="00171534" w:rsidP="00171534">
      <w:pPr>
        <w:pStyle w:val="Titre2"/>
        <w:numPr>
          <w:ilvl w:val="0"/>
          <w:numId w:val="0"/>
        </w:numPr>
        <w:rPr>
          <w:sz w:val="24"/>
          <w:szCs w:val="24"/>
        </w:rPr>
      </w:pPr>
      <w:bookmarkStart w:id="45" w:name="_Toc433391210"/>
      <w:r w:rsidRPr="00171534">
        <w:rPr>
          <w:sz w:val="24"/>
          <w:szCs w:val="24"/>
        </w:rPr>
        <w:t xml:space="preserve">Annexe  3 : </w:t>
      </w:r>
      <w:r w:rsidRPr="00171534">
        <w:t>Indicateurs OMD pour l’année 2015</w:t>
      </w:r>
      <w:bookmarkEnd w:id="45"/>
    </w:p>
    <w:p w:rsidR="00171534" w:rsidRDefault="00171534" w:rsidP="007A3E39">
      <w:pPr>
        <w:pStyle w:val="Lgende"/>
        <w:jc w:val="left"/>
        <w:rPr>
          <w:rFonts w:ascii="Arial" w:hAnsi="Arial" w:cs="Arial"/>
          <w:sz w:val="22"/>
          <w:szCs w:val="22"/>
        </w:rPr>
      </w:pPr>
    </w:p>
    <w:p w:rsidR="007A3E39" w:rsidRDefault="007A3E39" w:rsidP="007A3E39">
      <w:pPr>
        <w:pStyle w:val="Lgende"/>
        <w:jc w:val="left"/>
        <w:rPr>
          <w:rFonts w:ascii="Arial" w:hAnsi="Arial" w:cs="Arial"/>
          <w:sz w:val="22"/>
          <w:szCs w:val="22"/>
        </w:rPr>
      </w:pPr>
      <w:r w:rsidRPr="00C216A8">
        <w:rPr>
          <w:rFonts w:ascii="Arial" w:hAnsi="Arial" w:cs="Arial"/>
          <w:sz w:val="22"/>
          <w:szCs w:val="22"/>
        </w:rPr>
        <w:t xml:space="preserve">Tableau </w:t>
      </w:r>
      <w:r>
        <w:rPr>
          <w:rFonts w:ascii="Arial" w:hAnsi="Arial" w:cs="Arial"/>
          <w:sz w:val="22"/>
          <w:szCs w:val="22"/>
        </w:rPr>
        <w:t>16</w:t>
      </w:r>
      <w:r w:rsidRPr="007C1557">
        <w:rPr>
          <w:rFonts w:ascii="Arial" w:hAnsi="Arial" w:cs="Arial"/>
          <w:sz w:val="22"/>
          <w:szCs w:val="22"/>
        </w:rPr>
        <w:t xml:space="preserve">: </w:t>
      </w:r>
      <w:r>
        <w:rPr>
          <w:rFonts w:ascii="Arial" w:hAnsi="Arial" w:cs="Arial"/>
          <w:sz w:val="22"/>
          <w:szCs w:val="22"/>
        </w:rPr>
        <w:t>I</w:t>
      </w:r>
      <w:r w:rsidR="004F1495">
        <w:rPr>
          <w:rFonts w:ascii="Arial" w:hAnsi="Arial" w:cs="Arial"/>
          <w:sz w:val="22"/>
          <w:szCs w:val="22"/>
        </w:rPr>
        <w:t>ndicateurs OMD pour l’année 2011 et 2015</w:t>
      </w:r>
    </w:p>
    <w:tbl>
      <w:tblPr>
        <w:tblW w:w="10028" w:type="dxa"/>
        <w:tblInd w:w="-5" w:type="dxa"/>
        <w:tblCellMar>
          <w:left w:w="70" w:type="dxa"/>
          <w:right w:w="70" w:type="dxa"/>
        </w:tblCellMar>
        <w:tblLook w:val="04A0" w:firstRow="1" w:lastRow="0" w:firstColumn="1" w:lastColumn="0" w:noHBand="0" w:noVBand="1"/>
      </w:tblPr>
      <w:tblGrid>
        <w:gridCol w:w="2975"/>
        <w:gridCol w:w="2704"/>
        <w:gridCol w:w="1061"/>
        <w:gridCol w:w="1095"/>
        <w:gridCol w:w="1098"/>
        <w:gridCol w:w="1095"/>
      </w:tblGrid>
      <w:tr w:rsidR="004F1495" w:rsidRPr="004F1495" w:rsidTr="004F1495">
        <w:trPr>
          <w:trHeight w:val="488"/>
          <w:tblHeader/>
        </w:trPr>
        <w:tc>
          <w:tcPr>
            <w:tcW w:w="3030" w:type="dxa"/>
            <w:tcBorders>
              <w:top w:val="single" w:sz="4" w:space="0" w:color="auto"/>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Cibles</w:t>
            </w:r>
          </w:p>
        </w:tc>
        <w:tc>
          <w:tcPr>
            <w:tcW w:w="2746"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Indicateurs retenus au Bénin</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Valeur 2011</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Source</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Valeur 2015</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b/>
                <w:bCs/>
                <w:color w:val="000000"/>
                <w:sz w:val="24"/>
                <w:szCs w:val="24"/>
                <w:lang w:eastAsia="fr-FR"/>
              </w:rPr>
            </w:pPr>
            <w:r w:rsidRPr="004F1495">
              <w:rPr>
                <w:rFonts w:ascii="Garamond" w:eastAsia="Times New Roman" w:hAnsi="Garamond" w:cs="Times New Roman"/>
                <w:b/>
                <w:bCs/>
                <w:color w:val="000000"/>
                <w:sz w:val="24"/>
                <w:szCs w:val="24"/>
                <w:lang w:eastAsia="fr-FR"/>
              </w:rPr>
              <w:t>Source</w:t>
            </w:r>
          </w:p>
        </w:tc>
      </w:tr>
      <w:tr w:rsidR="004F1495" w:rsidRPr="004F1495" w:rsidTr="004F1495">
        <w:trPr>
          <w:trHeight w:val="732"/>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 Réduire de 50% la proportion de la population béninoise vivant en dessous du seuil de pauvreté en faisant passer l'indice de pauvreté à 15% d'ici 2015</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1.1.1 Indice de la pauvreté monétaire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36,2%</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40,1%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1.1.2 Proportion de la population disposant de moins de 1 dollar us en parité du pouvoir d'achat (PPA)</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53,9%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63,5%</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1.1.4 Indice d'écart de pauvreté</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0,098</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noWrap/>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0,18</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1.1.5 Part du quintile le plus pauvre de la population dans la consommation nationale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732"/>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 Assurer le plein emploi et la possibilité pour chacun, y compris les femmes et jeunes, de trouver un travail décent et productif</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1.2.1 Taux de croissance du PIB par personne occupée (en 2014)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3,7%</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17,7%</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1.2.2 Ratio emploi/population</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noWrap/>
            <w:hideMark/>
          </w:tcPr>
          <w:p w:rsidR="004F1495" w:rsidRPr="004F1495" w:rsidRDefault="004F1495" w:rsidP="004F1495">
            <w:pPr>
              <w:spacing w:after="0" w:line="240" w:lineRule="auto"/>
              <w:rPr>
                <w:rFonts w:ascii="Arial" w:eastAsia="Times New Roman" w:hAnsi="Arial" w:cs="Arial"/>
                <w:color w:val="000000"/>
                <w:sz w:val="18"/>
                <w:szCs w:val="18"/>
                <w:lang w:eastAsia="fr-FR"/>
              </w:rPr>
            </w:pPr>
            <w:r w:rsidRPr="004F1495">
              <w:rPr>
                <w:rFonts w:ascii="Arial" w:eastAsia="Times New Roman" w:hAnsi="Arial" w:cs="Arial"/>
                <w:color w:val="000000"/>
                <w:sz w:val="18"/>
                <w:szCs w:val="18"/>
                <w:lang w:eastAsia="fr-FR"/>
              </w:rPr>
              <w:t>67,05%</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1.2.3 Proportion de la population occupée disposant de moins de 1 dollar PPA par jour</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47,6%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52,2%</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 xml:space="preserve">1.2.4 Proportion de travailleurs indépendants et de travailleurs familiaux </w:t>
            </w:r>
            <w:r w:rsidRPr="004F1495">
              <w:rPr>
                <w:rFonts w:ascii="Garamond" w:eastAsia="Times New Roman" w:hAnsi="Garamond" w:cs="Times New Roman"/>
                <w:color w:val="000000"/>
                <w:sz w:val="24"/>
                <w:szCs w:val="24"/>
                <w:lang w:eastAsia="fr-FR"/>
              </w:rPr>
              <w:lastRenderedPageBreak/>
              <w:t>dans la population occupée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lastRenderedPageBreak/>
              <w:t>85,1%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noWrap/>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87,6%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732"/>
        </w:trPr>
        <w:tc>
          <w:tcPr>
            <w:tcW w:w="3030" w:type="dxa"/>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lastRenderedPageBreak/>
              <w:t>1.3 D'ici à 2015, réduire de 50% le nombre de personnes souffrant de malnutrition</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1.3.1 Proportion d'enfants de moins de 5ans souffrant d'une insuffisance pondérale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21,3%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18,0%</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2.1 D'ici à 2015, assurer l'instruction primaire à tous les enfants en âge d'aller à l'école</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2.1.1 Taux net de scolarisation dans le primaire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74,4%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74,9%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1220"/>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2.1.2 Proportion d'enfants commençant la 1ère année d'étude du primaire et finissant par atteindre la dernière année de ce cycle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64,3%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noWrap/>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87,4%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CB0ACF" w:rsidRPr="004F1495" w:rsidTr="004F1495">
        <w:trPr>
          <w:trHeight w:val="244"/>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2.1.3 Taux d'alphabétisation des 15-24 ans, femmes et hommes</w:t>
            </w:r>
          </w:p>
        </w:tc>
        <w:tc>
          <w:tcPr>
            <w:tcW w:w="1063" w:type="dxa"/>
            <w:tcBorders>
              <w:top w:val="single" w:sz="4" w:space="0" w:color="auto"/>
              <w:left w:val="single" w:sz="4" w:space="0" w:color="auto"/>
              <w:right w:val="single" w:sz="4" w:space="0" w:color="auto"/>
            </w:tcBorders>
            <w:shd w:val="clear" w:color="auto" w:fill="auto"/>
            <w:hideMark/>
          </w:tcPr>
          <w:p w:rsidR="004F1495" w:rsidRPr="008E764F" w:rsidRDefault="00CB0ACF" w:rsidP="004F1495">
            <w:pPr>
              <w:spacing w:after="0" w:line="240" w:lineRule="auto"/>
              <w:rPr>
                <w:rFonts w:ascii="Garamond" w:eastAsia="Times New Roman" w:hAnsi="Garamond" w:cs="Times New Roman"/>
                <w:color w:val="FF0000"/>
                <w:sz w:val="24"/>
                <w:szCs w:val="24"/>
                <w:lang w:eastAsia="fr-FR"/>
              </w:rPr>
            </w:pPr>
            <w:r w:rsidRPr="008E764F">
              <w:rPr>
                <w:rFonts w:ascii="Garamond" w:eastAsia="Times New Roman" w:hAnsi="Garamond" w:cs="Times New Roman"/>
                <w:color w:val="FF0000"/>
                <w:sz w:val="24"/>
                <w:szCs w:val="24"/>
                <w:lang w:eastAsia="fr-FR"/>
              </w:rPr>
              <w:t>H :</w:t>
            </w:r>
            <w:r w:rsidR="004F1495" w:rsidRPr="008E764F">
              <w:rPr>
                <w:rFonts w:ascii="Garamond" w:eastAsia="Times New Roman" w:hAnsi="Garamond" w:cs="Times New Roman"/>
                <w:color w:val="FF0000"/>
                <w:sz w:val="24"/>
                <w:szCs w:val="24"/>
                <w:lang w:eastAsia="fr-FR"/>
              </w:rPr>
              <w:t>74,8%</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H:59,6%    F: 43,9%</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CB0ACF" w:rsidRPr="004F1495" w:rsidTr="004F1495">
        <w:trPr>
          <w:trHeight w:val="244"/>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tcBorders>
              <w:top w:val="nil"/>
              <w:left w:val="single" w:sz="4" w:space="0" w:color="auto"/>
              <w:bottom w:val="single" w:sz="4" w:space="0" w:color="auto"/>
              <w:right w:val="single" w:sz="4" w:space="0" w:color="auto"/>
            </w:tcBorders>
            <w:shd w:val="clear" w:color="auto" w:fill="auto"/>
            <w:hideMark/>
          </w:tcPr>
          <w:p w:rsidR="004F1495" w:rsidRPr="008E764F" w:rsidRDefault="004F1495" w:rsidP="004F1495">
            <w:pPr>
              <w:spacing w:after="0" w:line="240" w:lineRule="auto"/>
              <w:rPr>
                <w:rFonts w:ascii="Garamond" w:eastAsia="Times New Roman" w:hAnsi="Garamond" w:cs="Times New Roman"/>
                <w:color w:val="FF0000"/>
                <w:sz w:val="24"/>
                <w:szCs w:val="24"/>
                <w:lang w:eastAsia="fr-FR"/>
              </w:rPr>
            </w:pPr>
            <w:r w:rsidRPr="008E764F">
              <w:rPr>
                <w:rFonts w:ascii="Garamond" w:eastAsia="Times New Roman" w:hAnsi="Garamond" w:cs="Times New Roman"/>
                <w:color w:val="FF0000"/>
                <w:sz w:val="24"/>
                <w:szCs w:val="24"/>
                <w:lang w:eastAsia="fr-FR"/>
              </w:rPr>
              <w:t>F : 55,2%</w:t>
            </w: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r>
      <w:tr w:rsidR="004F1495" w:rsidRPr="004F1495" w:rsidTr="004F1495">
        <w:trPr>
          <w:trHeight w:val="488"/>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3.1 Eliminer les disparités entre les sexes dans les enseignements primaire et secondaire d'ici à 2005 et, à tous les niveaux de l'enseignement en 2015 au plus tard</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3.1.1 Rapport fille-garçon dans le primaire</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0,93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0,95</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3.1.2 Rapport fille-garçon dans le secondaire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0,76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noWrap/>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0,76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3.1.5 Proportion des femmes salariées dans le secteur non agricole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7,2%</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EMICoV-2015</w:t>
            </w:r>
          </w:p>
        </w:tc>
      </w:tr>
      <w:tr w:rsidR="004F1495" w:rsidRPr="004F1495" w:rsidTr="004F1495">
        <w:trPr>
          <w:trHeight w:val="488"/>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4.1 Réduire le taux de mortalité infanto-juvénile de 166,5 pour mille en 1996 à 65 pour mille en 2015</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4.1.1 Taux de mortalité des enfants de moins de cinq ans</w:t>
            </w:r>
          </w:p>
        </w:tc>
        <w:tc>
          <w:tcPr>
            <w:tcW w:w="1063" w:type="dxa"/>
            <w:tcBorders>
              <w:top w:val="nil"/>
              <w:left w:val="nil"/>
              <w:bottom w:val="single" w:sz="4" w:space="0" w:color="auto"/>
              <w:right w:val="single" w:sz="4" w:space="0" w:color="auto"/>
            </w:tcBorders>
            <w:shd w:val="clear" w:color="auto" w:fill="auto"/>
            <w:hideMark/>
          </w:tcPr>
          <w:p w:rsidR="004F1495" w:rsidRPr="008E764F" w:rsidRDefault="004F1495" w:rsidP="004F1495">
            <w:pPr>
              <w:spacing w:after="0" w:line="240" w:lineRule="auto"/>
              <w:rPr>
                <w:rFonts w:ascii="Garamond" w:eastAsia="Times New Roman" w:hAnsi="Garamond" w:cs="Times New Roman"/>
                <w:color w:val="FF0000"/>
                <w:sz w:val="24"/>
                <w:szCs w:val="24"/>
                <w:lang w:eastAsia="fr-FR"/>
              </w:rPr>
            </w:pPr>
            <w:r w:rsidRPr="008E764F">
              <w:rPr>
                <w:rFonts w:ascii="Garamond" w:eastAsia="Times New Roman" w:hAnsi="Garamond" w:cs="Times New Roman"/>
                <w:color w:val="FF0000"/>
                <w:sz w:val="24"/>
                <w:szCs w:val="24"/>
                <w:lang w:eastAsia="fr-FR"/>
              </w:rPr>
              <w:t>70 pour mille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115,2 pour mille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4.1.2 Taux de mortalité infantile</w:t>
            </w:r>
          </w:p>
        </w:tc>
        <w:tc>
          <w:tcPr>
            <w:tcW w:w="1063" w:type="dxa"/>
            <w:tcBorders>
              <w:top w:val="nil"/>
              <w:left w:val="nil"/>
              <w:bottom w:val="single" w:sz="4" w:space="0" w:color="auto"/>
              <w:right w:val="single" w:sz="4" w:space="0" w:color="auto"/>
            </w:tcBorders>
            <w:shd w:val="clear" w:color="auto" w:fill="auto"/>
            <w:hideMark/>
          </w:tcPr>
          <w:p w:rsidR="004F1495" w:rsidRPr="008E764F" w:rsidRDefault="004F1495" w:rsidP="004F1495">
            <w:pPr>
              <w:spacing w:after="0" w:line="240" w:lineRule="auto"/>
              <w:rPr>
                <w:rFonts w:ascii="Garamond" w:eastAsia="Times New Roman" w:hAnsi="Garamond" w:cs="Times New Roman"/>
                <w:color w:val="FF0000"/>
                <w:sz w:val="24"/>
                <w:szCs w:val="24"/>
                <w:lang w:eastAsia="fr-FR"/>
              </w:rPr>
            </w:pPr>
            <w:r w:rsidRPr="008E764F">
              <w:rPr>
                <w:rFonts w:ascii="Garamond" w:eastAsia="Times New Roman" w:hAnsi="Garamond" w:cs="Times New Roman"/>
                <w:color w:val="FF0000"/>
                <w:sz w:val="24"/>
                <w:szCs w:val="24"/>
                <w:lang w:eastAsia="fr-FR"/>
              </w:rPr>
              <w:t>42 pour mille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66,5 pour mille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4.1.3 Proportion d'enfants de 1 an vaccinés contre la rougeole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70%</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65,1%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976"/>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5.1 Réduire le taux de mortalité maternelle de 498 en 1996 à 125 pour cent mille naissances vivantes en 2015</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5.1.1 Taux de mortalité maternelle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ND</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347 pour 100 000 naissances vivantes</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5.1.2 Proportion d'accouchements assistés par du personnel de santé qualifié</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84%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77,2%</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5.2 Rendre l'accès à la médecine procréative universel d'ici à 2015</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 xml:space="preserve">5.2.1 Taux de contraception   </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17,9%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488"/>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5.2.2 Taux de natalité parmi les adolescentes</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 </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Calibri" w:eastAsia="Times New Roman" w:hAnsi="Calibri" w:cs="Times New Roman"/>
                <w:color w:val="000000"/>
                <w:lang w:eastAsia="fr-FR"/>
              </w:rPr>
            </w:pPr>
            <w:r w:rsidRPr="004F1495">
              <w:rPr>
                <w:rFonts w:ascii="Calibri" w:eastAsia="Times New Roman" w:hAnsi="Calibri" w:cs="Times New Roman"/>
                <w:color w:val="000000"/>
                <w:lang w:eastAsia="fr-FR"/>
              </w:rPr>
              <w:t> </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94,0 pour mille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5.2.3 Taux de couverture en soins prénatals (au moins une fois par un personnel de santé qualifié)</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83,4%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82,8%</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732"/>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5.2.4 Besoins non satisfaits en matière de planification familiale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32,6%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33,1%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CB0ACF">
        <w:trPr>
          <w:trHeight w:val="732"/>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6.1 Réduire la prévalence des IST/VIH/SIDA</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6.1.3 Taux d'utilisation de la contraception (moderne ou traditionnelle)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17,9%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CB0ACF" w:rsidRPr="004F1495" w:rsidTr="00CB0ACF">
        <w:trPr>
          <w:trHeight w:val="244"/>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6.1.4 Proportion de la population âgée de 15 à 24 ans ayant des connaissances exactes et complètes au sujet du VIH/Sida</w:t>
            </w:r>
          </w:p>
        </w:tc>
        <w:tc>
          <w:tcPr>
            <w:tcW w:w="1063" w:type="dxa"/>
            <w:tcBorders>
              <w:top w:val="single" w:sz="4" w:space="0" w:color="auto"/>
              <w:left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 xml:space="preserve">H:31,0%   </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H:31,3%   F:21,6%</w:t>
            </w:r>
          </w:p>
        </w:tc>
        <w:tc>
          <w:tcPr>
            <w:tcW w:w="1063"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CB0ACF" w:rsidRPr="004F1495" w:rsidTr="00CB0ACF">
        <w:trPr>
          <w:trHeight w:val="244"/>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F:24,5%</w:t>
            </w: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1063"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r>
      <w:tr w:rsidR="004F1495" w:rsidRPr="004F1495" w:rsidTr="00CB0ACF">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6.1.6  Ratio de fréquentation scolaire des orphelins par rapport aux non-orphelins âgés de 10 à 14 ans</w:t>
            </w:r>
          </w:p>
        </w:tc>
        <w:tc>
          <w:tcPr>
            <w:tcW w:w="1063" w:type="dxa"/>
            <w:tcBorders>
              <w:top w:val="single" w:sz="4" w:space="0" w:color="auto"/>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0,84</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0,78</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976"/>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6.3 D'ici 2015, avoir maîtrisé le paludisme et autres grandes maladies, et avoir commencé à inverser la tendance actuelle</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6.3.3 Proportion d'enfants de moins de 5 ans dormant sous des moustiquaires imprégnées d'insecticide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59,6%</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1220"/>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6.3.4 Proportion d'enfants de moins de 5ans atteints de fièvre traités aux moyens de médicaments antipaludéens appropriés</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38%</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25,9%</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732"/>
        </w:trPr>
        <w:tc>
          <w:tcPr>
            <w:tcW w:w="3030" w:type="dxa"/>
            <w:vMerge w:val="restart"/>
            <w:tcBorders>
              <w:top w:val="nil"/>
              <w:left w:val="single" w:sz="4" w:space="0" w:color="auto"/>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7.3 Réduire de moitié d'ici 2015, le pourcentage de la population qui n'a pas accès de façon durable à un approvisionnement en eau potable</w:t>
            </w: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7.3.1 Proportion de la population ayant accès à une source d'eau potable</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71,3%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72,1%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r w:rsidR="004F1495" w:rsidRPr="004F1495" w:rsidTr="004F1495">
        <w:trPr>
          <w:trHeight w:val="976"/>
        </w:trPr>
        <w:tc>
          <w:tcPr>
            <w:tcW w:w="3030" w:type="dxa"/>
            <w:vMerge/>
            <w:tcBorders>
              <w:top w:val="nil"/>
              <w:left w:val="single" w:sz="4" w:space="0" w:color="auto"/>
              <w:bottom w:val="single" w:sz="4" w:space="0" w:color="auto"/>
              <w:right w:val="single" w:sz="4" w:space="0" w:color="auto"/>
            </w:tcBorders>
            <w:vAlign w:val="center"/>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p>
        </w:tc>
        <w:tc>
          <w:tcPr>
            <w:tcW w:w="2746"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7.3.2 Proportion de la population utilisant des infrastructures d'assainissement améliorées</w:t>
            </w:r>
          </w:p>
        </w:tc>
        <w:tc>
          <w:tcPr>
            <w:tcW w:w="1063" w:type="dxa"/>
            <w:tcBorders>
              <w:top w:val="nil"/>
              <w:left w:val="nil"/>
              <w:bottom w:val="single" w:sz="4" w:space="0" w:color="auto"/>
              <w:right w:val="single" w:sz="4" w:space="0" w:color="auto"/>
            </w:tcBorders>
            <w:shd w:val="clear" w:color="auto" w:fill="auto"/>
            <w:hideMark/>
          </w:tcPr>
          <w:p w:rsidR="004F1495" w:rsidRPr="008E764F" w:rsidRDefault="004F1495" w:rsidP="004F1495">
            <w:pPr>
              <w:spacing w:after="0" w:line="240" w:lineRule="auto"/>
              <w:rPr>
                <w:rFonts w:ascii="Garamond" w:eastAsia="Times New Roman" w:hAnsi="Garamond" w:cs="Times New Roman"/>
                <w:color w:val="FF0000"/>
                <w:sz w:val="24"/>
                <w:szCs w:val="24"/>
                <w:lang w:eastAsia="fr-FR"/>
              </w:rPr>
            </w:pPr>
            <w:r w:rsidRPr="008E764F">
              <w:rPr>
                <w:rFonts w:ascii="Garamond" w:eastAsia="Times New Roman" w:hAnsi="Garamond" w:cs="Times New Roman"/>
                <w:color w:val="FF0000"/>
                <w:sz w:val="24"/>
                <w:szCs w:val="24"/>
                <w:lang w:eastAsia="fr-FR"/>
              </w:rPr>
              <w:t>31,3%</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EDS-2011</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12,7%</w:t>
            </w:r>
          </w:p>
        </w:tc>
        <w:tc>
          <w:tcPr>
            <w:tcW w:w="1063" w:type="dxa"/>
            <w:tcBorders>
              <w:top w:val="nil"/>
              <w:left w:val="nil"/>
              <w:bottom w:val="single" w:sz="4" w:space="0" w:color="auto"/>
              <w:right w:val="single" w:sz="4" w:space="0" w:color="auto"/>
            </w:tcBorders>
            <w:shd w:val="clear" w:color="auto" w:fill="auto"/>
            <w:hideMark/>
          </w:tcPr>
          <w:p w:rsidR="004F1495" w:rsidRPr="004F1495" w:rsidRDefault="004F1495" w:rsidP="004F1495">
            <w:pPr>
              <w:spacing w:after="0" w:line="240" w:lineRule="auto"/>
              <w:rPr>
                <w:rFonts w:ascii="Garamond" w:eastAsia="Times New Roman" w:hAnsi="Garamond" w:cs="Times New Roman"/>
                <w:color w:val="000000"/>
                <w:sz w:val="24"/>
                <w:szCs w:val="24"/>
                <w:lang w:eastAsia="fr-FR"/>
              </w:rPr>
            </w:pPr>
            <w:r w:rsidRPr="004F1495">
              <w:rPr>
                <w:rFonts w:ascii="Garamond" w:eastAsia="Times New Roman" w:hAnsi="Garamond" w:cs="Times New Roman"/>
                <w:color w:val="000000"/>
                <w:sz w:val="24"/>
                <w:szCs w:val="24"/>
                <w:lang w:eastAsia="fr-FR"/>
              </w:rPr>
              <w:t>INSAE, MICS-2015</w:t>
            </w:r>
          </w:p>
        </w:tc>
      </w:tr>
    </w:tbl>
    <w:p w:rsidR="007A3E39" w:rsidRDefault="007A3E39">
      <w:pPr>
        <w:spacing w:after="0" w:line="240" w:lineRule="auto"/>
        <w:rPr>
          <w:rFonts w:ascii="Arial" w:eastAsia="Cambria" w:hAnsi="Arial" w:cs="Arial"/>
          <w:b/>
          <w:color w:val="FF0000"/>
          <w:kern w:val="1"/>
          <w:sz w:val="20"/>
          <w:szCs w:val="20"/>
        </w:rPr>
      </w:pPr>
    </w:p>
    <w:p w:rsidR="007A3E39" w:rsidRDefault="007A3E39">
      <w:pPr>
        <w:spacing w:after="0" w:line="240" w:lineRule="auto"/>
        <w:rPr>
          <w:rFonts w:ascii="Arial" w:eastAsia="Cambria" w:hAnsi="Arial" w:cs="Arial"/>
          <w:b/>
          <w:color w:val="FF0000"/>
          <w:kern w:val="1"/>
          <w:sz w:val="20"/>
          <w:szCs w:val="20"/>
        </w:rPr>
      </w:pPr>
    </w:p>
    <w:sectPr w:rsidR="007A3E39" w:rsidSect="00F219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BC2" w:rsidRDefault="00DA1BC2" w:rsidP="00A871A4">
      <w:pPr>
        <w:spacing w:after="0" w:line="240" w:lineRule="auto"/>
      </w:pPr>
      <w:r>
        <w:separator/>
      </w:r>
    </w:p>
  </w:endnote>
  <w:endnote w:type="continuationSeparator" w:id="0">
    <w:p w:rsidR="00DA1BC2" w:rsidRDefault="00DA1BC2" w:rsidP="00A8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yington">
    <w:altName w:val="Nyala"/>
    <w:charset w:val="00"/>
    <w:family w:val="auto"/>
    <w:pitch w:val="variable"/>
    <w:sig w:usb0="00000003" w:usb1="0000004A" w:usb2="00000000" w:usb3="00000000" w:csb0="00000001" w:csb1="00000000"/>
  </w:font>
  <w:font w:name="FrankRuehl">
    <w:panose1 w:val="020E0503060101010101"/>
    <w:charset w:val="B1"/>
    <w:family w:val="swiss"/>
    <w:pitch w:val="variable"/>
    <w:sig w:usb0="00000801" w:usb1="00000000" w:usb2="00000000" w:usb3="00000000" w:csb0="00000020"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3833"/>
      <w:docPartObj>
        <w:docPartGallery w:val="Page Numbers (Bottom of Page)"/>
        <w:docPartUnique/>
      </w:docPartObj>
    </w:sdtPr>
    <w:sdtEndPr/>
    <w:sdtContent>
      <w:p w:rsidR="004F1495" w:rsidRDefault="00DA1BC2">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2049"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HTgIAAKg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SH&#10;84dOAgAAqAQAAA4AAAAAAAAAAAAAAAAALgIAAGRycy9lMm9Eb2MueG1sUEsBAi0AFAAGAAgAAAAh&#10;AN+jWFfbAAAAAwEAAA8AAAAAAAAAAAAAAAAAqAQAAGRycy9kb3ducmV2LnhtbFBLBQYAAAAABAAE&#10;APMAAACwBQAAAAA=&#10;" o:allowincell="f" adj="14135" strokecolor="gray [1629]" strokeweight=".25pt">
              <v:textbox>
                <w:txbxContent>
                  <w:p w:rsidR="004F1495" w:rsidRDefault="00115FEB">
                    <w:pPr>
                      <w:jc w:val="center"/>
                    </w:pPr>
                    <w:r>
                      <w:fldChar w:fldCharType="begin"/>
                    </w:r>
                    <w:r w:rsidR="004F1495">
                      <w:instrText xml:space="preserve"> PAGE    \* MERGEFORMAT </w:instrText>
                    </w:r>
                    <w:r>
                      <w:fldChar w:fldCharType="separate"/>
                    </w:r>
                    <w:r w:rsidR="003A7E81" w:rsidRPr="003A7E81">
                      <w:rPr>
                        <w:noProof/>
                        <w:sz w:val="16"/>
                        <w:szCs w:val="16"/>
                      </w:rPr>
                      <w:t>11</w:t>
                    </w:r>
                    <w:r>
                      <w:rPr>
                        <w:noProof/>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BC2" w:rsidRDefault="00DA1BC2" w:rsidP="00A871A4">
      <w:pPr>
        <w:spacing w:after="0" w:line="240" w:lineRule="auto"/>
      </w:pPr>
      <w:r>
        <w:separator/>
      </w:r>
    </w:p>
  </w:footnote>
  <w:footnote w:type="continuationSeparator" w:id="0">
    <w:p w:rsidR="00DA1BC2" w:rsidRDefault="00DA1BC2" w:rsidP="00A871A4">
      <w:pPr>
        <w:spacing w:after="0" w:line="240" w:lineRule="auto"/>
      </w:pPr>
      <w:r>
        <w:continuationSeparator/>
      </w:r>
    </w:p>
  </w:footnote>
  <w:footnote w:id="1">
    <w:p w:rsidR="004F1495" w:rsidRPr="00353AD6" w:rsidRDefault="004F1495" w:rsidP="004A2C25">
      <w:pPr>
        <w:pStyle w:val="Notedebasdepage"/>
        <w:jc w:val="both"/>
        <w:rPr>
          <w:sz w:val="16"/>
          <w:szCs w:val="16"/>
        </w:rPr>
      </w:pPr>
      <w:r w:rsidRPr="00353AD6">
        <w:rPr>
          <w:rStyle w:val="Appelnotedebasdep"/>
          <w:sz w:val="16"/>
          <w:szCs w:val="16"/>
        </w:rPr>
        <w:footnoteRef/>
      </w:r>
      <w:r w:rsidRPr="005D753A">
        <w:rPr>
          <w:bCs/>
          <w:color w:val="000000"/>
          <w:sz w:val="18"/>
          <w:szCs w:val="18"/>
          <w:lang w:val="fr-CA"/>
        </w:rPr>
        <w:t>En général, une Zone de Dénombrement (ZD) est constituée soit d’une partie d’un village pour le milieu rural ou d’une partie de quartier de ville en milieu urbain, soit du village ou quartier de ville tout entier. Mais dans de rares cas, une ZD peut être à cheval sur plusieurs villages/quartiers de ville. La ZD est définie en fonction de l’effectif de population ou du nombre de ménages.</w:t>
      </w:r>
    </w:p>
  </w:footnote>
  <w:footnote w:id="2">
    <w:p w:rsidR="004F1495" w:rsidRPr="004303DB" w:rsidRDefault="004F1495">
      <w:pPr>
        <w:pStyle w:val="Notedebasdepage"/>
        <w:rPr>
          <w:sz w:val="16"/>
          <w:szCs w:val="16"/>
        </w:rPr>
      </w:pPr>
      <w:r w:rsidRPr="007C1557">
        <w:rPr>
          <w:rStyle w:val="Appelnotedebasdep"/>
          <w:sz w:val="16"/>
          <w:szCs w:val="16"/>
        </w:rPr>
        <w:footnoteRef/>
      </w:r>
      <w:r w:rsidRPr="007C1557">
        <w:rPr>
          <w:sz w:val="16"/>
          <w:szCs w:val="16"/>
        </w:rPr>
        <w:t xml:space="preserve"> Les données de 2013 à 2014 sont des projections et doivent être prises avec précaution. </w:t>
      </w:r>
    </w:p>
  </w:footnote>
  <w:footnote w:id="3">
    <w:p w:rsidR="004F1495" w:rsidRPr="004303DB" w:rsidRDefault="004F1495">
      <w:pPr>
        <w:pStyle w:val="Notedebasdepage"/>
        <w:rPr>
          <w:sz w:val="18"/>
          <w:szCs w:val="18"/>
        </w:rPr>
      </w:pPr>
      <w:r w:rsidRPr="007C1557">
        <w:rPr>
          <w:rStyle w:val="Appelnotedebasdep"/>
          <w:sz w:val="16"/>
          <w:szCs w:val="16"/>
        </w:rPr>
        <w:footnoteRef/>
      </w:r>
      <w:r w:rsidRPr="007C1557">
        <w:rPr>
          <w:sz w:val="16"/>
          <w:szCs w:val="16"/>
        </w:rPr>
        <w:t xml:space="preserve"> Le seuil de pauvreté est défini comme correspondant aux dépenses minimums requises par un individu pour répondre à ses besoins de base, alimentaires ou non</w:t>
      </w:r>
    </w:p>
  </w:footnote>
  <w:footnote w:id="4">
    <w:p w:rsidR="004F1495" w:rsidRPr="004303DB" w:rsidRDefault="004F1495" w:rsidP="000573F8">
      <w:pPr>
        <w:pStyle w:val="Notedebasdepage"/>
        <w:rPr>
          <w:sz w:val="16"/>
          <w:szCs w:val="16"/>
        </w:rPr>
      </w:pPr>
      <w:r w:rsidRPr="007C1557">
        <w:rPr>
          <w:rStyle w:val="Appelnotedebasdep"/>
          <w:sz w:val="16"/>
          <w:szCs w:val="16"/>
        </w:rPr>
        <w:footnoteRef/>
      </w:r>
      <w:r w:rsidRPr="007C1557">
        <w:rPr>
          <w:sz w:val="16"/>
          <w:szCs w:val="16"/>
        </w:rPr>
        <w:t xml:space="preserve"> Il s’agit d’un seuil implicite qui permet d’avoir l’incidence au niveau national</w:t>
      </w:r>
      <w:r>
        <w:rPr>
          <w:sz w:val="16"/>
          <w:szCs w:val="16"/>
        </w:rPr>
        <w:t xml:space="preserve">. </w:t>
      </w:r>
    </w:p>
  </w:footnote>
  <w:footnote w:id="5">
    <w:p w:rsidR="004F1495" w:rsidRDefault="004F1495" w:rsidP="00090A3D">
      <w:pPr>
        <w:pStyle w:val="Notedebasdepage"/>
      </w:pPr>
      <w:r>
        <w:rPr>
          <w:rStyle w:val="Appelnotedebasdep"/>
        </w:rPr>
        <w:footnoteRef/>
      </w:r>
      <w:r>
        <w:t xml:space="preserve"> 20% les plus pauvres et 20% moyennement pauvres.</w:t>
      </w:r>
    </w:p>
  </w:footnote>
  <w:footnote w:id="6">
    <w:p w:rsidR="004F1495" w:rsidRDefault="004F1495">
      <w:pPr>
        <w:pStyle w:val="Notedebasdepage"/>
        <w:jc w:val="both"/>
        <w:rPr>
          <w:rFonts w:ascii="Arial" w:hAnsi="Arial" w:cs="Arial"/>
          <w:sz w:val="18"/>
          <w:szCs w:val="18"/>
        </w:rPr>
      </w:pPr>
      <w:r w:rsidRPr="007C1557">
        <w:rPr>
          <w:rStyle w:val="Appelnotedebasdep"/>
          <w:rFonts w:ascii="Arial" w:hAnsi="Arial" w:cs="Arial"/>
          <w:sz w:val="18"/>
          <w:szCs w:val="18"/>
        </w:rPr>
        <w:footnoteRef/>
      </w:r>
      <w:r w:rsidRPr="007C1557">
        <w:rPr>
          <w:rFonts w:ascii="Arial" w:hAnsi="Arial" w:cs="Arial"/>
          <w:sz w:val="18"/>
          <w:szCs w:val="18"/>
        </w:rPr>
        <w:t xml:space="preserve"> Il s’agit des actifs possédés par un membre du ménage.  De ce fait, il  y a certainement  plus de chances de retrouver ces actifs dans les ménages de grande taille.  Il convient aussi de préciser que  les ménages de petite taille, notamment ceux gérés par les femmes orientent davantage leurs dépenses sur les biens alimentaires (INSAE, 2014) </w:t>
      </w:r>
    </w:p>
    <w:p w:rsidR="004F1495" w:rsidRDefault="004F1495">
      <w:pPr>
        <w:pStyle w:val="Notedebasdepage"/>
        <w:jc w:val="both"/>
      </w:pPr>
    </w:p>
  </w:footnote>
  <w:footnote w:id="7">
    <w:p w:rsidR="004F1495" w:rsidRPr="005D753A" w:rsidRDefault="004F1495" w:rsidP="00A80D68">
      <w:pPr>
        <w:pStyle w:val="Notedebasdepage"/>
        <w:rPr>
          <w:sz w:val="18"/>
          <w:szCs w:val="18"/>
        </w:rPr>
      </w:pPr>
      <w:r w:rsidRPr="005D753A">
        <w:rPr>
          <w:rFonts w:eastAsia="Calibri"/>
          <w:sz w:val="18"/>
          <w:szCs w:val="18"/>
          <w:lang w:eastAsia="en-US"/>
        </w:rPr>
        <w:footnoteRef/>
      </w:r>
      <w:r w:rsidRPr="005D753A">
        <w:rPr>
          <w:rFonts w:eastAsia="Calibri"/>
          <w:sz w:val="18"/>
          <w:szCs w:val="18"/>
          <w:lang w:eastAsia="en-US"/>
        </w:rPr>
        <w:t xml:space="preserve"> Généralement, il s’agit des ménages les plus défavorisés de la société.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1AAB"/>
    <w:multiLevelType w:val="hybridMultilevel"/>
    <w:tmpl w:val="F6EE8AD0"/>
    <w:lvl w:ilvl="0" w:tplc="2DE645FA">
      <w:start w:val="1"/>
      <w:numFmt w:val="decimal"/>
      <w:lvlText w:val="%1."/>
      <w:lvlJc w:val="left"/>
      <w:pPr>
        <w:tabs>
          <w:tab w:val="num" w:pos="14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361867"/>
    <w:multiLevelType w:val="hybridMultilevel"/>
    <w:tmpl w:val="CE8A415E"/>
    <w:lvl w:ilvl="0" w:tplc="040C0001">
      <w:start w:val="1"/>
      <w:numFmt w:val="bullet"/>
      <w:lvlText w:val=""/>
      <w:lvlJc w:val="left"/>
      <w:pPr>
        <w:ind w:left="928" w:hanging="360"/>
      </w:pPr>
      <w:rPr>
        <w:rFonts w:ascii="Symbol" w:hAnsi="Symbol" w:hint="default"/>
      </w:rPr>
    </w:lvl>
    <w:lvl w:ilvl="1" w:tplc="04090019">
      <w:start w:val="1"/>
      <w:numFmt w:val="bullet"/>
      <w:lvlText w:val="o"/>
      <w:lvlJc w:val="left"/>
      <w:pPr>
        <w:ind w:left="1648" w:hanging="360"/>
      </w:pPr>
      <w:rPr>
        <w:rFonts w:ascii="Courier New" w:hAnsi="Courier New" w:cs="Courier New" w:hint="default"/>
      </w:rPr>
    </w:lvl>
    <w:lvl w:ilvl="2" w:tplc="0409001B" w:tentative="1">
      <w:start w:val="1"/>
      <w:numFmt w:val="bullet"/>
      <w:lvlText w:val=""/>
      <w:lvlJc w:val="left"/>
      <w:pPr>
        <w:ind w:left="2368" w:hanging="360"/>
      </w:pPr>
      <w:rPr>
        <w:rFonts w:ascii="Wingdings" w:hAnsi="Wingdings" w:hint="default"/>
      </w:rPr>
    </w:lvl>
    <w:lvl w:ilvl="3" w:tplc="0409000F" w:tentative="1">
      <w:start w:val="1"/>
      <w:numFmt w:val="bullet"/>
      <w:lvlText w:val=""/>
      <w:lvlJc w:val="left"/>
      <w:pPr>
        <w:ind w:left="3088" w:hanging="360"/>
      </w:pPr>
      <w:rPr>
        <w:rFonts w:ascii="Symbol" w:hAnsi="Symbol" w:hint="default"/>
      </w:rPr>
    </w:lvl>
    <w:lvl w:ilvl="4" w:tplc="04090019" w:tentative="1">
      <w:start w:val="1"/>
      <w:numFmt w:val="bullet"/>
      <w:lvlText w:val="o"/>
      <w:lvlJc w:val="left"/>
      <w:pPr>
        <w:ind w:left="3808" w:hanging="360"/>
      </w:pPr>
      <w:rPr>
        <w:rFonts w:ascii="Courier New" w:hAnsi="Courier New" w:cs="Courier New" w:hint="default"/>
      </w:rPr>
    </w:lvl>
    <w:lvl w:ilvl="5" w:tplc="0409001B" w:tentative="1">
      <w:start w:val="1"/>
      <w:numFmt w:val="bullet"/>
      <w:lvlText w:val=""/>
      <w:lvlJc w:val="left"/>
      <w:pPr>
        <w:ind w:left="4528" w:hanging="360"/>
      </w:pPr>
      <w:rPr>
        <w:rFonts w:ascii="Wingdings" w:hAnsi="Wingdings" w:hint="default"/>
      </w:rPr>
    </w:lvl>
    <w:lvl w:ilvl="6" w:tplc="0409000F" w:tentative="1">
      <w:start w:val="1"/>
      <w:numFmt w:val="bullet"/>
      <w:lvlText w:val=""/>
      <w:lvlJc w:val="left"/>
      <w:pPr>
        <w:ind w:left="5248" w:hanging="360"/>
      </w:pPr>
      <w:rPr>
        <w:rFonts w:ascii="Symbol" w:hAnsi="Symbol" w:hint="default"/>
      </w:rPr>
    </w:lvl>
    <w:lvl w:ilvl="7" w:tplc="04090019" w:tentative="1">
      <w:start w:val="1"/>
      <w:numFmt w:val="bullet"/>
      <w:lvlText w:val="o"/>
      <w:lvlJc w:val="left"/>
      <w:pPr>
        <w:ind w:left="5968" w:hanging="360"/>
      </w:pPr>
      <w:rPr>
        <w:rFonts w:ascii="Courier New" w:hAnsi="Courier New" w:cs="Courier New" w:hint="default"/>
      </w:rPr>
    </w:lvl>
    <w:lvl w:ilvl="8" w:tplc="0409001B" w:tentative="1">
      <w:start w:val="1"/>
      <w:numFmt w:val="bullet"/>
      <w:lvlText w:val=""/>
      <w:lvlJc w:val="left"/>
      <w:pPr>
        <w:ind w:left="6688" w:hanging="360"/>
      </w:pPr>
      <w:rPr>
        <w:rFonts w:ascii="Wingdings" w:hAnsi="Wingdings" w:hint="default"/>
      </w:rPr>
    </w:lvl>
  </w:abstractNum>
  <w:abstractNum w:abstractNumId="2" w15:restartNumberingAfterBreak="0">
    <w:nsid w:val="1D9511A9"/>
    <w:multiLevelType w:val="hybridMultilevel"/>
    <w:tmpl w:val="D5B667BC"/>
    <w:lvl w:ilvl="0" w:tplc="1F704DC4">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C5B99"/>
    <w:multiLevelType w:val="multilevel"/>
    <w:tmpl w:val="851AA8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E64C08"/>
    <w:multiLevelType w:val="hybridMultilevel"/>
    <w:tmpl w:val="E3F48738"/>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65" w:hanging="360"/>
      </w:pPr>
      <w:rPr>
        <w:rFonts w:ascii="Courier New" w:hAnsi="Courier New" w:cs="Courier New" w:hint="default"/>
      </w:rPr>
    </w:lvl>
    <w:lvl w:ilvl="2" w:tplc="040C0005" w:tentative="1">
      <w:start w:val="1"/>
      <w:numFmt w:val="bullet"/>
      <w:lvlText w:val=""/>
      <w:lvlJc w:val="left"/>
      <w:pPr>
        <w:ind w:left="885" w:hanging="360"/>
      </w:pPr>
      <w:rPr>
        <w:rFonts w:ascii="Wingdings" w:hAnsi="Wingdings" w:hint="default"/>
      </w:rPr>
    </w:lvl>
    <w:lvl w:ilvl="3" w:tplc="040C0001" w:tentative="1">
      <w:start w:val="1"/>
      <w:numFmt w:val="bullet"/>
      <w:lvlText w:val=""/>
      <w:lvlJc w:val="left"/>
      <w:pPr>
        <w:ind w:left="1605" w:hanging="360"/>
      </w:pPr>
      <w:rPr>
        <w:rFonts w:ascii="Symbol" w:hAnsi="Symbol" w:hint="default"/>
      </w:rPr>
    </w:lvl>
    <w:lvl w:ilvl="4" w:tplc="040C0003" w:tentative="1">
      <w:start w:val="1"/>
      <w:numFmt w:val="bullet"/>
      <w:lvlText w:val="o"/>
      <w:lvlJc w:val="left"/>
      <w:pPr>
        <w:ind w:left="2325" w:hanging="360"/>
      </w:pPr>
      <w:rPr>
        <w:rFonts w:ascii="Courier New" w:hAnsi="Courier New" w:cs="Courier New" w:hint="default"/>
      </w:rPr>
    </w:lvl>
    <w:lvl w:ilvl="5" w:tplc="040C0005" w:tentative="1">
      <w:start w:val="1"/>
      <w:numFmt w:val="bullet"/>
      <w:lvlText w:val=""/>
      <w:lvlJc w:val="left"/>
      <w:pPr>
        <w:ind w:left="3045" w:hanging="360"/>
      </w:pPr>
      <w:rPr>
        <w:rFonts w:ascii="Wingdings" w:hAnsi="Wingdings" w:hint="default"/>
      </w:rPr>
    </w:lvl>
    <w:lvl w:ilvl="6" w:tplc="040C0001" w:tentative="1">
      <w:start w:val="1"/>
      <w:numFmt w:val="bullet"/>
      <w:lvlText w:val=""/>
      <w:lvlJc w:val="left"/>
      <w:pPr>
        <w:ind w:left="3765" w:hanging="360"/>
      </w:pPr>
      <w:rPr>
        <w:rFonts w:ascii="Symbol" w:hAnsi="Symbol" w:hint="default"/>
      </w:rPr>
    </w:lvl>
    <w:lvl w:ilvl="7" w:tplc="040C0003" w:tentative="1">
      <w:start w:val="1"/>
      <w:numFmt w:val="bullet"/>
      <w:lvlText w:val="o"/>
      <w:lvlJc w:val="left"/>
      <w:pPr>
        <w:ind w:left="4485" w:hanging="360"/>
      </w:pPr>
      <w:rPr>
        <w:rFonts w:ascii="Courier New" w:hAnsi="Courier New" w:cs="Courier New" w:hint="default"/>
      </w:rPr>
    </w:lvl>
    <w:lvl w:ilvl="8" w:tplc="040C0005" w:tentative="1">
      <w:start w:val="1"/>
      <w:numFmt w:val="bullet"/>
      <w:lvlText w:val=""/>
      <w:lvlJc w:val="left"/>
      <w:pPr>
        <w:ind w:left="5205" w:hanging="360"/>
      </w:pPr>
      <w:rPr>
        <w:rFonts w:ascii="Wingdings" w:hAnsi="Wingdings" w:hint="default"/>
      </w:rPr>
    </w:lvl>
  </w:abstractNum>
  <w:abstractNum w:abstractNumId="5" w15:restartNumberingAfterBreak="0">
    <w:nsid w:val="29F851D8"/>
    <w:multiLevelType w:val="hybridMultilevel"/>
    <w:tmpl w:val="183654F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0502CCA"/>
    <w:multiLevelType w:val="hybridMultilevel"/>
    <w:tmpl w:val="EB745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E0876"/>
    <w:multiLevelType w:val="hybridMultilevel"/>
    <w:tmpl w:val="6DEC9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357F0"/>
    <w:multiLevelType w:val="multilevel"/>
    <w:tmpl w:val="A650DFA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997EB5"/>
    <w:multiLevelType w:val="hybridMultilevel"/>
    <w:tmpl w:val="CE423ECA"/>
    <w:lvl w:ilvl="0" w:tplc="1A9C5702">
      <w:start w:val="1"/>
      <w:numFmt w:val="bullet"/>
      <w:lvlText w:val=""/>
      <w:lvlJc w:val="left"/>
      <w:pPr>
        <w:ind w:left="720" w:hanging="360"/>
      </w:pPr>
      <w:rPr>
        <w:rFonts w:ascii="Symbol" w:hAnsi="Symbo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DB6433"/>
    <w:multiLevelType w:val="multilevel"/>
    <w:tmpl w:val="A1189456"/>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6BF4DA6"/>
    <w:multiLevelType w:val="multilevel"/>
    <w:tmpl w:val="B5B43DF2"/>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6CF45B1"/>
    <w:multiLevelType w:val="hybridMultilevel"/>
    <w:tmpl w:val="E6AE3FB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2152" w:hanging="360"/>
      </w:pPr>
      <w:rPr>
        <w:rFonts w:ascii="Courier New" w:hAnsi="Courier New" w:cs="Courier New" w:hint="default"/>
      </w:rPr>
    </w:lvl>
    <w:lvl w:ilvl="2" w:tplc="040C0005" w:tentative="1">
      <w:start w:val="1"/>
      <w:numFmt w:val="bullet"/>
      <w:lvlText w:val=""/>
      <w:lvlJc w:val="left"/>
      <w:pPr>
        <w:ind w:left="2872" w:hanging="360"/>
      </w:pPr>
      <w:rPr>
        <w:rFonts w:ascii="Wingdings" w:hAnsi="Wingdings" w:hint="default"/>
      </w:rPr>
    </w:lvl>
    <w:lvl w:ilvl="3" w:tplc="040C0001" w:tentative="1">
      <w:start w:val="1"/>
      <w:numFmt w:val="bullet"/>
      <w:lvlText w:val=""/>
      <w:lvlJc w:val="left"/>
      <w:pPr>
        <w:ind w:left="3592" w:hanging="360"/>
      </w:pPr>
      <w:rPr>
        <w:rFonts w:ascii="Symbol" w:hAnsi="Symbol" w:hint="default"/>
      </w:rPr>
    </w:lvl>
    <w:lvl w:ilvl="4" w:tplc="040C0003" w:tentative="1">
      <w:start w:val="1"/>
      <w:numFmt w:val="bullet"/>
      <w:lvlText w:val="o"/>
      <w:lvlJc w:val="left"/>
      <w:pPr>
        <w:ind w:left="4312" w:hanging="360"/>
      </w:pPr>
      <w:rPr>
        <w:rFonts w:ascii="Courier New" w:hAnsi="Courier New" w:cs="Courier New" w:hint="default"/>
      </w:rPr>
    </w:lvl>
    <w:lvl w:ilvl="5" w:tplc="040C0005" w:tentative="1">
      <w:start w:val="1"/>
      <w:numFmt w:val="bullet"/>
      <w:lvlText w:val=""/>
      <w:lvlJc w:val="left"/>
      <w:pPr>
        <w:ind w:left="5032" w:hanging="360"/>
      </w:pPr>
      <w:rPr>
        <w:rFonts w:ascii="Wingdings" w:hAnsi="Wingdings" w:hint="default"/>
      </w:rPr>
    </w:lvl>
    <w:lvl w:ilvl="6" w:tplc="040C0001" w:tentative="1">
      <w:start w:val="1"/>
      <w:numFmt w:val="bullet"/>
      <w:lvlText w:val=""/>
      <w:lvlJc w:val="left"/>
      <w:pPr>
        <w:ind w:left="5752" w:hanging="360"/>
      </w:pPr>
      <w:rPr>
        <w:rFonts w:ascii="Symbol" w:hAnsi="Symbol" w:hint="default"/>
      </w:rPr>
    </w:lvl>
    <w:lvl w:ilvl="7" w:tplc="040C0003" w:tentative="1">
      <w:start w:val="1"/>
      <w:numFmt w:val="bullet"/>
      <w:lvlText w:val="o"/>
      <w:lvlJc w:val="left"/>
      <w:pPr>
        <w:ind w:left="6472" w:hanging="360"/>
      </w:pPr>
      <w:rPr>
        <w:rFonts w:ascii="Courier New" w:hAnsi="Courier New" w:cs="Courier New" w:hint="default"/>
      </w:rPr>
    </w:lvl>
    <w:lvl w:ilvl="8" w:tplc="040C0005" w:tentative="1">
      <w:start w:val="1"/>
      <w:numFmt w:val="bullet"/>
      <w:lvlText w:val=""/>
      <w:lvlJc w:val="left"/>
      <w:pPr>
        <w:ind w:left="7192" w:hanging="360"/>
      </w:pPr>
      <w:rPr>
        <w:rFonts w:ascii="Wingdings" w:hAnsi="Wingdings" w:hint="default"/>
      </w:rPr>
    </w:lvl>
  </w:abstractNum>
  <w:abstractNum w:abstractNumId="13" w15:restartNumberingAfterBreak="0">
    <w:nsid w:val="4A281E80"/>
    <w:multiLevelType w:val="hybridMultilevel"/>
    <w:tmpl w:val="A9969284"/>
    <w:lvl w:ilvl="0" w:tplc="4A3C391C">
      <w:start w:val="1"/>
      <w:numFmt w:val="decimal"/>
      <w:lvlText w:val="%1."/>
      <w:lvlJc w:val="left"/>
      <w:pPr>
        <w:ind w:left="360" w:hanging="360"/>
      </w:pPr>
      <w:rPr>
        <w:rFonts w:ascii="Century Gothic" w:hAnsi="Century Gothic" w:cs="Times New Roman" w:hint="default"/>
        <w:b/>
        <w:i w:val="0"/>
        <w:color w:val="E36C0A" w:themeColor="accent6" w:themeShade="BF"/>
        <w:sz w:val="22"/>
        <w:szCs w:val="2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CB872CC"/>
    <w:multiLevelType w:val="hybridMultilevel"/>
    <w:tmpl w:val="BBDECD82"/>
    <w:lvl w:ilvl="0" w:tplc="E5AC732C">
      <w:start w:val="2"/>
      <w:numFmt w:val="bullet"/>
      <w:lvlText w:val="-"/>
      <w:lvlJc w:val="left"/>
      <w:pPr>
        <w:ind w:left="440" w:hanging="360"/>
      </w:pPr>
      <w:rPr>
        <w:rFonts w:ascii="Garamond" w:eastAsiaTheme="minorHAnsi" w:hAnsi="Garamond" w:cstheme="minorBidi" w:hint="default"/>
      </w:rPr>
    </w:lvl>
    <w:lvl w:ilvl="1" w:tplc="040C0003">
      <w:start w:val="1"/>
      <w:numFmt w:val="bullet"/>
      <w:lvlText w:val="o"/>
      <w:lvlJc w:val="left"/>
      <w:pPr>
        <w:ind w:left="1160" w:hanging="360"/>
      </w:pPr>
      <w:rPr>
        <w:rFonts w:ascii="Courier New" w:hAnsi="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15" w15:restartNumberingAfterBreak="0">
    <w:nsid w:val="58406A3A"/>
    <w:multiLevelType w:val="multilevel"/>
    <w:tmpl w:val="329E36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8A5683"/>
    <w:multiLevelType w:val="multilevel"/>
    <w:tmpl w:val="8A3A34A8"/>
    <w:lvl w:ilvl="0">
      <w:start w:val="1"/>
      <w:numFmt w:val="upperRoman"/>
      <w:pStyle w:val="Titre2"/>
      <w:lvlText w:val="%1."/>
      <w:lvlJc w:val="left"/>
      <w:pPr>
        <w:ind w:left="1080" w:hanging="720"/>
      </w:pPr>
      <w:rPr>
        <w:rFonts w:ascii="Arial" w:hAnsi="Arial" w:cs="Arial" w:hint="default"/>
        <w:b/>
      </w:rPr>
    </w:lvl>
    <w:lvl w:ilvl="1">
      <w:start w:val="1"/>
      <w:numFmt w:val="decimal"/>
      <w:pStyle w:val="Titre3"/>
      <w:isLgl/>
      <w:lvlText w:val="%1.%2."/>
      <w:lvlJc w:val="left"/>
      <w:pPr>
        <w:ind w:left="1080" w:hanging="720"/>
      </w:pPr>
      <w:rPr>
        <w:rFonts w:ascii="Arial" w:hAnsi="Arial" w:cs="Arial" w:hint="default"/>
        <w:b/>
        <w:i w:val="0"/>
        <w:color w:val="E36C0A"/>
        <w:sz w:val="26"/>
        <w:szCs w:val="26"/>
        <w:lang w:val="fr-FR"/>
      </w:rPr>
    </w:lvl>
    <w:lvl w:ilvl="2">
      <w:start w:val="1"/>
      <w:numFmt w:val="decimal"/>
      <w:pStyle w:val="Titre4"/>
      <w:isLgl/>
      <w:lvlText w:val="%1.%2.%3."/>
      <w:lvlJc w:val="left"/>
      <w:pPr>
        <w:ind w:left="1080" w:hanging="720"/>
      </w:pPr>
      <w:rPr>
        <w:rFonts w:ascii="Arial" w:hAnsi="Arial" w:cs="Arial" w:hint="default"/>
        <w:b/>
        <w:color w:val="E36C0A"/>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B39391F"/>
    <w:multiLevelType w:val="hybridMultilevel"/>
    <w:tmpl w:val="1436B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AD1D85"/>
    <w:multiLevelType w:val="hybridMultilevel"/>
    <w:tmpl w:val="481C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EF6B04"/>
    <w:multiLevelType w:val="hybridMultilevel"/>
    <w:tmpl w:val="7A020D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16"/>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6"/>
  </w:num>
  <w:num w:numId="9">
    <w:abstractNumId w:val="5"/>
  </w:num>
  <w:num w:numId="10">
    <w:abstractNumId w:val="2"/>
  </w:num>
  <w:num w:numId="11">
    <w:abstractNumId w:val="16"/>
  </w:num>
  <w:num w:numId="12">
    <w:abstractNumId w:val="11"/>
  </w:num>
  <w:num w:numId="13">
    <w:abstractNumId w:val="1"/>
  </w:num>
  <w:num w:numId="14">
    <w:abstractNumId w:val="19"/>
  </w:num>
  <w:num w:numId="15">
    <w:abstractNumId w:val="0"/>
  </w:num>
  <w:num w:numId="16">
    <w:abstractNumId w:val="12"/>
  </w:num>
  <w:num w:numId="17">
    <w:abstractNumId w:val="4"/>
  </w:num>
  <w:num w:numId="18">
    <w:abstractNumId w:val="9"/>
  </w:num>
  <w:num w:numId="19">
    <w:abstractNumId w:val="6"/>
  </w:num>
  <w:num w:numId="20">
    <w:abstractNumId w:val="7"/>
  </w:num>
  <w:num w:numId="21">
    <w:abstractNumId w:val="18"/>
  </w:num>
  <w:num w:numId="22">
    <w:abstractNumId w:val="16"/>
  </w:num>
  <w:num w:numId="23">
    <w:abstractNumId w:val="16"/>
  </w:num>
  <w:num w:numId="24">
    <w:abstractNumId w:val="16"/>
  </w:num>
  <w:num w:numId="25">
    <w:abstractNumId w:val="16"/>
  </w:num>
  <w:num w:numId="26">
    <w:abstractNumId w:val="16"/>
  </w:num>
  <w:num w:numId="27">
    <w:abstractNumId w:val="3"/>
  </w:num>
  <w:num w:numId="28">
    <w:abstractNumId w:val="16"/>
  </w:num>
  <w:num w:numId="29">
    <w:abstractNumId w:val="16"/>
  </w:num>
  <w:num w:numId="30">
    <w:abstractNumId w:val="16"/>
  </w:num>
  <w:num w:numId="31">
    <w:abstractNumId w:val="16"/>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877F9"/>
    <w:rsid w:val="00000ABB"/>
    <w:rsid w:val="00003827"/>
    <w:rsid w:val="00007AAE"/>
    <w:rsid w:val="0001004D"/>
    <w:rsid w:val="00010C40"/>
    <w:rsid w:val="00012419"/>
    <w:rsid w:val="00015AA0"/>
    <w:rsid w:val="00016B49"/>
    <w:rsid w:val="00017186"/>
    <w:rsid w:val="00026B0A"/>
    <w:rsid w:val="00027AC1"/>
    <w:rsid w:val="0003159B"/>
    <w:rsid w:val="00035B45"/>
    <w:rsid w:val="0004068D"/>
    <w:rsid w:val="0004100E"/>
    <w:rsid w:val="000426B2"/>
    <w:rsid w:val="000430EE"/>
    <w:rsid w:val="00047EBA"/>
    <w:rsid w:val="00050580"/>
    <w:rsid w:val="00052484"/>
    <w:rsid w:val="000570DC"/>
    <w:rsid w:val="000573F8"/>
    <w:rsid w:val="000575D6"/>
    <w:rsid w:val="00061CC7"/>
    <w:rsid w:val="000676D5"/>
    <w:rsid w:val="000817B5"/>
    <w:rsid w:val="00090A3D"/>
    <w:rsid w:val="00092DA1"/>
    <w:rsid w:val="00096CA8"/>
    <w:rsid w:val="00096F4B"/>
    <w:rsid w:val="00097825"/>
    <w:rsid w:val="000A3E45"/>
    <w:rsid w:val="000A732C"/>
    <w:rsid w:val="000B1035"/>
    <w:rsid w:val="000B106E"/>
    <w:rsid w:val="000B459C"/>
    <w:rsid w:val="000B4F9C"/>
    <w:rsid w:val="000C6D9F"/>
    <w:rsid w:val="000D66C4"/>
    <w:rsid w:val="000E28C5"/>
    <w:rsid w:val="000E61A7"/>
    <w:rsid w:val="000F6F3C"/>
    <w:rsid w:val="00106F85"/>
    <w:rsid w:val="00110F31"/>
    <w:rsid w:val="00115FEB"/>
    <w:rsid w:val="001169A5"/>
    <w:rsid w:val="001237CA"/>
    <w:rsid w:val="00124420"/>
    <w:rsid w:val="00131BDE"/>
    <w:rsid w:val="00131DBA"/>
    <w:rsid w:val="00135953"/>
    <w:rsid w:val="00147C4E"/>
    <w:rsid w:val="0015378F"/>
    <w:rsid w:val="001547C4"/>
    <w:rsid w:val="00155294"/>
    <w:rsid w:val="00155619"/>
    <w:rsid w:val="00156C4B"/>
    <w:rsid w:val="001614A7"/>
    <w:rsid w:val="00162816"/>
    <w:rsid w:val="00166042"/>
    <w:rsid w:val="00166663"/>
    <w:rsid w:val="00171534"/>
    <w:rsid w:val="00173BEB"/>
    <w:rsid w:val="001775C4"/>
    <w:rsid w:val="001862E5"/>
    <w:rsid w:val="001923D9"/>
    <w:rsid w:val="00193832"/>
    <w:rsid w:val="001959D0"/>
    <w:rsid w:val="0019665F"/>
    <w:rsid w:val="001A022A"/>
    <w:rsid w:val="001A30EC"/>
    <w:rsid w:val="001B1BA6"/>
    <w:rsid w:val="001B2063"/>
    <w:rsid w:val="001B212D"/>
    <w:rsid w:val="001B357D"/>
    <w:rsid w:val="001B51AC"/>
    <w:rsid w:val="001C0287"/>
    <w:rsid w:val="001C65DF"/>
    <w:rsid w:val="001E69A4"/>
    <w:rsid w:val="001E6F00"/>
    <w:rsid w:val="001F38F8"/>
    <w:rsid w:val="001F5967"/>
    <w:rsid w:val="001F5FA8"/>
    <w:rsid w:val="0020261B"/>
    <w:rsid w:val="00202739"/>
    <w:rsid w:val="00203FB2"/>
    <w:rsid w:val="00207A3D"/>
    <w:rsid w:val="002165C4"/>
    <w:rsid w:val="00232A17"/>
    <w:rsid w:val="00237E2B"/>
    <w:rsid w:val="00240687"/>
    <w:rsid w:val="00241F31"/>
    <w:rsid w:val="002444CE"/>
    <w:rsid w:val="00246A65"/>
    <w:rsid w:val="00252B5A"/>
    <w:rsid w:val="00254952"/>
    <w:rsid w:val="002638C3"/>
    <w:rsid w:val="0026786D"/>
    <w:rsid w:val="0027082A"/>
    <w:rsid w:val="002742B0"/>
    <w:rsid w:val="002744FF"/>
    <w:rsid w:val="00284167"/>
    <w:rsid w:val="00290ED8"/>
    <w:rsid w:val="002974A5"/>
    <w:rsid w:val="002A211F"/>
    <w:rsid w:val="002B395A"/>
    <w:rsid w:val="002B71F4"/>
    <w:rsid w:val="002B73DE"/>
    <w:rsid w:val="002D3CBA"/>
    <w:rsid w:val="002D5579"/>
    <w:rsid w:val="002E14F2"/>
    <w:rsid w:val="002E2F26"/>
    <w:rsid w:val="002E3772"/>
    <w:rsid w:val="002E7873"/>
    <w:rsid w:val="002F0D4D"/>
    <w:rsid w:val="002F178F"/>
    <w:rsid w:val="002F3E0D"/>
    <w:rsid w:val="002F5ED2"/>
    <w:rsid w:val="002F7E03"/>
    <w:rsid w:val="00304E9A"/>
    <w:rsid w:val="0030772C"/>
    <w:rsid w:val="00307FD7"/>
    <w:rsid w:val="0031028F"/>
    <w:rsid w:val="0031121B"/>
    <w:rsid w:val="00311D27"/>
    <w:rsid w:val="00313451"/>
    <w:rsid w:val="00313EBA"/>
    <w:rsid w:val="00314ED8"/>
    <w:rsid w:val="00315B23"/>
    <w:rsid w:val="00316378"/>
    <w:rsid w:val="0031798A"/>
    <w:rsid w:val="00324942"/>
    <w:rsid w:val="003263C9"/>
    <w:rsid w:val="00326F54"/>
    <w:rsid w:val="003346D5"/>
    <w:rsid w:val="00334E33"/>
    <w:rsid w:val="00335988"/>
    <w:rsid w:val="003425A5"/>
    <w:rsid w:val="00353C4D"/>
    <w:rsid w:val="00355F7C"/>
    <w:rsid w:val="00356913"/>
    <w:rsid w:val="00357242"/>
    <w:rsid w:val="00361A2E"/>
    <w:rsid w:val="00363A28"/>
    <w:rsid w:val="00363BEE"/>
    <w:rsid w:val="003654B2"/>
    <w:rsid w:val="00367F05"/>
    <w:rsid w:val="0037329F"/>
    <w:rsid w:val="00374ED8"/>
    <w:rsid w:val="00376690"/>
    <w:rsid w:val="00384BB1"/>
    <w:rsid w:val="00386C98"/>
    <w:rsid w:val="003926FB"/>
    <w:rsid w:val="003A1A60"/>
    <w:rsid w:val="003A35DA"/>
    <w:rsid w:val="003A5933"/>
    <w:rsid w:val="003A7E81"/>
    <w:rsid w:val="003B0E4D"/>
    <w:rsid w:val="003B58C9"/>
    <w:rsid w:val="003B6589"/>
    <w:rsid w:val="003C1BAE"/>
    <w:rsid w:val="003C2077"/>
    <w:rsid w:val="003C2FDB"/>
    <w:rsid w:val="003C4F66"/>
    <w:rsid w:val="003E6DBD"/>
    <w:rsid w:val="003F1874"/>
    <w:rsid w:val="003F485D"/>
    <w:rsid w:val="004043B9"/>
    <w:rsid w:val="00411883"/>
    <w:rsid w:val="00413A86"/>
    <w:rsid w:val="00413EF5"/>
    <w:rsid w:val="0041624C"/>
    <w:rsid w:val="00416F98"/>
    <w:rsid w:val="00423BB4"/>
    <w:rsid w:val="004249F2"/>
    <w:rsid w:val="00424B5F"/>
    <w:rsid w:val="004303DB"/>
    <w:rsid w:val="00432E52"/>
    <w:rsid w:val="00435318"/>
    <w:rsid w:val="004400D4"/>
    <w:rsid w:val="00441E34"/>
    <w:rsid w:val="00443E12"/>
    <w:rsid w:val="004442F7"/>
    <w:rsid w:val="00445875"/>
    <w:rsid w:val="00454386"/>
    <w:rsid w:val="00454F52"/>
    <w:rsid w:val="00456327"/>
    <w:rsid w:val="004609DD"/>
    <w:rsid w:val="004620D3"/>
    <w:rsid w:val="00466FD0"/>
    <w:rsid w:val="004678EC"/>
    <w:rsid w:val="00472BDB"/>
    <w:rsid w:val="00480331"/>
    <w:rsid w:val="0048047B"/>
    <w:rsid w:val="004805A9"/>
    <w:rsid w:val="0048430B"/>
    <w:rsid w:val="00485265"/>
    <w:rsid w:val="00486EC5"/>
    <w:rsid w:val="004877A6"/>
    <w:rsid w:val="00487E1B"/>
    <w:rsid w:val="00494999"/>
    <w:rsid w:val="004A04B8"/>
    <w:rsid w:val="004A07B6"/>
    <w:rsid w:val="004A2C25"/>
    <w:rsid w:val="004A47B1"/>
    <w:rsid w:val="004B46A0"/>
    <w:rsid w:val="004B4AE0"/>
    <w:rsid w:val="004C45C3"/>
    <w:rsid w:val="004C6F41"/>
    <w:rsid w:val="004C7474"/>
    <w:rsid w:val="004C7887"/>
    <w:rsid w:val="004D5998"/>
    <w:rsid w:val="004E0733"/>
    <w:rsid w:val="004E1AE5"/>
    <w:rsid w:val="004E2BD3"/>
    <w:rsid w:val="004E431A"/>
    <w:rsid w:val="004F1495"/>
    <w:rsid w:val="004F1A5A"/>
    <w:rsid w:val="004F1DEC"/>
    <w:rsid w:val="004F3146"/>
    <w:rsid w:val="004F4941"/>
    <w:rsid w:val="004F7F80"/>
    <w:rsid w:val="00504946"/>
    <w:rsid w:val="005053FF"/>
    <w:rsid w:val="00513172"/>
    <w:rsid w:val="0051336F"/>
    <w:rsid w:val="005148AA"/>
    <w:rsid w:val="005218A3"/>
    <w:rsid w:val="00522407"/>
    <w:rsid w:val="0052342A"/>
    <w:rsid w:val="00536B8C"/>
    <w:rsid w:val="005405FF"/>
    <w:rsid w:val="0054745E"/>
    <w:rsid w:val="00547EBB"/>
    <w:rsid w:val="005534B2"/>
    <w:rsid w:val="005650AE"/>
    <w:rsid w:val="0057162B"/>
    <w:rsid w:val="005771E7"/>
    <w:rsid w:val="00582909"/>
    <w:rsid w:val="00582BD0"/>
    <w:rsid w:val="00583A22"/>
    <w:rsid w:val="00586472"/>
    <w:rsid w:val="00590029"/>
    <w:rsid w:val="00590E9B"/>
    <w:rsid w:val="00592105"/>
    <w:rsid w:val="00593634"/>
    <w:rsid w:val="00595861"/>
    <w:rsid w:val="005A7AC4"/>
    <w:rsid w:val="005B2212"/>
    <w:rsid w:val="005B2D2A"/>
    <w:rsid w:val="005B5B45"/>
    <w:rsid w:val="005B7DEF"/>
    <w:rsid w:val="005D1E0B"/>
    <w:rsid w:val="005D3147"/>
    <w:rsid w:val="005D6C4C"/>
    <w:rsid w:val="005E193D"/>
    <w:rsid w:val="005E31D0"/>
    <w:rsid w:val="005F1131"/>
    <w:rsid w:val="005F20E1"/>
    <w:rsid w:val="005F2205"/>
    <w:rsid w:val="005F50AE"/>
    <w:rsid w:val="005F5F8B"/>
    <w:rsid w:val="0060297A"/>
    <w:rsid w:val="00602B94"/>
    <w:rsid w:val="00603C2A"/>
    <w:rsid w:val="00605F6C"/>
    <w:rsid w:val="00613140"/>
    <w:rsid w:val="0061471C"/>
    <w:rsid w:val="00617590"/>
    <w:rsid w:val="00621183"/>
    <w:rsid w:val="006246D7"/>
    <w:rsid w:val="00624BEE"/>
    <w:rsid w:val="00625B06"/>
    <w:rsid w:val="0062608B"/>
    <w:rsid w:val="00626FCD"/>
    <w:rsid w:val="00633B4C"/>
    <w:rsid w:val="00635DC1"/>
    <w:rsid w:val="006400EB"/>
    <w:rsid w:val="006457F5"/>
    <w:rsid w:val="00645968"/>
    <w:rsid w:val="006459FA"/>
    <w:rsid w:val="006515E9"/>
    <w:rsid w:val="00651CE6"/>
    <w:rsid w:val="006523DB"/>
    <w:rsid w:val="00654EAD"/>
    <w:rsid w:val="006562D1"/>
    <w:rsid w:val="006645D0"/>
    <w:rsid w:val="0066670A"/>
    <w:rsid w:val="006675CF"/>
    <w:rsid w:val="00667EF2"/>
    <w:rsid w:val="00672375"/>
    <w:rsid w:val="00673549"/>
    <w:rsid w:val="00673E8F"/>
    <w:rsid w:val="006772E2"/>
    <w:rsid w:val="006809CD"/>
    <w:rsid w:val="006841F0"/>
    <w:rsid w:val="00684AA5"/>
    <w:rsid w:val="006854D4"/>
    <w:rsid w:val="00687107"/>
    <w:rsid w:val="00690C30"/>
    <w:rsid w:val="00692168"/>
    <w:rsid w:val="0069557F"/>
    <w:rsid w:val="006A1B24"/>
    <w:rsid w:val="006A225D"/>
    <w:rsid w:val="006A40DE"/>
    <w:rsid w:val="006A5D70"/>
    <w:rsid w:val="006A77F6"/>
    <w:rsid w:val="006B164F"/>
    <w:rsid w:val="006B5E0C"/>
    <w:rsid w:val="006B6048"/>
    <w:rsid w:val="006C3B3D"/>
    <w:rsid w:val="006D70C0"/>
    <w:rsid w:val="006F36D7"/>
    <w:rsid w:val="006F50D6"/>
    <w:rsid w:val="006F626D"/>
    <w:rsid w:val="00701299"/>
    <w:rsid w:val="00701687"/>
    <w:rsid w:val="00701A91"/>
    <w:rsid w:val="00710C2B"/>
    <w:rsid w:val="007124B4"/>
    <w:rsid w:val="007133E8"/>
    <w:rsid w:val="00716F68"/>
    <w:rsid w:val="00721876"/>
    <w:rsid w:val="007221BD"/>
    <w:rsid w:val="00741394"/>
    <w:rsid w:val="00741D15"/>
    <w:rsid w:val="00743D7E"/>
    <w:rsid w:val="00750280"/>
    <w:rsid w:val="00750757"/>
    <w:rsid w:val="00753D6F"/>
    <w:rsid w:val="00755FBE"/>
    <w:rsid w:val="0076603F"/>
    <w:rsid w:val="007664EE"/>
    <w:rsid w:val="007716A3"/>
    <w:rsid w:val="00772EE7"/>
    <w:rsid w:val="007735F3"/>
    <w:rsid w:val="007738BB"/>
    <w:rsid w:val="00777E19"/>
    <w:rsid w:val="007809BD"/>
    <w:rsid w:val="0078158A"/>
    <w:rsid w:val="007818C3"/>
    <w:rsid w:val="007830EE"/>
    <w:rsid w:val="00783587"/>
    <w:rsid w:val="0079190E"/>
    <w:rsid w:val="00794672"/>
    <w:rsid w:val="007A3E39"/>
    <w:rsid w:val="007A46F3"/>
    <w:rsid w:val="007A4B28"/>
    <w:rsid w:val="007B069C"/>
    <w:rsid w:val="007B3A23"/>
    <w:rsid w:val="007B40FE"/>
    <w:rsid w:val="007B46C2"/>
    <w:rsid w:val="007C1557"/>
    <w:rsid w:val="007C4BF8"/>
    <w:rsid w:val="007C532D"/>
    <w:rsid w:val="007D0215"/>
    <w:rsid w:val="007D06DF"/>
    <w:rsid w:val="007D2175"/>
    <w:rsid w:val="007D2A4A"/>
    <w:rsid w:val="007E0159"/>
    <w:rsid w:val="007E0263"/>
    <w:rsid w:val="007E3229"/>
    <w:rsid w:val="007E473A"/>
    <w:rsid w:val="007E519F"/>
    <w:rsid w:val="007E5651"/>
    <w:rsid w:val="007F09FB"/>
    <w:rsid w:val="007F1277"/>
    <w:rsid w:val="007F3DD8"/>
    <w:rsid w:val="007F78AC"/>
    <w:rsid w:val="00801B02"/>
    <w:rsid w:val="00803AA6"/>
    <w:rsid w:val="00804240"/>
    <w:rsid w:val="00804FD9"/>
    <w:rsid w:val="00810004"/>
    <w:rsid w:val="008102B8"/>
    <w:rsid w:val="00813CEB"/>
    <w:rsid w:val="008158A2"/>
    <w:rsid w:val="0081689C"/>
    <w:rsid w:val="00820EFC"/>
    <w:rsid w:val="00821A52"/>
    <w:rsid w:val="00821EBB"/>
    <w:rsid w:val="00826D44"/>
    <w:rsid w:val="0083088D"/>
    <w:rsid w:val="0083515A"/>
    <w:rsid w:val="00844834"/>
    <w:rsid w:val="008510FC"/>
    <w:rsid w:val="008564A2"/>
    <w:rsid w:val="00857F81"/>
    <w:rsid w:val="008650DC"/>
    <w:rsid w:val="0086721B"/>
    <w:rsid w:val="008730A9"/>
    <w:rsid w:val="008736C8"/>
    <w:rsid w:val="00874014"/>
    <w:rsid w:val="00876DC7"/>
    <w:rsid w:val="008835BC"/>
    <w:rsid w:val="0088736E"/>
    <w:rsid w:val="008877F9"/>
    <w:rsid w:val="00891A3B"/>
    <w:rsid w:val="00897669"/>
    <w:rsid w:val="008A3F59"/>
    <w:rsid w:val="008A7786"/>
    <w:rsid w:val="008B03C4"/>
    <w:rsid w:val="008B4172"/>
    <w:rsid w:val="008B6099"/>
    <w:rsid w:val="008B7BBE"/>
    <w:rsid w:val="008C574F"/>
    <w:rsid w:val="008C6467"/>
    <w:rsid w:val="008D1825"/>
    <w:rsid w:val="008D4BE7"/>
    <w:rsid w:val="008D4E01"/>
    <w:rsid w:val="008E272C"/>
    <w:rsid w:val="008E2E83"/>
    <w:rsid w:val="008E3802"/>
    <w:rsid w:val="008E764F"/>
    <w:rsid w:val="008E7EB3"/>
    <w:rsid w:val="008F232A"/>
    <w:rsid w:val="008F4559"/>
    <w:rsid w:val="008F4E63"/>
    <w:rsid w:val="008F6D1A"/>
    <w:rsid w:val="009176A1"/>
    <w:rsid w:val="00917CE0"/>
    <w:rsid w:val="00921735"/>
    <w:rsid w:val="009276BF"/>
    <w:rsid w:val="00933851"/>
    <w:rsid w:val="00942284"/>
    <w:rsid w:val="00943018"/>
    <w:rsid w:val="00944C78"/>
    <w:rsid w:val="009453DA"/>
    <w:rsid w:val="00950C27"/>
    <w:rsid w:val="009515A2"/>
    <w:rsid w:val="009619DD"/>
    <w:rsid w:val="00961A0E"/>
    <w:rsid w:val="00961C5D"/>
    <w:rsid w:val="0096312F"/>
    <w:rsid w:val="00963219"/>
    <w:rsid w:val="009732A4"/>
    <w:rsid w:val="0097394E"/>
    <w:rsid w:val="00981DF8"/>
    <w:rsid w:val="00983585"/>
    <w:rsid w:val="00990FB5"/>
    <w:rsid w:val="009A0CD4"/>
    <w:rsid w:val="009A1122"/>
    <w:rsid w:val="009A1C8C"/>
    <w:rsid w:val="009A4CFB"/>
    <w:rsid w:val="009A560F"/>
    <w:rsid w:val="009B12DC"/>
    <w:rsid w:val="009B3071"/>
    <w:rsid w:val="009B63D2"/>
    <w:rsid w:val="009C0FAE"/>
    <w:rsid w:val="009C34F8"/>
    <w:rsid w:val="009C43E8"/>
    <w:rsid w:val="009C76BD"/>
    <w:rsid w:val="009D0286"/>
    <w:rsid w:val="009E1A2A"/>
    <w:rsid w:val="009E366B"/>
    <w:rsid w:val="009E3D87"/>
    <w:rsid w:val="009E6A89"/>
    <w:rsid w:val="009F1128"/>
    <w:rsid w:val="009F1180"/>
    <w:rsid w:val="009F2162"/>
    <w:rsid w:val="009F2B14"/>
    <w:rsid w:val="009F6061"/>
    <w:rsid w:val="00A04DFC"/>
    <w:rsid w:val="00A04E03"/>
    <w:rsid w:val="00A05010"/>
    <w:rsid w:val="00A14919"/>
    <w:rsid w:val="00A16157"/>
    <w:rsid w:val="00A21A16"/>
    <w:rsid w:val="00A258AF"/>
    <w:rsid w:val="00A25C3D"/>
    <w:rsid w:val="00A3207F"/>
    <w:rsid w:val="00A35725"/>
    <w:rsid w:val="00A3678C"/>
    <w:rsid w:val="00A412B7"/>
    <w:rsid w:val="00A46D49"/>
    <w:rsid w:val="00A50AC1"/>
    <w:rsid w:val="00A52355"/>
    <w:rsid w:val="00A52609"/>
    <w:rsid w:val="00A54F25"/>
    <w:rsid w:val="00A5547F"/>
    <w:rsid w:val="00A5690D"/>
    <w:rsid w:val="00A56C49"/>
    <w:rsid w:val="00A6082D"/>
    <w:rsid w:val="00A6194A"/>
    <w:rsid w:val="00A6272A"/>
    <w:rsid w:val="00A65A22"/>
    <w:rsid w:val="00A666F9"/>
    <w:rsid w:val="00A713DD"/>
    <w:rsid w:val="00A723B9"/>
    <w:rsid w:val="00A773D5"/>
    <w:rsid w:val="00A77EAB"/>
    <w:rsid w:val="00A80D68"/>
    <w:rsid w:val="00A83815"/>
    <w:rsid w:val="00A861FB"/>
    <w:rsid w:val="00A86E8E"/>
    <w:rsid w:val="00A871A4"/>
    <w:rsid w:val="00A874A6"/>
    <w:rsid w:val="00AB5AE8"/>
    <w:rsid w:val="00AC0DC7"/>
    <w:rsid w:val="00AC2665"/>
    <w:rsid w:val="00AC37EB"/>
    <w:rsid w:val="00AC7213"/>
    <w:rsid w:val="00AD02C5"/>
    <w:rsid w:val="00AD45AC"/>
    <w:rsid w:val="00AD7EF0"/>
    <w:rsid w:val="00AE07D5"/>
    <w:rsid w:val="00AF111D"/>
    <w:rsid w:val="00AF6BC5"/>
    <w:rsid w:val="00B00EF4"/>
    <w:rsid w:val="00B01DBD"/>
    <w:rsid w:val="00B03123"/>
    <w:rsid w:val="00B114CD"/>
    <w:rsid w:val="00B138CD"/>
    <w:rsid w:val="00B1657C"/>
    <w:rsid w:val="00B17BFD"/>
    <w:rsid w:val="00B22565"/>
    <w:rsid w:val="00B2415B"/>
    <w:rsid w:val="00B24454"/>
    <w:rsid w:val="00B249DA"/>
    <w:rsid w:val="00B24AC7"/>
    <w:rsid w:val="00B254C6"/>
    <w:rsid w:val="00B2607B"/>
    <w:rsid w:val="00B31648"/>
    <w:rsid w:val="00B34558"/>
    <w:rsid w:val="00B34697"/>
    <w:rsid w:val="00B4121D"/>
    <w:rsid w:val="00B44035"/>
    <w:rsid w:val="00B4602A"/>
    <w:rsid w:val="00B56ABD"/>
    <w:rsid w:val="00B61404"/>
    <w:rsid w:val="00B65449"/>
    <w:rsid w:val="00B658AA"/>
    <w:rsid w:val="00B66ED2"/>
    <w:rsid w:val="00B73418"/>
    <w:rsid w:val="00B76C82"/>
    <w:rsid w:val="00B80704"/>
    <w:rsid w:val="00B82CDB"/>
    <w:rsid w:val="00B925BA"/>
    <w:rsid w:val="00B93FE5"/>
    <w:rsid w:val="00B94F0C"/>
    <w:rsid w:val="00BA0C9B"/>
    <w:rsid w:val="00BA47C8"/>
    <w:rsid w:val="00BB2AE9"/>
    <w:rsid w:val="00BB3DA0"/>
    <w:rsid w:val="00BB48BD"/>
    <w:rsid w:val="00BB5E54"/>
    <w:rsid w:val="00BB67AC"/>
    <w:rsid w:val="00BB67C1"/>
    <w:rsid w:val="00BD28B1"/>
    <w:rsid w:val="00BD2F9C"/>
    <w:rsid w:val="00BD47BD"/>
    <w:rsid w:val="00BD4CB2"/>
    <w:rsid w:val="00BD6CBD"/>
    <w:rsid w:val="00BD7BE8"/>
    <w:rsid w:val="00BE7102"/>
    <w:rsid w:val="00C01E6C"/>
    <w:rsid w:val="00C033E4"/>
    <w:rsid w:val="00C036AA"/>
    <w:rsid w:val="00C03E33"/>
    <w:rsid w:val="00C11A3E"/>
    <w:rsid w:val="00C14E5C"/>
    <w:rsid w:val="00C216A8"/>
    <w:rsid w:val="00C222D8"/>
    <w:rsid w:val="00C22B95"/>
    <w:rsid w:val="00C24BDA"/>
    <w:rsid w:val="00C24EA5"/>
    <w:rsid w:val="00C260CE"/>
    <w:rsid w:val="00C2762A"/>
    <w:rsid w:val="00C328E6"/>
    <w:rsid w:val="00C33D6A"/>
    <w:rsid w:val="00C34116"/>
    <w:rsid w:val="00C3459D"/>
    <w:rsid w:val="00C347D7"/>
    <w:rsid w:val="00C41C03"/>
    <w:rsid w:val="00C4401C"/>
    <w:rsid w:val="00C44906"/>
    <w:rsid w:val="00C4559E"/>
    <w:rsid w:val="00C5323A"/>
    <w:rsid w:val="00C60CF7"/>
    <w:rsid w:val="00C6301C"/>
    <w:rsid w:val="00C65860"/>
    <w:rsid w:val="00C71BF5"/>
    <w:rsid w:val="00C76F81"/>
    <w:rsid w:val="00C85A9F"/>
    <w:rsid w:val="00C863AF"/>
    <w:rsid w:val="00C87AE5"/>
    <w:rsid w:val="00C91AEA"/>
    <w:rsid w:val="00CA67B1"/>
    <w:rsid w:val="00CB0ACF"/>
    <w:rsid w:val="00CB1CA8"/>
    <w:rsid w:val="00CC252F"/>
    <w:rsid w:val="00CC28E0"/>
    <w:rsid w:val="00CD1AEC"/>
    <w:rsid w:val="00CE4592"/>
    <w:rsid w:val="00CE65DC"/>
    <w:rsid w:val="00CF1ABC"/>
    <w:rsid w:val="00CF41A7"/>
    <w:rsid w:val="00CF48D7"/>
    <w:rsid w:val="00D03227"/>
    <w:rsid w:val="00D05DF1"/>
    <w:rsid w:val="00D06979"/>
    <w:rsid w:val="00D16624"/>
    <w:rsid w:val="00D205BC"/>
    <w:rsid w:val="00D30AB2"/>
    <w:rsid w:val="00D31885"/>
    <w:rsid w:val="00D34BF7"/>
    <w:rsid w:val="00D35922"/>
    <w:rsid w:val="00D366D5"/>
    <w:rsid w:val="00D403C8"/>
    <w:rsid w:val="00D40745"/>
    <w:rsid w:val="00D41A40"/>
    <w:rsid w:val="00D45278"/>
    <w:rsid w:val="00D47307"/>
    <w:rsid w:val="00D54BD1"/>
    <w:rsid w:val="00D55ABF"/>
    <w:rsid w:val="00D60B4D"/>
    <w:rsid w:val="00D64128"/>
    <w:rsid w:val="00D72898"/>
    <w:rsid w:val="00D84DF2"/>
    <w:rsid w:val="00D87564"/>
    <w:rsid w:val="00D9003C"/>
    <w:rsid w:val="00D928F2"/>
    <w:rsid w:val="00D9464A"/>
    <w:rsid w:val="00DA1BC2"/>
    <w:rsid w:val="00DA4DF4"/>
    <w:rsid w:val="00DA662D"/>
    <w:rsid w:val="00DB005D"/>
    <w:rsid w:val="00DB2B63"/>
    <w:rsid w:val="00DB55D3"/>
    <w:rsid w:val="00DB7C00"/>
    <w:rsid w:val="00DC1F90"/>
    <w:rsid w:val="00DC5F0E"/>
    <w:rsid w:val="00DC6D32"/>
    <w:rsid w:val="00DD0285"/>
    <w:rsid w:val="00DD1E8D"/>
    <w:rsid w:val="00DD20C1"/>
    <w:rsid w:val="00DE43D3"/>
    <w:rsid w:val="00DE6554"/>
    <w:rsid w:val="00DE7AC9"/>
    <w:rsid w:val="00DF4CCA"/>
    <w:rsid w:val="00E001FA"/>
    <w:rsid w:val="00E00C08"/>
    <w:rsid w:val="00E031C4"/>
    <w:rsid w:val="00E03536"/>
    <w:rsid w:val="00E04B0E"/>
    <w:rsid w:val="00E06D39"/>
    <w:rsid w:val="00E14999"/>
    <w:rsid w:val="00E174C7"/>
    <w:rsid w:val="00E209BC"/>
    <w:rsid w:val="00E26AAE"/>
    <w:rsid w:val="00E27594"/>
    <w:rsid w:val="00E27666"/>
    <w:rsid w:val="00E27EAD"/>
    <w:rsid w:val="00E31CDE"/>
    <w:rsid w:val="00E327C5"/>
    <w:rsid w:val="00E33E16"/>
    <w:rsid w:val="00E35C5E"/>
    <w:rsid w:val="00E37E7F"/>
    <w:rsid w:val="00E414BB"/>
    <w:rsid w:val="00E42578"/>
    <w:rsid w:val="00E45A93"/>
    <w:rsid w:val="00E50300"/>
    <w:rsid w:val="00E5199F"/>
    <w:rsid w:val="00E55267"/>
    <w:rsid w:val="00E56AC4"/>
    <w:rsid w:val="00E57DEB"/>
    <w:rsid w:val="00E636C2"/>
    <w:rsid w:val="00E722E9"/>
    <w:rsid w:val="00E801A4"/>
    <w:rsid w:val="00E81466"/>
    <w:rsid w:val="00E83225"/>
    <w:rsid w:val="00E86289"/>
    <w:rsid w:val="00E9294E"/>
    <w:rsid w:val="00E93762"/>
    <w:rsid w:val="00EA075F"/>
    <w:rsid w:val="00EA07CA"/>
    <w:rsid w:val="00EA34D7"/>
    <w:rsid w:val="00EA4D90"/>
    <w:rsid w:val="00EB024A"/>
    <w:rsid w:val="00EB16D2"/>
    <w:rsid w:val="00EC0C1D"/>
    <w:rsid w:val="00EC6B83"/>
    <w:rsid w:val="00ED24F8"/>
    <w:rsid w:val="00ED4558"/>
    <w:rsid w:val="00ED45EF"/>
    <w:rsid w:val="00ED5667"/>
    <w:rsid w:val="00ED7658"/>
    <w:rsid w:val="00EE044A"/>
    <w:rsid w:val="00EE605F"/>
    <w:rsid w:val="00EE7A3E"/>
    <w:rsid w:val="00F0420A"/>
    <w:rsid w:val="00F05A23"/>
    <w:rsid w:val="00F05F0B"/>
    <w:rsid w:val="00F127C9"/>
    <w:rsid w:val="00F16700"/>
    <w:rsid w:val="00F2035C"/>
    <w:rsid w:val="00F20A24"/>
    <w:rsid w:val="00F2105F"/>
    <w:rsid w:val="00F2196D"/>
    <w:rsid w:val="00F25E3B"/>
    <w:rsid w:val="00F26101"/>
    <w:rsid w:val="00F351C9"/>
    <w:rsid w:val="00F37947"/>
    <w:rsid w:val="00F502A4"/>
    <w:rsid w:val="00F60FC2"/>
    <w:rsid w:val="00F6628B"/>
    <w:rsid w:val="00F67F5A"/>
    <w:rsid w:val="00F67FB0"/>
    <w:rsid w:val="00F70EEA"/>
    <w:rsid w:val="00F70F6C"/>
    <w:rsid w:val="00F7457A"/>
    <w:rsid w:val="00F75D14"/>
    <w:rsid w:val="00F75F25"/>
    <w:rsid w:val="00F806F1"/>
    <w:rsid w:val="00F84B2D"/>
    <w:rsid w:val="00F84C66"/>
    <w:rsid w:val="00F84E27"/>
    <w:rsid w:val="00F862D2"/>
    <w:rsid w:val="00F876FB"/>
    <w:rsid w:val="00FA0ACB"/>
    <w:rsid w:val="00FA1B4D"/>
    <w:rsid w:val="00FA7202"/>
    <w:rsid w:val="00FB0AFD"/>
    <w:rsid w:val="00FB0CA5"/>
    <w:rsid w:val="00FB0E9C"/>
    <w:rsid w:val="00FB1232"/>
    <w:rsid w:val="00FC44A8"/>
    <w:rsid w:val="00FC5C69"/>
    <w:rsid w:val="00FC717A"/>
    <w:rsid w:val="00FD2B3E"/>
    <w:rsid w:val="00FD6BDC"/>
    <w:rsid w:val="00FD7743"/>
    <w:rsid w:val="00FE1F36"/>
    <w:rsid w:val="00FE2126"/>
    <w:rsid w:val="00FE3CCB"/>
    <w:rsid w:val="00FE5A45"/>
    <w:rsid w:val="00FF4EB2"/>
    <w:rsid w:val="00FF7D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2EC6CBD-5E66-451F-836E-9794EF10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96D"/>
  </w:style>
  <w:style w:type="paragraph" w:styleId="Titre1">
    <w:name w:val="heading 1"/>
    <w:basedOn w:val="Normal"/>
    <w:next w:val="Normal"/>
    <w:link w:val="Titre1Car"/>
    <w:uiPriority w:val="9"/>
    <w:qFormat/>
    <w:rsid w:val="00FA0A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qFormat/>
    <w:rsid w:val="00A871A4"/>
    <w:pPr>
      <w:keepNext/>
      <w:numPr>
        <w:numId w:val="3"/>
      </w:numPr>
      <w:pBdr>
        <w:bottom w:val="single" w:sz="12" w:space="1" w:color="548DD4"/>
      </w:pBdr>
      <w:tabs>
        <w:tab w:val="left" w:pos="284"/>
      </w:tabs>
      <w:spacing w:before="240" w:after="60" w:line="240" w:lineRule="auto"/>
      <w:outlineLvl w:val="1"/>
    </w:pPr>
    <w:rPr>
      <w:rFonts w:ascii="Arial Narrow" w:eastAsia="Times New Roman" w:hAnsi="Arial Narrow" w:cs="Arial"/>
      <w:b/>
      <w:bCs/>
      <w:color w:val="E36C0A"/>
      <w:kern w:val="32"/>
      <w:sz w:val="28"/>
      <w:szCs w:val="28"/>
      <w:lang w:eastAsia="fr-FR"/>
    </w:rPr>
  </w:style>
  <w:style w:type="paragraph" w:styleId="Titre3">
    <w:name w:val="heading 3"/>
    <w:basedOn w:val="Normal"/>
    <w:next w:val="Normal"/>
    <w:link w:val="Titre3Car"/>
    <w:uiPriority w:val="99"/>
    <w:qFormat/>
    <w:rsid w:val="00A871A4"/>
    <w:pPr>
      <w:keepNext/>
      <w:numPr>
        <w:ilvl w:val="1"/>
        <w:numId w:val="3"/>
      </w:numPr>
      <w:spacing w:before="240" w:after="60" w:line="240" w:lineRule="auto"/>
      <w:outlineLvl w:val="2"/>
    </w:pPr>
    <w:rPr>
      <w:rFonts w:ascii="Trebuchet MS" w:eastAsia="Times New Roman" w:hAnsi="Trebuchet MS" w:cs="Arial"/>
      <w:b/>
      <w:bCs/>
      <w:color w:val="E36C0A"/>
      <w:sz w:val="26"/>
      <w:szCs w:val="26"/>
      <w:lang w:val="fr-CA" w:eastAsia="fr-FR"/>
    </w:rPr>
  </w:style>
  <w:style w:type="paragraph" w:styleId="Titre4">
    <w:name w:val="heading 4"/>
    <w:basedOn w:val="Normal"/>
    <w:next w:val="Normal"/>
    <w:link w:val="Titre4Car"/>
    <w:uiPriority w:val="9"/>
    <w:qFormat/>
    <w:rsid w:val="00A871A4"/>
    <w:pPr>
      <w:keepNext/>
      <w:numPr>
        <w:ilvl w:val="2"/>
        <w:numId w:val="3"/>
      </w:numPr>
      <w:spacing w:before="240" w:after="60" w:line="300" w:lineRule="auto"/>
      <w:jc w:val="both"/>
      <w:outlineLvl w:val="3"/>
    </w:pPr>
    <w:rPr>
      <w:rFonts w:ascii="Arial" w:eastAsia="Times New Roman" w:hAnsi="Arial" w:cs="Arial"/>
      <w:b/>
      <w:bCs/>
      <w:color w:val="E36C0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
    <w:basedOn w:val="Normal"/>
    <w:link w:val="ParagraphedelisteCar"/>
    <w:uiPriority w:val="34"/>
    <w:qFormat/>
    <w:rsid w:val="008877F9"/>
    <w:pPr>
      <w:ind w:left="720"/>
      <w:contextualSpacing/>
    </w:pPr>
  </w:style>
  <w:style w:type="character" w:customStyle="1" w:styleId="Titre2Car">
    <w:name w:val="Titre 2 Car"/>
    <w:basedOn w:val="Policepardfaut"/>
    <w:link w:val="Titre2"/>
    <w:uiPriority w:val="9"/>
    <w:rsid w:val="00A871A4"/>
    <w:rPr>
      <w:rFonts w:ascii="Arial Narrow" w:eastAsia="Times New Roman" w:hAnsi="Arial Narrow" w:cs="Arial"/>
      <w:b/>
      <w:bCs/>
      <w:color w:val="E36C0A"/>
      <w:kern w:val="32"/>
      <w:sz w:val="28"/>
      <w:szCs w:val="28"/>
      <w:lang w:eastAsia="fr-FR"/>
    </w:rPr>
  </w:style>
  <w:style w:type="character" w:customStyle="1" w:styleId="Titre3Car">
    <w:name w:val="Titre 3 Car"/>
    <w:basedOn w:val="Policepardfaut"/>
    <w:link w:val="Titre3"/>
    <w:uiPriority w:val="99"/>
    <w:rsid w:val="00A871A4"/>
    <w:rPr>
      <w:rFonts w:ascii="Trebuchet MS" w:eastAsia="Times New Roman" w:hAnsi="Trebuchet MS" w:cs="Arial"/>
      <w:b/>
      <w:bCs/>
      <w:color w:val="E36C0A"/>
      <w:sz w:val="26"/>
      <w:szCs w:val="26"/>
      <w:lang w:val="fr-CA" w:eastAsia="fr-FR"/>
    </w:rPr>
  </w:style>
  <w:style w:type="character" w:customStyle="1" w:styleId="Titre4Car">
    <w:name w:val="Titre 4 Car"/>
    <w:basedOn w:val="Policepardfaut"/>
    <w:link w:val="Titre4"/>
    <w:uiPriority w:val="9"/>
    <w:rsid w:val="00A871A4"/>
    <w:rPr>
      <w:rFonts w:ascii="Arial" w:eastAsia="Times New Roman" w:hAnsi="Arial" w:cs="Arial"/>
      <w:b/>
      <w:bCs/>
      <w:color w:val="E36C0A"/>
      <w:lang w:eastAsia="fr-FR"/>
    </w:rPr>
  </w:style>
  <w:style w:type="paragraph" w:styleId="Lgende">
    <w:name w:val="caption"/>
    <w:basedOn w:val="Normal"/>
    <w:next w:val="Normal"/>
    <w:uiPriority w:val="35"/>
    <w:qFormat/>
    <w:rsid w:val="00A871A4"/>
    <w:pPr>
      <w:keepNext/>
      <w:spacing w:after="0" w:line="240" w:lineRule="auto"/>
      <w:jc w:val="center"/>
    </w:pPr>
    <w:rPr>
      <w:rFonts w:ascii="Copperplate Gothic Bold" w:eastAsia="Times New Roman" w:hAnsi="Copperplate Gothic Bold" w:cs="Tahoma"/>
      <w:bCs/>
      <w:sz w:val="16"/>
      <w:szCs w:val="16"/>
      <w:lang w:eastAsia="fr-FR"/>
    </w:rPr>
  </w:style>
  <w:style w:type="paragraph" w:styleId="Notedebasdepage">
    <w:name w:val="footnote text"/>
    <w:aliases w:val="Footnote Text1,single space,Fodnotetekst Tegn,footnote text Char,Fodnotetekst Tegn Char,single space Char,footnote text Char Char Char,Fodnotetekst Tegn Char1,single space Char1,footnote text Char Char1,FOOTNOTES,fn,ALTS FOOTNOTE,f,A"/>
    <w:basedOn w:val="Normal"/>
    <w:link w:val="NotedebasdepageCar"/>
    <w:uiPriority w:val="99"/>
    <w:rsid w:val="00A871A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 Text1 Car,single space Car,Fodnotetekst Tegn Car,footnote text Char Car,Fodnotetekst Tegn Char Car,single space Char Car,footnote text Char Char Char Car,Fodnotetekst Tegn Char1 Car,single space Char1 Car,FOOTNOTES Car"/>
    <w:basedOn w:val="Policepardfaut"/>
    <w:link w:val="Notedebasdepage"/>
    <w:uiPriority w:val="99"/>
    <w:rsid w:val="00A871A4"/>
    <w:rPr>
      <w:rFonts w:ascii="Times New Roman" w:eastAsia="Times New Roman" w:hAnsi="Times New Roman" w:cs="Times New Roman"/>
      <w:sz w:val="20"/>
      <w:szCs w:val="20"/>
      <w:lang w:eastAsia="fr-FR"/>
    </w:rPr>
  </w:style>
  <w:style w:type="character" w:customStyle="1" w:styleId="ParagraphedelisteCar">
    <w:name w:val="Paragraphe de liste Car"/>
    <w:aliases w:val="Bullets Car"/>
    <w:basedOn w:val="Policepardfaut"/>
    <w:link w:val="Paragraphedeliste"/>
    <w:uiPriority w:val="34"/>
    <w:locked/>
    <w:rsid w:val="00A871A4"/>
  </w:style>
  <w:style w:type="paragraph" w:customStyle="1" w:styleId="GARPH">
    <w:name w:val="GARPH"/>
    <w:basedOn w:val="Normal"/>
    <w:link w:val="GARPHCar"/>
    <w:autoRedefine/>
    <w:uiPriority w:val="99"/>
    <w:rsid w:val="000B4F9C"/>
    <w:pPr>
      <w:tabs>
        <w:tab w:val="num" w:pos="2880"/>
      </w:tabs>
      <w:spacing w:before="120" w:after="0"/>
      <w:jc w:val="both"/>
    </w:pPr>
    <w:rPr>
      <w:rFonts w:ascii="Garamond" w:eastAsia="Times New Roman" w:hAnsi="Garamond" w:cs="Garamond"/>
      <w:bCs/>
      <w:lang w:val="fr-CA" w:eastAsia="fr-CA"/>
    </w:rPr>
  </w:style>
  <w:style w:type="character" w:customStyle="1" w:styleId="GARPHCar">
    <w:name w:val="GARPH Car"/>
    <w:basedOn w:val="Policepardfaut"/>
    <w:link w:val="GARPH"/>
    <w:uiPriority w:val="99"/>
    <w:locked/>
    <w:rsid w:val="000B4F9C"/>
    <w:rPr>
      <w:rFonts w:ascii="Garamond" w:eastAsia="Times New Roman" w:hAnsi="Garamond" w:cs="Garamond"/>
      <w:bCs/>
      <w:lang w:val="fr-CA" w:eastAsia="fr-CA"/>
    </w:rPr>
  </w:style>
  <w:style w:type="paragraph" w:styleId="Textedebulles">
    <w:name w:val="Balloon Text"/>
    <w:basedOn w:val="Normal"/>
    <w:link w:val="TextedebullesCar"/>
    <w:uiPriority w:val="99"/>
    <w:semiHidden/>
    <w:unhideWhenUsed/>
    <w:rsid w:val="00A871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71A4"/>
    <w:rPr>
      <w:rFonts w:ascii="Tahoma" w:hAnsi="Tahoma" w:cs="Tahoma"/>
      <w:sz w:val="16"/>
      <w:szCs w:val="16"/>
    </w:rPr>
  </w:style>
  <w:style w:type="paragraph" w:styleId="NormalWeb">
    <w:name w:val="Normal (Web)"/>
    <w:basedOn w:val="Normal"/>
    <w:rsid w:val="00B6140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Justifi">
    <w:name w:val="Normal + Justifié"/>
    <w:basedOn w:val="Normal"/>
    <w:rsid w:val="004400D4"/>
    <w:pPr>
      <w:spacing w:after="0" w:line="240" w:lineRule="auto"/>
      <w:jc w:val="both"/>
    </w:pPr>
    <w:rPr>
      <w:rFonts w:ascii="Garamond" w:eastAsia="Times New Roman" w:hAnsi="Garamond" w:cs="Garamond"/>
      <w:sz w:val="24"/>
      <w:szCs w:val="24"/>
      <w:lang w:eastAsia="fr-FR"/>
    </w:rPr>
  </w:style>
  <w:style w:type="paragraph" w:styleId="En-tte">
    <w:name w:val="header"/>
    <w:basedOn w:val="Normal"/>
    <w:link w:val="En-tteCar"/>
    <w:uiPriority w:val="99"/>
    <w:semiHidden/>
    <w:unhideWhenUsed/>
    <w:rsid w:val="001F596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5967"/>
  </w:style>
  <w:style w:type="paragraph" w:styleId="Pieddepage">
    <w:name w:val="footer"/>
    <w:basedOn w:val="Normal"/>
    <w:link w:val="PieddepageCar"/>
    <w:uiPriority w:val="99"/>
    <w:semiHidden/>
    <w:unhideWhenUsed/>
    <w:rsid w:val="001F596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F5967"/>
  </w:style>
  <w:style w:type="character" w:styleId="Appelnotedebasdep">
    <w:name w:val="footnote reference"/>
    <w:aliases w:val="ftref,note bp,Footnotes refss,Footnote Reference1,16 Point,Superscript 6 Point,List Bullet Char1,Footnote Reference Char,List Bullet Char...,List Bullet Char Char,Car Car Char Car Char Car Car Char Char,BVI fnr, BVI fnr"/>
    <w:basedOn w:val="Policepardfaut"/>
    <w:unhideWhenUsed/>
    <w:rsid w:val="00D34BF7"/>
    <w:rPr>
      <w:vertAlign w:val="superscript"/>
    </w:rPr>
  </w:style>
  <w:style w:type="table" w:styleId="Grilledutableau">
    <w:name w:val="Table Grid"/>
    <w:basedOn w:val="TableauNormal"/>
    <w:uiPriority w:val="39"/>
    <w:rsid w:val="005B2D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FA0ACB"/>
    <w:rPr>
      <w:rFonts w:asciiTheme="majorHAnsi" w:eastAsiaTheme="majorEastAsia" w:hAnsiTheme="majorHAnsi" w:cstheme="majorBidi"/>
      <w:b/>
      <w:bCs/>
      <w:color w:val="365F91" w:themeColor="accent1" w:themeShade="BF"/>
      <w:sz w:val="28"/>
      <w:szCs w:val="28"/>
    </w:rPr>
  </w:style>
  <w:style w:type="paragraph" w:styleId="TM1">
    <w:name w:val="toc 1"/>
    <w:basedOn w:val="Normal"/>
    <w:next w:val="Normal"/>
    <w:autoRedefine/>
    <w:uiPriority w:val="39"/>
    <w:unhideWhenUsed/>
    <w:rsid w:val="009B63D2"/>
    <w:pPr>
      <w:spacing w:before="120" w:after="0"/>
    </w:pPr>
    <w:rPr>
      <w:b/>
      <w:bCs/>
      <w:i/>
      <w:iCs/>
      <w:sz w:val="24"/>
      <w:szCs w:val="24"/>
    </w:rPr>
  </w:style>
  <w:style w:type="paragraph" w:styleId="TM2">
    <w:name w:val="toc 2"/>
    <w:basedOn w:val="Normal"/>
    <w:next w:val="Normal"/>
    <w:autoRedefine/>
    <w:uiPriority w:val="39"/>
    <w:unhideWhenUsed/>
    <w:rsid w:val="009B63D2"/>
    <w:pPr>
      <w:spacing w:before="120" w:after="0"/>
      <w:ind w:left="220"/>
    </w:pPr>
    <w:rPr>
      <w:b/>
      <w:bCs/>
    </w:rPr>
  </w:style>
  <w:style w:type="paragraph" w:styleId="TM3">
    <w:name w:val="toc 3"/>
    <w:basedOn w:val="Normal"/>
    <w:next w:val="Normal"/>
    <w:autoRedefine/>
    <w:uiPriority w:val="39"/>
    <w:unhideWhenUsed/>
    <w:rsid w:val="009B63D2"/>
    <w:pPr>
      <w:spacing w:after="0"/>
      <w:ind w:left="440"/>
    </w:pPr>
    <w:rPr>
      <w:sz w:val="20"/>
      <w:szCs w:val="20"/>
    </w:rPr>
  </w:style>
  <w:style w:type="paragraph" w:styleId="TM4">
    <w:name w:val="toc 4"/>
    <w:basedOn w:val="Normal"/>
    <w:next w:val="Normal"/>
    <w:autoRedefine/>
    <w:uiPriority w:val="39"/>
    <w:unhideWhenUsed/>
    <w:rsid w:val="009B63D2"/>
    <w:pPr>
      <w:spacing w:after="0"/>
      <w:ind w:left="660"/>
    </w:pPr>
    <w:rPr>
      <w:sz w:val="20"/>
      <w:szCs w:val="20"/>
    </w:rPr>
  </w:style>
  <w:style w:type="paragraph" w:styleId="TM5">
    <w:name w:val="toc 5"/>
    <w:basedOn w:val="Normal"/>
    <w:next w:val="Normal"/>
    <w:autoRedefine/>
    <w:uiPriority w:val="39"/>
    <w:unhideWhenUsed/>
    <w:rsid w:val="009B63D2"/>
    <w:pPr>
      <w:spacing w:after="0"/>
      <w:ind w:left="880"/>
    </w:pPr>
    <w:rPr>
      <w:sz w:val="20"/>
      <w:szCs w:val="20"/>
    </w:rPr>
  </w:style>
  <w:style w:type="paragraph" w:styleId="TM6">
    <w:name w:val="toc 6"/>
    <w:basedOn w:val="Normal"/>
    <w:next w:val="Normal"/>
    <w:autoRedefine/>
    <w:uiPriority w:val="39"/>
    <w:unhideWhenUsed/>
    <w:rsid w:val="009B63D2"/>
    <w:pPr>
      <w:spacing w:after="0"/>
      <w:ind w:left="1100"/>
    </w:pPr>
    <w:rPr>
      <w:sz w:val="20"/>
      <w:szCs w:val="20"/>
    </w:rPr>
  </w:style>
  <w:style w:type="paragraph" w:styleId="TM7">
    <w:name w:val="toc 7"/>
    <w:basedOn w:val="Normal"/>
    <w:next w:val="Normal"/>
    <w:autoRedefine/>
    <w:uiPriority w:val="39"/>
    <w:unhideWhenUsed/>
    <w:rsid w:val="009B63D2"/>
    <w:pPr>
      <w:spacing w:after="0"/>
      <w:ind w:left="1320"/>
    </w:pPr>
    <w:rPr>
      <w:sz w:val="20"/>
      <w:szCs w:val="20"/>
    </w:rPr>
  </w:style>
  <w:style w:type="paragraph" w:styleId="TM8">
    <w:name w:val="toc 8"/>
    <w:basedOn w:val="Normal"/>
    <w:next w:val="Normal"/>
    <w:autoRedefine/>
    <w:uiPriority w:val="39"/>
    <w:unhideWhenUsed/>
    <w:rsid w:val="009B63D2"/>
    <w:pPr>
      <w:spacing w:after="0"/>
      <w:ind w:left="1540"/>
    </w:pPr>
    <w:rPr>
      <w:sz w:val="20"/>
      <w:szCs w:val="20"/>
    </w:rPr>
  </w:style>
  <w:style w:type="paragraph" w:styleId="TM9">
    <w:name w:val="toc 9"/>
    <w:basedOn w:val="Normal"/>
    <w:next w:val="Normal"/>
    <w:autoRedefine/>
    <w:uiPriority w:val="39"/>
    <w:unhideWhenUsed/>
    <w:rsid w:val="009B63D2"/>
    <w:pPr>
      <w:spacing w:after="0"/>
      <w:ind w:left="1760"/>
    </w:pPr>
    <w:rPr>
      <w:sz w:val="20"/>
      <w:szCs w:val="20"/>
    </w:rPr>
  </w:style>
  <w:style w:type="character" w:styleId="Lienhypertexte">
    <w:name w:val="Hyperlink"/>
    <w:basedOn w:val="Policepardfaut"/>
    <w:uiPriority w:val="99"/>
    <w:unhideWhenUsed/>
    <w:rsid w:val="009B63D2"/>
    <w:rPr>
      <w:color w:val="0000FF" w:themeColor="hyperlink"/>
      <w:u w:val="single"/>
    </w:rPr>
  </w:style>
  <w:style w:type="paragraph" w:styleId="Tabledesillustrations">
    <w:name w:val="table of figures"/>
    <w:basedOn w:val="Normal"/>
    <w:next w:val="Normal"/>
    <w:uiPriority w:val="99"/>
    <w:unhideWhenUsed/>
    <w:rsid w:val="009B63D2"/>
    <w:pPr>
      <w:spacing w:after="0"/>
    </w:pPr>
    <w:rPr>
      <w:i/>
      <w:iCs/>
      <w:sz w:val="20"/>
      <w:szCs w:val="20"/>
    </w:rPr>
  </w:style>
  <w:style w:type="character" w:styleId="Textedelespacerserv">
    <w:name w:val="Placeholder Text"/>
    <w:basedOn w:val="Policepardfaut"/>
    <w:uiPriority w:val="99"/>
    <w:semiHidden/>
    <w:rsid w:val="000570DC"/>
    <w:rPr>
      <w:color w:val="808080"/>
    </w:rPr>
  </w:style>
  <w:style w:type="paragraph" w:styleId="Corpsdetexte">
    <w:name w:val="Body Text"/>
    <w:aliases w:val="Corps1"/>
    <w:basedOn w:val="Normal"/>
    <w:link w:val="CorpsdetexteCar"/>
    <w:rsid w:val="00F502A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Corps1 Car"/>
    <w:basedOn w:val="Policepardfaut"/>
    <w:link w:val="Corpsdetexte"/>
    <w:rsid w:val="00F502A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747">
      <w:bodyDiv w:val="1"/>
      <w:marLeft w:val="0"/>
      <w:marRight w:val="0"/>
      <w:marTop w:val="0"/>
      <w:marBottom w:val="0"/>
      <w:divBdr>
        <w:top w:val="none" w:sz="0" w:space="0" w:color="auto"/>
        <w:left w:val="none" w:sz="0" w:space="0" w:color="auto"/>
        <w:bottom w:val="none" w:sz="0" w:space="0" w:color="auto"/>
        <w:right w:val="none" w:sz="0" w:space="0" w:color="auto"/>
      </w:divBdr>
    </w:div>
    <w:div w:id="65807611">
      <w:bodyDiv w:val="1"/>
      <w:marLeft w:val="0"/>
      <w:marRight w:val="0"/>
      <w:marTop w:val="0"/>
      <w:marBottom w:val="0"/>
      <w:divBdr>
        <w:top w:val="none" w:sz="0" w:space="0" w:color="auto"/>
        <w:left w:val="none" w:sz="0" w:space="0" w:color="auto"/>
        <w:bottom w:val="none" w:sz="0" w:space="0" w:color="auto"/>
        <w:right w:val="none" w:sz="0" w:space="0" w:color="auto"/>
      </w:divBdr>
    </w:div>
    <w:div w:id="209462058">
      <w:bodyDiv w:val="1"/>
      <w:marLeft w:val="0"/>
      <w:marRight w:val="0"/>
      <w:marTop w:val="0"/>
      <w:marBottom w:val="0"/>
      <w:divBdr>
        <w:top w:val="none" w:sz="0" w:space="0" w:color="auto"/>
        <w:left w:val="none" w:sz="0" w:space="0" w:color="auto"/>
        <w:bottom w:val="none" w:sz="0" w:space="0" w:color="auto"/>
        <w:right w:val="none" w:sz="0" w:space="0" w:color="auto"/>
      </w:divBdr>
    </w:div>
    <w:div w:id="212886815">
      <w:bodyDiv w:val="1"/>
      <w:marLeft w:val="0"/>
      <w:marRight w:val="0"/>
      <w:marTop w:val="0"/>
      <w:marBottom w:val="0"/>
      <w:divBdr>
        <w:top w:val="none" w:sz="0" w:space="0" w:color="auto"/>
        <w:left w:val="none" w:sz="0" w:space="0" w:color="auto"/>
        <w:bottom w:val="none" w:sz="0" w:space="0" w:color="auto"/>
        <w:right w:val="none" w:sz="0" w:space="0" w:color="auto"/>
      </w:divBdr>
    </w:div>
    <w:div w:id="284770547">
      <w:bodyDiv w:val="1"/>
      <w:marLeft w:val="0"/>
      <w:marRight w:val="0"/>
      <w:marTop w:val="0"/>
      <w:marBottom w:val="0"/>
      <w:divBdr>
        <w:top w:val="none" w:sz="0" w:space="0" w:color="auto"/>
        <w:left w:val="none" w:sz="0" w:space="0" w:color="auto"/>
        <w:bottom w:val="none" w:sz="0" w:space="0" w:color="auto"/>
        <w:right w:val="none" w:sz="0" w:space="0" w:color="auto"/>
      </w:divBdr>
    </w:div>
    <w:div w:id="343018423">
      <w:bodyDiv w:val="1"/>
      <w:marLeft w:val="0"/>
      <w:marRight w:val="0"/>
      <w:marTop w:val="0"/>
      <w:marBottom w:val="0"/>
      <w:divBdr>
        <w:top w:val="none" w:sz="0" w:space="0" w:color="auto"/>
        <w:left w:val="none" w:sz="0" w:space="0" w:color="auto"/>
        <w:bottom w:val="none" w:sz="0" w:space="0" w:color="auto"/>
        <w:right w:val="none" w:sz="0" w:space="0" w:color="auto"/>
      </w:divBdr>
    </w:div>
    <w:div w:id="386340671">
      <w:bodyDiv w:val="1"/>
      <w:marLeft w:val="0"/>
      <w:marRight w:val="0"/>
      <w:marTop w:val="0"/>
      <w:marBottom w:val="0"/>
      <w:divBdr>
        <w:top w:val="none" w:sz="0" w:space="0" w:color="auto"/>
        <w:left w:val="none" w:sz="0" w:space="0" w:color="auto"/>
        <w:bottom w:val="none" w:sz="0" w:space="0" w:color="auto"/>
        <w:right w:val="none" w:sz="0" w:space="0" w:color="auto"/>
      </w:divBdr>
    </w:div>
    <w:div w:id="392045936">
      <w:bodyDiv w:val="1"/>
      <w:marLeft w:val="0"/>
      <w:marRight w:val="0"/>
      <w:marTop w:val="0"/>
      <w:marBottom w:val="0"/>
      <w:divBdr>
        <w:top w:val="none" w:sz="0" w:space="0" w:color="auto"/>
        <w:left w:val="none" w:sz="0" w:space="0" w:color="auto"/>
        <w:bottom w:val="none" w:sz="0" w:space="0" w:color="auto"/>
        <w:right w:val="none" w:sz="0" w:space="0" w:color="auto"/>
      </w:divBdr>
    </w:div>
    <w:div w:id="502086802">
      <w:bodyDiv w:val="1"/>
      <w:marLeft w:val="0"/>
      <w:marRight w:val="0"/>
      <w:marTop w:val="0"/>
      <w:marBottom w:val="0"/>
      <w:divBdr>
        <w:top w:val="none" w:sz="0" w:space="0" w:color="auto"/>
        <w:left w:val="none" w:sz="0" w:space="0" w:color="auto"/>
        <w:bottom w:val="none" w:sz="0" w:space="0" w:color="auto"/>
        <w:right w:val="none" w:sz="0" w:space="0" w:color="auto"/>
      </w:divBdr>
    </w:div>
    <w:div w:id="523791892">
      <w:bodyDiv w:val="1"/>
      <w:marLeft w:val="0"/>
      <w:marRight w:val="0"/>
      <w:marTop w:val="0"/>
      <w:marBottom w:val="0"/>
      <w:divBdr>
        <w:top w:val="none" w:sz="0" w:space="0" w:color="auto"/>
        <w:left w:val="none" w:sz="0" w:space="0" w:color="auto"/>
        <w:bottom w:val="none" w:sz="0" w:space="0" w:color="auto"/>
        <w:right w:val="none" w:sz="0" w:space="0" w:color="auto"/>
      </w:divBdr>
    </w:div>
    <w:div w:id="655305353">
      <w:bodyDiv w:val="1"/>
      <w:marLeft w:val="0"/>
      <w:marRight w:val="0"/>
      <w:marTop w:val="0"/>
      <w:marBottom w:val="0"/>
      <w:divBdr>
        <w:top w:val="none" w:sz="0" w:space="0" w:color="auto"/>
        <w:left w:val="none" w:sz="0" w:space="0" w:color="auto"/>
        <w:bottom w:val="none" w:sz="0" w:space="0" w:color="auto"/>
        <w:right w:val="none" w:sz="0" w:space="0" w:color="auto"/>
      </w:divBdr>
    </w:div>
    <w:div w:id="763259520">
      <w:bodyDiv w:val="1"/>
      <w:marLeft w:val="0"/>
      <w:marRight w:val="0"/>
      <w:marTop w:val="0"/>
      <w:marBottom w:val="0"/>
      <w:divBdr>
        <w:top w:val="none" w:sz="0" w:space="0" w:color="auto"/>
        <w:left w:val="none" w:sz="0" w:space="0" w:color="auto"/>
        <w:bottom w:val="none" w:sz="0" w:space="0" w:color="auto"/>
        <w:right w:val="none" w:sz="0" w:space="0" w:color="auto"/>
      </w:divBdr>
    </w:div>
    <w:div w:id="798567256">
      <w:bodyDiv w:val="1"/>
      <w:marLeft w:val="0"/>
      <w:marRight w:val="0"/>
      <w:marTop w:val="0"/>
      <w:marBottom w:val="0"/>
      <w:divBdr>
        <w:top w:val="none" w:sz="0" w:space="0" w:color="auto"/>
        <w:left w:val="none" w:sz="0" w:space="0" w:color="auto"/>
        <w:bottom w:val="none" w:sz="0" w:space="0" w:color="auto"/>
        <w:right w:val="none" w:sz="0" w:space="0" w:color="auto"/>
      </w:divBdr>
    </w:div>
    <w:div w:id="816842749">
      <w:bodyDiv w:val="1"/>
      <w:marLeft w:val="0"/>
      <w:marRight w:val="0"/>
      <w:marTop w:val="0"/>
      <w:marBottom w:val="0"/>
      <w:divBdr>
        <w:top w:val="none" w:sz="0" w:space="0" w:color="auto"/>
        <w:left w:val="none" w:sz="0" w:space="0" w:color="auto"/>
        <w:bottom w:val="none" w:sz="0" w:space="0" w:color="auto"/>
        <w:right w:val="none" w:sz="0" w:space="0" w:color="auto"/>
      </w:divBdr>
    </w:div>
    <w:div w:id="819886141">
      <w:bodyDiv w:val="1"/>
      <w:marLeft w:val="0"/>
      <w:marRight w:val="0"/>
      <w:marTop w:val="0"/>
      <w:marBottom w:val="0"/>
      <w:divBdr>
        <w:top w:val="none" w:sz="0" w:space="0" w:color="auto"/>
        <w:left w:val="none" w:sz="0" w:space="0" w:color="auto"/>
        <w:bottom w:val="none" w:sz="0" w:space="0" w:color="auto"/>
        <w:right w:val="none" w:sz="0" w:space="0" w:color="auto"/>
      </w:divBdr>
    </w:div>
    <w:div w:id="901019004">
      <w:bodyDiv w:val="1"/>
      <w:marLeft w:val="0"/>
      <w:marRight w:val="0"/>
      <w:marTop w:val="0"/>
      <w:marBottom w:val="0"/>
      <w:divBdr>
        <w:top w:val="none" w:sz="0" w:space="0" w:color="auto"/>
        <w:left w:val="none" w:sz="0" w:space="0" w:color="auto"/>
        <w:bottom w:val="none" w:sz="0" w:space="0" w:color="auto"/>
        <w:right w:val="none" w:sz="0" w:space="0" w:color="auto"/>
      </w:divBdr>
    </w:div>
    <w:div w:id="947464640">
      <w:bodyDiv w:val="1"/>
      <w:marLeft w:val="0"/>
      <w:marRight w:val="0"/>
      <w:marTop w:val="0"/>
      <w:marBottom w:val="0"/>
      <w:divBdr>
        <w:top w:val="none" w:sz="0" w:space="0" w:color="auto"/>
        <w:left w:val="none" w:sz="0" w:space="0" w:color="auto"/>
        <w:bottom w:val="none" w:sz="0" w:space="0" w:color="auto"/>
        <w:right w:val="none" w:sz="0" w:space="0" w:color="auto"/>
      </w:divBdr>
    </w:div>
    <w:div w:id="970597767">
      <w:bodyDiv w:val="1"/>
      <w:marLeft w:val="0"/>
      <w:marRight w:val="0"/>
      <w:marTop w:val="0"/>
      <w:marBottom w:val="0"/>
      <w:divBdr>
        <w:top w:val="none" w:sz="0" w:space="0" w:color="auto"/>
        <w:left w:val="none" w:sz="0" w:space="0" w:color="auto"/>
        <w:bottom w:val="none" w:sz="0" w:space="0" w:color="auto"/>
        <w:right w:val="none" w:sz="0" w:space="0" w:color="auto"/>
      </w:divBdr>
    </w:div>
    <w:div w:id="1050151969">
      <w:bodyDiv w:val="1"/>
      <w:marLeft w:val="0"/>
      <w:marRight w:val="0"/>
      <w:marTop w:val="0"/>
      <w:marBottom w:val="0"/>
      <w:divBdr>
        <w:top w:val="none" w:sz="0" w:space="0" w:color="auto"/>
        <w:left w:val="none" w:sz="0" w:space="0" w:color="auto"/>
        <w:bottom w:val="none" w:sz="0" w:space="0" w:color="auto"/>
        <w:right w:val="none" w:sz="0" w:space="0" w:color="auto"/>
      </w:divBdr>
    </w:div>
    <w:div w:id="1158495003">
      <w:bodyDiv w:val="1"/>
      <w:marLeft w:val="0"/>
      <w:marRight w:val="0"/>
      <w:marTop w:val="0"/>
      <w:marBottom w:val="0"/>
      <w:divBdr>
        <w:top w:val="none" w:sz="0" w:space="0" w:color="auto"/>
        <w:left w:val="none" w:sz="0" w:space="0" w:color="auto"/>
        <w:bottom w:val="none" w:sz="0" w:space="0" w:color="auto"/>
        <w:right w:val="none" w:sz="0" w:space="0" w:color="auto"/>
      </w:divBdr>
    </w:div>
    <w:div w:id="1235899457">
      <w:bodyDiv w:val="1"/>
      <w:marLeft w:val="0"/>
      <w:marRight w:val="0"/>
      <w:marTop w:val="0"/>
      <w:marBottom w:val="0"/>
      <w:divBdr>
        <w:top w:val="none" w:sz="0" w:space="0" w:color="auto"/>
        <w:left w:val="none" w:sz="0" w:space="0" w:color="auto"/>
        <w:bottom w:val="none" w:sz="0" w:space="0" w:color="auto"/>
        <w:right w:val="none" w:sz="0" w:space="0" w:color="auto"/>
      </w:divBdr>
    </w:div>
    <w:div w:id="1374623454">
      <w:bodyDiv w:val="1"/>
      <w:marLeft w:val="0"/>
      <w:marRight w:val="0"/>
      <w:marTop w:val="0"/>
      <w:marBottom w:val="0"/>
      <w:divBdr>
        <w:top w:val="none" w:sz="0" w:space="0" w:color="auto"/>
        <w:left w:val="none" w:sz="0" w:space="0" w:color="auto"/>
        <w:bottom w:val="none" w:sz="0" w:space="0" w:color="auto"/>
        <w:right w:val="none" w:sz="0" w:space="0" w:color="auto"/>
      </w:divBdr>
    </w:div>
    <w:div w:id="1475485646">
      <w:bodyDiv w:val="1"/>
      <w:marLeft w:val="0"/>
      <w:marRight w:val="0"/>
      <w:marTop w:val="0"/>
      <w:marBottom w:val="0"/>
      <w:divBdr>
        <w:top w:val="none" w:sz="0" w:space="0" w:color="auto"/>
        <w:left w:val="none" w:sz="0" w:space="0" w:color="auto"/>
        <w:bottom w:val="none" w:sz="0" w:space="0" w:color="auto"/>
        <w:right w:val="none" w:sz="0" w:space="0" w:color="auto"/>
      </w:divBdr>
    </w:div>
    <w:div w:id="1482578716">
      <w:bodyDiv w:val="1"/>
      <w:marLeft w:val="0"/>
      <w:marRight w:val="0"/>
      <w:marTop w:val="0"/>
      <w:marBottom w:val="0"/>
      <w:divBdr>
        <w:top w:val="none" w:sz="0" w:space="0" w:color="auto"/>
        <w:left w:val="none" w:sz="0" w:space="0" w:color="auto"/>
        <w:bottom w:val="none" w:sz="0" w:space="0" w:color="auto"/>
        <w:right w:val="none" w:sz="0" w:space="0" w:color="auto"/>
      </w:divBdr>
    </w:div>
    <w:div w:id="1493713499">
      <w:bodyDiv w:val="1"/>
      <w:marLeft w:val="0"/>
      <w:marRight w:val="0"/>
      <w:marTop w:val="0"/>
      <w:marBottom w:val="0"/>
      <w:divBdr>
        <w:top w:val="none" w:sz="0" w:space="0" w:color="auto"/>
        <w:left w:val="none" w:sz="0" w:space="0" w:color="auto"/>
        <w:bottom w:val="none" w:sz="0" w:space="0" w:color="auto"/>
        <w:right w:val="none" w:sz="0" w:space="0" w:color="auto"/>
      </w:divBdr>
    </w:div>
    <w:div w:id="1569999909">
      <w:bodyDiv w:val="1"/>
      <w:marLeft w:val="0"/>
      <w:marRight w:val="0"/>
      <w:marTop w:val="0"/>
      <w:marBottom w:val="0"/>
      <w:divBdr>
        <w:top w:val="none" w:sz="0" w:space="0" w:color="auto"/>
        <w:left w:val="none" w:sz="0" w:space="0" w:color="auto"/>
        <w:bottom w:val="none" w:sz="0" w:space="0" w:color="auto"/>
        <w:right w:val="none" w:sz="0" w:space="0" w:color="auto"/>
      </w:divBdr>
    </w:div>
    <w:div w:id="1592932229">
      <w:bodyDiv w:val="1"/>
      <w:marLeft w:val="0"/>
      <w:marRight w:val="0"/>
      <w:marTop w:val="0"/>
      <w:marBottom w:val="0"/>
      <w:divBdr>
        <w:top w:val="none" w:sz="0" w:space="0" w:color="auto"/>
        <w:left w:val="none" w:sz="0" w:space="0" w:color="auto"/>
        <w:bottom w:val="none" w:sz="0" w:space="0" w:color="auto"/>
        <w:right w:val="none" w:sz="0" w:space="0" w:color="auto"/>
      </w:divBdr>
    </w:div>
    <w:div w:id="1663970898">
      <w:bodyDiv w:val="1"/>
      <w:marLeft w:val="0"/>
      <w:marRight w:val="0"/>
      <w:marTop w:val="0"/>
      <w:marBottom w:val="0"/>
      <w:divBdr>
        <w:top w:val="none" w:sz="0" w:space="0" w:color="auto"/>
        <w:left w:val="none" w:sz="0" w:space="0" w:color="auto"/>
        <w:bottom w:val="none" w:sz="0" w:space="0" w:color="auto"/>
        <w:right w:val="none" w:sz="0" w:space="0" w:color="auto"/>
      </w:divBdr>
    </w:div>
    <w:div w:id="1701659758">
      <w:bodyDiv w:val="1"/>
      <w:marLeft w:val="0"/>
      <w:marRight w:val="0"/>
      <w:marTop w:val="0"/>
      <w:marBottom w:val="0"/>
      <w:divBdr>
        <w:top w:val="none" w:sz="0" w:space="0" w:color="auto"/>
        <w:left w:val="none" w:sz="0" w:space="0" w:color="auto"/>
        <w:bottom w:val="none" w:sz="0" w:space="0" w:color="auto"/>
        <w:right w:val="none" w:sz="0" w:space="0" w:color="auto"/>
      </w:divBdr>
    </w:div>
    <w:div w:id="1760327566">
      <w:bodyDiv w:val="1"/>
      <w:marLeft w:val="0"/>
      <w:marRight w:val="0"/>
      <w:marTop w:val="0"/>
      <w:marBottom w:val="0"/>
      <w:divBdr>
        <w:top w:val="none" w:sz="0" w:space="0" w:color="auto"/>
        <w:left w:val="none" w:sz="0" w:space="0" w:color="auto"/>
        <w:bottom w:val="none" w:sz="0" w:space="0" w:color="auto"/>
        <w:right w:val="none" w:sz="0" w:space="0" w:color="auto"/>
      </w:divBdr>
    </w:div>
    <w:div w:id="1827237882">
      <w:bodyDiv w:val="1"/>
      <w:marLeft w:val="0"/>
      <w:marRight w:val="0"/>
      <w:marTop w:val="0"/>
      <w:marBottom w:val="0"/>
      <w:divBdr>
        <w:top w:val="none" w:sz="0" w:space="0" w:color="auto"/>
        <w:left w:val="none" w:sz="0" w:space="0" w:color="auto"/>
        <w:bottom w:val="none" w:sz="0" w:space="0" w:color="auto"/>
        <w:right w:val="none" w:sz="0" w:space="0" w:color="auto"/>
      </w:divBdr>
    </w:div>
    <w:div w:id="1851722842">
      <w:bodyDiv w:val="1"/>
      <w:marLeft w:val="0"/>
      <w:marRight w:val="0"/>
      <w:marTop w:val="0"/>
      <w:marBottom w:val="0"/>
      <w:divBdr>
        <w:top w:val="none" w:sz="0" w:space="0" w:color="auto"/>
        <w:left w:val="none" w:sz="0" w:space="0" w:color="auto"/>
        <w:bottom w:val="none" w:sz="0" w:space="0" w:color="auto"/>
        <w:right w:val="none" w:sz="0" w:space="0" w:color="auto"/>
      </w:divBdr>
    </w:div>
    <w:div w:id="1901088712">
      <w:bodyDiv w:val="1"/>
      <w:marLeft w:val="0"/>
      <w:marRight w:val="0"/>
      <w:marTop w:val="0"/>
      <w:marBottom w:val="0"/>
      <w:divBdr>
        <w:top w:val="none" w:sz="0" w:space="0" w:color="auto"/>
        <w:left w:val="none" w:sz="0" w:space="0" w:color="auto"/>
        <w:bottom w:val="none" w:sz="0" w:space="0" w:color="auto"/>
        <w:right w:val="none" w:sz="0" w:space="0" w:color="auto"/>
      </w:divBdr>
    </w:div>
    <w:div w:id="19882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H:\Deptete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EDEDJI\Desktop\Emicov\Inflation_Emico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EDEDJI\Desktop\Emicov\Inflation_Emicov.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Noyau%20du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Pauvrete!$C$15</c:f>
              <c:strCache>
                <c:ptCount val="1"/>
                <c:pt idx="0">
                  <c:v>2015</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Pauvrete!$B$16:$B$18</c:f>
              <c:strCache>
                <c:ptCount val="3"/>
                <c:pt idx="0">
                  <c:v>Urbain</c:v>
                </c:pt>
                <c:pt idx="1">
                  <c:v>Rural</c:v>
                </c:pt>
                <c:pt idx="2">
                  <c:v>Ensemble</c:v>
                </c:pt>
              </c:strCache>
            </c:strRef>
          </c:cat>
          <c:val>
            <c:numRef>
              <c:f>Pauvrete!$C$16:$C$18</c:f>
              <c:numCache>
                <c:formatCode>0.0</c:formatCode>
                <c:ptCount val="3"/>
                <c:pt idx="0">
                  <c:v>35.827316699526783</c:v>
                </c:pt>
                <c:pt idx="1">
                  <c:v>43.562046819823919</c:v>
                </c:pt>
                <c:pt idx="2">
                  <c:v>40.081153457210512</c:v>
                </c:pt>
              </c:numCache>
            </c:numRef>
          </c:val>
        </c:ser>
        <c:ser>
          <c:idx val="1"/>
          <c:order val="1"/>
          <c:tx>
            <c:strRef>
              <c:f>Pauvrete!$D$15</c:f>
              <c:strCache>
                <c:ptCount val="1"/>
                <c:pt idx="0">
                  <c:v>2011</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Pauvrete!$B$16:$B$18</c:f>
              <c:strCache>
                <c:ptCount val="3"/>
                <c:pt idx="0">
                  <c:v>Urbain</c:v>
                </c:pt>
                <c:pt idx="1">
                  <c:v>Rural</c:v>
                </c:pt>
                <c:pt idx="2">
                  <c:v>Ensemble</c:v>
                </c:pt>
              </c:strCache>
            </c:strRef>
          </c:cat>
          <c:val>
            <c:numRef>
              <c:f>Pauvrete!$D$16:$D$18</c:f>
              <c:numCache>
                <c:formatCode>0.0</c:formatCode>
                <c:ptCount val="3"/>
                <c:pt idx="0">
                  <c:v>31.35</c:v>
                </c:pt>
                <c:pt idx="1">
                  <c:v>39.690000000000012</c:v>
                </c:pt>
                <c:pt idx="2">
                  <c:v>36.200000000000003</c:v>
                </c:pt>
              </c:numCache>
            </c:numRef>
          </c:val>
        </c:ser>
        <c:dLbls>
          <c:showLegendKey val="0"/>
          <c:showVal val="1"/>
          <c:showCatName val="0"/>
          <c:showSerName val="0"/>
          <c:showPercent val="0"/>
          <c:showBubbleSize val="0"/>
        </c:dLbls>
        <c:gapWidth val="75"/>
        <c:axId val="251542416"/>
        <c:axId val="251545216"/>
      </c:barChart>
      <c:catAx>
        <c:axId val="251542416"/>
        <c:scaling>
          <c:orientation val="minMax"/>
        </c:scaling>
        <c:delete val="0"/>
        <c:axPos val="b"/>
        <c:numFmt formatCode="General" sourceLinked="0"/>
        <c:majorTickMark val="none"/>
        <c:minorTickMark val="none"/>
        <c:tickLblPos val="nextTo"/>
        <c:crossAx val="251545216"/>
        <c:crosses val="autoZero"/>
        <c:auto val="1"/>
        <c:lblAlgn val="ctr"/>
        <c:lblOffset val="100"/>
        <c:noMultiLvlLbl val="0"/>
      </c:catAx>
      <c:valAx>
        <c:axId val="251545216"/>
        <c:scaling>
          <c:orientation val="minMax"/>
        </c:scaling>
        <c:delete val="0"/>
        <c:axPos val="l"/>
        <c:numFmt formatCode="0.0" sourceLinked="1"/>
        <c:majorTickMark val="none"/>
        <c:minorTickMark val="none"/>
        <c:tickLblPos val="nextTo"/>
        <c:crossAx val="25154241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Synthese_pau_subj!$B$2</c:f>
              <c:strCache>
                <c:ptCount val="1"/>
                <c:pt idx="0">
                  <c:v>2011</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Synthese_pau_subj!$A$3:$A$7</c:f>
              <c:strCache>
                <c:ptCount val="5"/>
                <c:pt idx="0">
                  <c:v>Des 20% les plus pauvres</c:v>
                </c:pt>
                <c:pt idx="1">
                  <c:v>Des 20% moyennement pauvres</c:v>
                </c:pt>
                <c:pt idx="2">
                  <c:v>Des 20% qui sont au milieu</c:v>
                </c:pt>
                <c:pt idx="3">
                  <c:v>Des 20% moyennement riches</c:v>
                </c:pt>
                <c:pt idx="4">
                  <c:v>Des 20% les plus riches</c:v>
                </c:pt>
              </c:strCache>
            </c:strRef>
          </c:cat>
          <c:val>
            <c:numRef>
              <c:f>Synthese_pau_subj!$B$3:$B$7</c:f>
              <c:numCache>
                <c:formatCode>####.0</c:formatCode>
                <c:ptCount val="5"/>
                <c:pt idx="0">
                  <c:v>28.146724232399652</c:v>
                </c:pt>
                <c:pt idx="1">
                  <c:v>43.573069013747933</c:v>
                </c:pt>
                <c:pt idx="2">
                  <c:v>24.323595362512958</c:v>
                </c:pt>
                <c:pt idx="3">
                  <c:v>2.9216498273380767</c:v>
                </c:pt>
                <c:pt idx="4">
                  <c:v>1.0349615640008547</c:v>
                </c:pt>
              </c:numCache>
            </c:numRef>
          </c:val>
        </c:ser>
        <c:ser>
          <c:idx val="1"/>
          <c:order val="1"/>
          <c:tx>
            <c:strRef>
              <c:f>Synthese_pau_subj!$C$2</c:f>
              <c:strCache>
                <c:ptCount val="1"/>
                <c:pt idx="0">
                  <c:v>2015</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Synthese_pau_subj!$A$3:$A$7</c:f>
              <c:strCache>
                <c:ptCount val="5"/>
                <c:pt idx="0">
                  <c:v>Des 20% les plus pauvres</c:v>
                </c:pt>
                <c:pt idx="1">
                  <c:v>Des 20% moyennement pauvres</c:v>
                </c:pt>
                <c:pt idx="2">
                  <c:v>Des 20% qui sont au milieu</c:v>
                </c:pt>
                <c:pt idx="3">
                  <c:v>Des 20% moyennement riches</c:v>
                </c:pt>
                <c:pt idx="4">
                  <c:v>Des 20% les plus riches</c:v>
                </c:pt>
              </c:strCache>
            </c:strRef>
          </c:cat>
          <c:val>
            <c:numRef>
              <c:f>Synthese_pau_subj!$C$3:$C$7</c:f>
              <c:numCache>
                <c:formatCode>####.0</c:formatCode>
                <c:ptCount val="5"/>
                <c:pt idx="0">
                  <c:v>24.708765440567177</c:v>
                </c:pt>
                <c:pt idx="1">
                  <c:v>41.940650358335056</c:v>
                </c:pt>
                <c:pt idx="2">
                  <c:v>28.212255965027708</c:v>
                </c:pt>
                <c:pt idx="3">
                  <c:v>4.6875710090965645</c:v>
                </c:pt>
                <c:pt idx="4">
                  <c:v>0.45075722697330323</c:v>
                </c:pt>
              </c:numCache>
            </c:numRef>
          </c:val>
        </c:ser>
        <c:dLbls>
          <c:showLegendKey val="0"/>
          <c:showVal val="1"/>
          <c:showCatName val="0"/>
          <c:showSerName val="0"/>
          <c:showPercent val="0"/>
          <c:showBubbleSize val="0"/>
        </c:dLbls>
        <c:gapWidth val="75"/>
        <c:axId val="222192128"/>
        <c:axId val="222189888"/>
      </c:barChart>
      <c:catAx>
        <c:axId val="222192128"/>
        <c:scaling>
          <c:orientation val="minMax"/>
        </c:scaling>
        <c:delete val="0"/>
        <c:axPos val="b"/>
        <c:numFmt formatCode="General" sourceLinked="0"/>
        <c:majorTickMark val="none"/>
        <c:minorTickMark val="none"/>
        <c:tickLblPos val="nextTo"/>
        <c:txPr>
          <a:bodyPr rot="-5400000" vert="horz"/>
          <a:lstStyle/>
          <a:p>
            <a:pPr>
              <a:defRPr/>
            </a:pPr>
            <a:endParaRPr lang="fr-FR"/>
          </a:p>
        </c:txPr>
        <c:crossAx val="222189888"/>
        <c:crosses val="autoZero"/>
        <c:auto val="1"/>
        <c:lblAlgn val="ctr"/>
        <c:lblOffset val="100"/>
        <c:noMultiLvlLbl val="0"/>
      </c:catAx>
      <c:valAx>
        <c:axId val="222189888"/>
        <c:scaling>
          <c:orientation val="minMax"/>
        </c:scaling>
        <c:delete val="0"/>
        <c:axPos val="l"/>
        <c:numFmt formatCode="####.0" sourceLinked="1"/>
        <c:majorTickMark val="none"/>
        <c:minorTickMark val="none"/>
        <c:tickLblPos val="nextTo"/>
        <c:crossAx val="22219212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Synthese_pau_subj!$B$27</c:f>
              <c:strCache>
                <c:ptCount val="1"/>
                <c:pt idx="0">
                  <c:v>2011</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Synthese_pau_subj!$A$28:$A$31</c:f>
              <c:strCache>
                <c:ptCount val="4"/>
                <c:pt idx="0">
                  <c:v>Vit bien</c:v>
                </c:pt>
                <c:pt idx="1">
                  <c:v>Ca va à peu près</c:v>
                </c:pt>
                <c:pt idx="2">
                  <c:v>Ca va mais il faut faire attention</c:v>
                </c:pt>
                <c:pt idx="3">
                  <c:v>Vit difficilement</c:v>
                </c:pt>
              </c:strCache>
            </c:strRef>
          </c:cat>
          <c:val>
            <c:numRef>
              <c:f>Synthese_pau_subj!$B$28:$B$31</c:f>
              <c:numCache>
                <c:formatCode>0.00</c:formatCode>
                <c:ptCount val="4"/>
                <c:pt idx="0">
                  <c:v>5.4586130287105314</c:v>
                </c:pt>
                <c:pt idx="1">
                  <c:v>31.772023279245044</c:v>
                </c:pt>
                <c:pt idx="2">
                  <c:v>36.536916794878593</c:v>
                </c:pt>
                <c:pt idx="3">
                  <c:v>26.232446897165655</c:v>
                </c:pt>
              </c:numCache>
            </c:numRef>
          </c:val>
        </c:ser>
        <c:ser>
          <c:idx val="1"/>
          <c:order val="1"/>
          <c:tx>
            <c:strRef>
              <c:f>Synthese_pau_subj!$C$27</c:f>
              <c:strCache>
                <c:ptCount val="1"/>
                <c:pt idx="0">
                  <c:v>2015</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Synthese_pau_subj!$A$28:$A$31</c:f>
              <c:strCache>
                <c:ptCount val="4"/>
                <c:pt idx="0">
                  <c:v>Vit bien</c:v>
                </c:pt>
                <c:pt idx="1">
                  <c:v>Ca va à peu près</c:v>
                </c:pt>
                <c:pt idx="2">
                  <c:v>Ca va mais il faut faire attention</c:v>
                </c:pt>
                <c:pt idx="3">
                  <c:v>Vit difficilement</c:v>
                </c:pt>
              </c:strCache>
            </c:strRef>
          </c:cat>
          <c:val>
            <c:numRef>
              <c:f>Synthese_pau_subj!$C$28:$C$31</c:f>
              <c:numCache>
                <c:formatCode>0.0</c:formatCode>
                <c:ptCount val="4"/>
                <c:pt idx="0">
                  <c:v>8.7908572021187315</c:v>
                </c:pt>
                <c:pt idx="1">
                  <c:v>41.627801209598324</c:v>
                </c:pt>
                <c:pt idx="2">
                  <c:v>29.909143617944487</c:v>
                </c:pt>
                <c:pt idx="3">
                  <c:v>19.672197970338427</c:v>
                </c:pt>
              </c:numCache>
            </c:numRef>
          </c:val>
        </c:ser>
        <c:dLbls>
          <c:showLegendKey val="0"/>
          <c:showVal val="1"/>
          <c:showCatName val="0"/>
          <c:showSerName val="0"/>
          <c:showPercent val="0"/>
          <c:showBubbleSize val="0"/>
        </c:dLbls>
        <c:gapWidth val="75"/>
        <c:axId val="237046112"/>
        <c:axId val="237046672"/>
      </c:barChart>
      <c:catAx>
        <c:axId val="237046112"/>
        <c:scaling>
          <c:orientation val="minMax"/>
        </c:scaling>
        <c:delete val="0"/>
        <c:axPos val="b"/>
        <c:numFmt formatCode="General" sourceLinked="0"/>
        <c:majorTickMark val="none"/>
        <c:minorTickMark val="none"/>
        <c:tickLblPos val="nextTo"/>
        <c:crossAx val="237046672"/>
        <c:crosses val="autoZero"/>
        <c:auto val="1"/>
        <c:lblAlgn val="ctr"/>
        <c:lblOffset val="100"/>
        <c:noMultiLvlLbl val="0"/>
      </c:catAx>
      <c:valAx>
        <c:axId val="237046672"/>
        <c:scaling>
          <c:orientation val="minMax"/>
        </c:scaling>
        <c:delete val="0"/>
        <c:axPos val="l"/>
        <c:numFmt formatCode="0.00" sourceLinked="1"/>
        <c:majorTickMark val="none"/>
        <c:minorTickMark val="none"/>
        <c:tickLblPos val="nextTo"/>
        <c:crossAx val="237046112"/>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Feuil1!$H$4</c:f>
              <c:strCache>
                <c:ptCount val="1"/>
                <c:pt idx="0">
                  <c:v>2015</c:v>
                </c:pt>
              </c:strCache>
            </c:strRef>
          </c:tx>
          <c:invertIfNegative val="0"/>
          <c:dLbls>
            <c:spPr>
              <a:noFill/>
              <a:ln>
                <a:noFill/>
              </a:ln>
              <a:effectLst/>
            </c:spPr>
            <c:txPr>
              <a:bodyPr/>
              <a:lstStyle/>
              <a:p>
                <a:pPr>
                  <a:defRPr>
                    <a:latin typeface="Arial" pitchFamily="34" charset="0"/>
                    <a:cs typeface="Arial" pitchFamily="34" charset="0"/>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Feuil1!$G$5:$G$7</c:f>
              <c:strCache>
                <c:ptCount val="3"/>
                <c:pt idx="0">
                  <c:v>Urbain</c:v>
                </c:pt>
                <c:pt idx="1">
                  <c:v>Rural</c:v>
                </c:pt>
                <c:pt idx="2">
                  <c:v>Benin</c:v>
                </c:pt>
              </c:strCache>
            </c:strRef>
          </c:cat>
          <c:val>
            <c:numRef>
              <c:f>Feuil1!$H$5:$H$7</c:f>
              <c:numCache>
                <c:formatCode>###0.0</c:formatCode>
                <c:ptCount val="3"/>
                <c:pt idx="0">
                  <c:v>11.654536811462124</c:v>
                </c:pt>
                <c:pt idx="1">
                  <c:v>18.274626034143186</c:v>
                </c:pt>
                <c:pt idx="2">
                  <c:v>15.295393478789475</c:v>
                </c:pt>
              </c:numCache>
            </c:numRef>
          </c:val>
        </c:ser>
        <c:ser>
          <c:idx val="1"/>
          <c:order val="1"/>
          <c:tx>
            <c:strRef>
              <c:f>Feuil1!$I$4</c:f>
              <c:strCache>
                <c:ptCount val="1"/>
                <c:pt idx="0">
                  <c:v>2011</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Feuil1!$G$5:$G$7</c:f>
              <c:strCache>
                <c:ptCount val="3"/>
                <c:pt idx="0">
                  <c:v>Urbain</c:v>
                </c:pt>
                <c:pt idx="1">
                  <c:v>Rural</c:v>
                </c:pt>
                <c:pt idx="2">
                  <c:v>Benin</c:v>
                </c:pt>
              </c:strCache>
            </c:strRef>
          </c:cat>
          <c:val>
            <c:numRef>
              <c:f>Feuil1!$I$5:$I$7</c:f>
              <c:numCache>
                <c:formatCode>###0.0</c:formatCode>
                <c:ptCount val="3"/>
                <c:pt idx="0">
                  <c:v>12.583728567800135</c:v>
                </c:pt>
                <c:pt idx="1">
                  <c:v>14.257552612918118</c:v>
                </c:pt>
                <c:pt idx="2">
                  <c:v>13.556463018954243</c:v>
                </c:pt>
              </c:numCache>
            </c:numRef>
          </c:val>
        </c:ser>
        <c:dLbls>
          <c:showLegendKey val="0"/>
          <c:showVal val="1"/>
          <c:showCatName val="0"/>
          <c:showSerName val="0"/>
          <c:showPercent val="0"/>
          <c:showBubbleSize val="0"/>
        </c:dLbls>
        <c:gapWidth val="75"/>
        <c:axId val="237049472"/>
        <c:axId val="237050032"/>
      </c:barChart>
      <c:catAx>
        <c:axId val="237049472"/>
        <c:scaling>
          <c:orientation val="minMax"/>
        </c:scaling>
        <c:delete val="0"/>
        <c:axPos val="b"/>
        <c:numFmt formatCode="General" sourceLinked="0"/>
        <c:majorTickMark val="none"/>
        <c:minorTickMark val="none"/>
        <c:tickLblPos val="nextTo"/>
        <c:txPr>
          <a:bodyPr/>
          <a:lstStyle/>
          <a:p>
            <a:pPr>
              <a:defRPr>
                <a:latin typeface="Arial" pitchFamily="34" charset="0"/>
                <a:cs typeface="Arial" pitchFamily="34" charset="0"/>
              </a:defRPr>
            </a:pPr>
            <a:endParaRPr lang="fr-FR"/>
          </a:p>
        </c:txPr>
        <c:crossAx val="237050032"/>
        <c:crosses val="autoZero"/>
        <c:auto val="1"/>
        <c:lblAlgn val="ctr"/>
        <c:lblOffset val="100"/>
        <c:noMultiLvlLbl val="0"/>
      </c:catAx>
      <c:valAx>
        <c:axId val="237050032"/>
        <c:scaling>
          <c:orientation val="minMax"/>
        </c:scaling>
        <c:delete val="0"/>
        <c:axPos val="l"/>
        <c:numFmt formatCode="###0.0" sourceLinked="1"/>
        <c:majorTickMark val="none"/>
        <c:minorTickMark val="none"/>
        <c:tickLblPos val="nextTo"/>
        <c:txPr>
          <a:bodyPr/>
          <a:lstStyle/>
          <a:p>
            <a:pPr>
              <a:defRPr>
                <a:latin typeface="Arial" pitchFamily="34" charset="0"/>
                <a:cs typeface="Arial" pitchFamily="34" charset="0"/>
              </a:defRPr>
            </a:pPr>
            <a:endParaRPr lang="fr-FR"/>
          </a:p>
        </c:txPr>
        <c:crossAx val="23704947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0F921-3259-461A-A8BB-FA3F368A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7366</Words>
  <Characters>40518</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ESSESSINOU</dc:creator>
  <cp:lastModifiedBy>insae</cp:lastModifiedBy>
  <cp:revision>3</cp:revision>
  <cp:lastPrinted>2015-10-27T09:56:00Z</cp:lastPrinted>
  <dcterms:created xsi:type="dcterms:W3CDTF">2015-10-29T04:57:00Z</dcterms:created>
  <dcterms:modified xsi:type="dcterms:W3CDTF">2015-10-29T09:26:00Z</dcterms:modified>
</cp:coreProperties>
</file>