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85"/>
        <w:tblW w:w="10620" w:type="dxa"/>
        <w:tblLook w:val="01E0" w:firstRow="1" w:lastRow="1" w:firstColumn="1" w:lastColumn="1" w:noHBand="0" w:noVBand="0"/>
      </w:tblPr>
      <w:tblGrid>
        <w:gridCol w:w="2520"/>
        <w:gridCol w:w="8100"/>
      </w:tblGrid>
      <w:tr w:rsidR="009D3BE8" w:rsidRPr="00B8183F" w:rsidTr="005D09F9">
        <w:trPr>
          <w:trHeight w:val="1425"/>
        </w:trPr>
        <w:tc>
          <w:tcPr>
            <w:tcW w:w="2520" w:type="dxa"/>
            <w:tcBorders>
              <w:bottom w:val="thinThickSmallGap" w:sz="24" w:space="0" w:color="339966"/>
            </w:tcBorders>
          </w:tcPr>
          <w:p w:rsidR="009D3BE8" w:rsidRPr="00B8183F" w:rsidRDefault="009D3BE8" w:rsidP="005D09F9">
            <w:pPr>
              <w:autoSpaceDE w:val="0"/>
              <w:rPr>
                <w:rFonts w:ascii="Trebuchet MS" w:hAnsi="Trebuchet MS"/>
                <w:lang w:val="en-US"/>
              </w:rPr>
            </w:pPr>
            <w:bookmarkStart w:id="0" w:name="_GoBack"/>
            <w:bookmarkEnd w:id="0"/>
            <w:r w:rsidRPr="00B8183F">
              <w:rPr>
                <w:rFonts w:ascii="Trebuchet MS" w:hAnsi="Trebuchet MS" w:cs="ZWAdobeF"/>
                <w:sz w:val="2"/>
                <w:lang w:val="en-US"/>
              </w:rPr>
              <w:t>R</w:t>
            </w:r>
            <w:r>
              <w:rPr>
                <w:noProof/>
                <w:lang w:eastAsia="fr-FR"/>
              </w:rPr>
              <w:drawing>
                <wp:inline distT="0" distB="0" distL="0" distR="0">
                  <wp:extent cx="1228725" cy="1037590"/>
                  <wp:effectExtent l="19050" t="0" r="9525" b="0"/>
                  <wp:docPr id="1"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228725" cy="1037590"/>
                          </a:xfrm>
                          <a:prstGeom prst="rect">
                            <a:avLst/>
                          </a:prstGeom>
                          <a:noFill/>
                          <a:ln w="9525">
                            <a:noFill/>
                            <a:miter lim="800000"/>
                            <a:headEnd/>
                            <a:tailEnd/>
                          </a:ln>
                        </pic:spPr>
                      </pic:pic>
                    </a:graphicData>
                  </a:graphic>
                </wp:inline>
              </w:drawing>
            </w:r>
          </w:p>
        </w:tc>
        <w:tc>
          <w:tcPr>
            <w:tcW w:w="8100" w:type="dxa"/>
            <w:tcBorders>
              <w:bottom w:val="thinThickSmallGap" w:sz="24" w:space="0" w:color="339966"/>
            </w:tcBorders>
          </w:tcPr>
          <w:p w:rsidR="009D3BE8" w:rsidRPr="000147C8" w:rsidRDefault="009D3BE8" w:rsidP="005D09F9">
            <w:pPr>
              <w:spacing w:line="300" w:lineRule="auto"/>
              <w:jc w:val="center"/>
              <w:rPr>
                <w:rFonts w:ascii="Times New Roman" w:hAnsi="Times New Roman" w:cs="Times New Roman"/>
                <w:b/>
                <w:bCs/>
                <w:smallCaps/>
                <w:sz w:val="20"/>
                <w:szCs w:val="20"/>
              </w:rPr>
            </w:pPr>
            <w:r w:rsidRPr="000147C8">
              <w:rPr>
                <w:rFonts w:ascii="Times New Roman" w:hAnsi="Times New Roman" w:cs="Times New Roman"/>
                <w:bCs/>
                <w:smallCaps/>
                <w:sz w:val="20"/>
                <w:szCs w:val="20"/>
              </w:rPr>
              <w:t>République du Bénin</w:t>
            </w:r>
          </w:p>
          <w:p w:rsidR="009D3BE8" w:rsidRPr="000147C8" w:rsidRDefault="009D3BE8" w:rsidP="005D09F9">
            <w:pPr>
              <w:spacing w:line="300" w:lineRule="auto"/>
              <w:jc w:val="center"/>
              <w:rPr>
                <w:rFonts w:ascii="Times New Roman" w:hAnsi="Times New Roman" w:cs="Times New Roman"/>
                <w:bCs/>
                <w:smallCaps/>
              </w:rPr>
            </w:pPr>
            <w:r w:rsidRPr="000147C8">
              <w:rPr>
                <w:rFonts w:ascii="Times New Roman" w:hAnsi="Times New Roman" w:cs="Times New Roman"/>
                <w:bCs/>
                <w:smallCaps/>
              </w:rPr>
              <w:t>≈≈≈≈≈≈≈</w:t>
            </w:r>
          </w:p>
          <w:p w:rsidR="009D3BE8" w:rsidRPr="000147C8" w:rsidRDefault="009D3BE8" w:rsidP="005D09F9">
            <w:pPr>
              <w:spacing w:line="300" w:lineRule="auto"/>
              <w:jc w:val="center"/>
              <w:rPr>
                <w:rFonts w:ascii="Times New Roman" w:hAnsi="Times New Roman" w:cs="Times New Roman"/>
                <w:bCs/>
                <w:smallCaps/>
                <w:sz w:val="20"/>
                <w:szCs w:val="20"/>
              </w:rPr>
            </w:pPr>
            <w:r>
              <w:rPr>
                <w:rFonts w:ascii="Times New Roman" w:hAnsi="Times New Roman" w:cs="Times New Roman"/>
                <w:bCs/>
                <w:smallCaps/>
                <w:sz w:val="20"/>
                <w:szCs w:val="20"/>
              </w:rPr>
              <w:t>LA PRIMATURE</w:t>
            </w:r>
          </w:p>
          <w:p w:rsidR="009D3BE8" w:rsidRPr="000147C8" w:rsidRDefault="009D3BE8" w:rsidP="005D09F9">
            <w:pPr>
              <w:spacing w:line="300" w:lineRule="auto"/>
              <w:jc w:val="center"/>
              <w:rPr>
                <w:rFonts w:ascii="Times New Roman" w:hAnsi="Times New Roman" w:cs="Times New Roman"/>
                <w:bCs/>
                <w:smallCaps/>
              </w:rPr>
            </w:pPr>
            <w:r w:rsidRPr="000147C8">
              <w:rPr>
                <w:rFonts w:ascii="Times New Roman" w:hAnsi="Times New Roman" w:cs="Times New Roman"/>
                <w:bCs/>
                <w:smallCaps/>
              </w:rPr>
              <w:t>≈≈≈≈≈≈≈</w:t>
            </w:r>
          </w:p>
          <w:p w:rsidR="009D3BE8" w:rsidRPr="00B8183F" w:rsidRDefault="009D3BE8" w:rsidP="005D09F9">
            <w:pPr>
              <w:spacing w:line="300" w:lineRule="auto"/>
              <w:jc w:val="center"/>
              <w:rPr>
                <w:rFonts w:ascii="Trebuchet MS" w:hAnsi="Trebuchet MS"/>
                <w:b/>
                <w:bCs/>
                <w:smallCaps/>
                <w:sz w:val="20"/>
                <w:szCs w:val="20"/>
              </w:rPr>
            </w:pPr>
            <w:r w:rsidRPr="000147C8">
              <w:rPr>
                <w:rFonts w:ascii="Times New Roman" w:hAnsi="Times New Roman" w:cs="Times New Roman"/>
                <w:bCs/>
                <w:smallCaps/>
              </w:rPr>
              <w:t>I</w:t>
            </w:r>
            <w:r w:rsidRPr="000147C8">
              <w:rPr>
                <w:rFonts w:ascii="Times New Roman" w:hAnsi="Times New Roman" w:cs="Times New Roman"/>
                <w:bCs/>
                <w:smallCaps/>
                <w:sz w:val="20"/>
                <w:szCs w:val="20"/>
              </w:rPr>
              <w:t>nstitut</w:t>
            </w:r>
            <w:r w:rsidRPr="000147C8">
              <w:rPr>
                <w:rFonts w:ascii="Times New Roman" w:hAnsi="Times New Roman" w:cs="Times New Roman"/>
                <w:b/>
                <w:bCs/>
                <w:smallCaps/>
                <w:sz w:val="20"/>
                <w:szCs w:val="20"/>
              </w:rPr>
              <w:t xml:space="preserve">  </w:t>
            </w:r>
            <w:r w:rsidRPr="000147C8">
              <w:rPr>
                <w:rFonts w:ascii="Times New Roman" w:hAnsi="Times New Roman" w:cs="Times New Roman"/>
                <w:bCs/>
                <w:smallCaps/>
              </w:rPr>
              <w:t>N</w:t>
            </w:r>
            <w:r w:rsidRPr="000147C8">
              <w:rPr>
                <w:rFonts w:ascii="Times New Roman" w:hAnsi="Times New Roman" w:cs="Times New Roman"/>
                <w:bCs/>
                <w:smallCaps/>
                <w:sz w:val="20"/>
                <w:szCs w:val="20"/>
              </w:rPr>
              <w:t xml:space="preserve">ational de la  </w:t>
            </w:r>
            <w:r w:rsidRPr="000147C8">
              <w:rPr>
                <w:rFonts w:ascii="Times New Roman" w:hAnsi="Times New Roman" w:cs="Times New Roman"/>
                <w:bCs/>
                <w:smallCaps/>
              </w:rPr>
              <w:t>S</w:t>
            </w:r>
            <w:r w:rsidRPr="000147C8">
              <w:rPr>
                <w:rFonts w:ascii="Times New Roman" w:hAnsi="Times New Roman" w:cs="Times New Roman"/>
                <w:bCs/>
                <w:smallCaps/>
                <w:sz w:val="20"/>
                <w:szCs w:val="20"/>
              </w:rPr>
              <w:t>tatistique  et de  l’</w:t>
            </w:r>
            <w:r w:rsidRPr="000147C8">
              <w:rPr>
                <w:rFonts w:ascii="Times New Roman" w:hAnsi="Times New Roman" w:cs="Times New Roman"/>
                <w:bCs/>
                <w:smallCaps/>
              </w:rPr>
              <w:t>A</w:t>
            </w:r>
            <w:r w:rsidRPr="000147C8">
              <w:rPr>
                <w:rFonts w:ascii="Times New Roman" w:hAnsi="Times New Roman" w:cs="Times New Roman"/>
                <w:bCs/>
                <w:smallCaps/>
                <w:sz w:val="20"/>
                <w:szCs w:val="20"/>
              </w:rPr>
              <w:t xml:space="preserve">nalyse  </w:t>
            </w:r>
            <w:r w:rsidRPr="000147C8">
              <w:rPr>
                <w:rFonts w:ascii="Times New Roman" w:hAnsi="Times New Roman" w:cs="Times New Roman"/>
                <w:bCs/>
                <w:smallCaps/>
              </w:rPr>
              <w:t>E</w:t>
            </w:r>
            <w:r w:rsidRPr="000147C8">
              <w:rPr>
                <w:rFonts w:ascii="Times New Roman" w:hAnsi="Times New Roman" w:cs="Times New Roman"/>
                <w:bCs/>
                <w:smallCaps/>
                <w:sz w:val="20"/>
                <w:szCs w:val="20"/>
              </w:rPr>
              <w:t>conomique</w:t>
            </w:r>
          </w:p>
        </w:tc>
      </w:tr>
    </w:tbl>
    <w:p w:rsidR="009D3BE8" w:rsidRDefault="009D3BE8"/>
    <w:p w:rsidR="009D3BE8" w:rsidRDefault="00787182">
      <w:r>
        <w:rPr>
          <w:noProof/>
          <w:lang w:val="en-US"/>
        </w:rPr>
        <w:pict>
          <v:roundrect id="AutoShape 2" o:spid="_x0000_s1026" style="position:absolute;margin-left:20.65pt;margin-top:0;width:441pt;height:74.2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fpMwIAAGsEAAAOAAAAZHJzL2Uyb0RvYy54bWysVNuO0zAQfUfiHyy/s0lLL2zUdLXqsghp&#10;gRULH+DaTmNwPGbsNu1+PRMnLS3whMiDNePxHJ+ZM87iZt9YttMYDLiSj65yzrSToIzblPzrl/tX&#10;bzgLUTglLDhd8oMO/Gb58sWi9YUeQw1WaWQE4kLR+pLXMfoiy4KsdSPCFXjtKFgBNiKSi5tMoWgJ&#10;vbHZOM9nWQuoPILUIdDuXR/ky4RfVVrGT1UVdGS25MQtphXTuu7WbLkQxQaFr40caIh/YNEI4+jS&#10;E9SdiIJt0fwB1RiJEKCKVxKaDKrKSJ1qoGpG+W/VPNXC61QLNSf4U5vC/4OVH3ePyIwq+YQzJxqS&#10;6HYbId3Mxl17Wh8KOvXkH7ErMPgHkN8Dc7CqhdvoW0Roay0UkRp157OLhM4JlMrW7QdQhC4IPXVq&#10;X2HTAVIP2D4JcjgJoveRSdqczvJ8npNukmLXk/HrSVIsE8Ux22OI7zQ0rDNKjrB16jOpnq4Qu4cQ&#10;kypqqE2ob5xVjSWNd8Ky0Ww2myfSohgOE/YRM5UL1qh7Y21ycLNeWWSUWvL79A3J4fyYdawlutPx&#10;NLG4iIVziDx9f4NIdaTZ7Fr71qlkR2FsbxNL64Zed+3tZYr79X5QbA3qQF1H6CeeXigZNeAzZy1N&#10;e8nDj61AzZl970i569GEWsticibT+ZgcPI+szyPCSYIqeeSsN1exf1Jbj2ZT002jVLmDbpYqE49j&#10;0bMaeNNEk3XxZM79dOrXP2L5EwAA//8DAFBLAwQUAAYACAAAACEA4VYqGdoAAAAHAQAADwAAAGRy&#10;cy9kb3ducmV2LnhtbEyPwU7DMBBE70j8g7VI3KjdNqA2xKkQElwRKQeOTrwkEfE6tZ008PUsJziO&#10;5mn2bXFY3CBmDLH3pGG9UiCQGm97ajW8HZ9udiBiMmTN4Ak1fGGEQ3l5UZjc+jO94lylVvAIxdxo&#10;6FIacylj06EzceVHJO4+fHAmcQyttMGcedwNcqPUnXSmJ77QmREfO2w+q8lpaKyaVHifX/b1baq+&#10;5+lE8vmk9fXV8nAPIuGS/mD41Wd1KNmp9hPZKAYN2XrLpAZ+iNv9ZsuxZizbZSDLQv73L38AAAD/&#10;/wMAUEsBAi0AFAAGAAgAAAAhALaDOJL+AAAA4QEAABMAAAAAAAAAAAAAAAAAAAAAAFtDb250ZW50&#10;X1R5cGVzXS54bWxQSwECLQAUAAYACAAAACEAOP0h/9YAAACUAQAACwAAAAAAAAAAAAAAAAAvAQAA&#10;X3JlbHMvLnJlbHNQSwECLQAUAAYACAAAACEAkBzn6TMCAABrBAAADgAAAAAAAAAAAAAAAAAuAgAA&#10;ZHJzL2Uyb0RvYy54bWxQSwECLQAUAAYACAAAACEA4VYqGdoAAAAHAQAADwAAAAAAAAAAAAAAAACN&#10;BAAAZHJzL2Rvd25yZXYueG1sUEsFBgAAAAAEAAQA8wAAAJQFAAAAAA==&#10;">
            <v:textbox>
              <w:txbxContent>
                <w:p w:rsidR="00CB5DF1" w:rsidRPr="00C144BC" w:rsidRDefault="00CB5DF1" w:rsidP="009D3BE8">
                  <w:pPr>
                    <w:jc w:val="center"/>
                    <w:rPr>
                      <w:rFonts w:ascii="Times New Roman" w:hAnsi="Times New Roman" w:cs="Times New Roman"/>
                      <w:b/>
                      <w:sz w:val="28"/>
                      <w:szCs w:val="28"/>
                    </w:rPr>
                  </w:pPr>
                  <w:r w:rsidRPr="00C144BC">
                    <w:rPr>
                      <w:rFonts w:ascii="Times New Roman" w:hAnsi="Times New Roman" w:cs="Times New Roman"/>
                      <w:b/>
                      <w:sz w:val="28"/>
                      <w:szCs w:val="28"/>
                    </w:rPr>
                    <w:t xml:space="preserve">EMPLOI ET CHOMAGE A TRAVERS L’ENQUETE MODULAIRE INTEGREE SUR LES CONDITIONS DE VIE DES MENAGES </w:t>
                  </w:r>
                </w:p>
                <w:p w:rsidR="00CB5DF1" w:rsidRPr="00D7787F" w:rsidRDefault="00CB5DF1" w:rsidP="009D3BE8">
                  <w:pPr>
                    <w:jc w:val="center"/>
                    <w:rPr>
                      <w:rFonts w:ascii="Times New Roman" w:hAnsi="Times New Roman" w:cs="Times New Roman"/>
                      <w:b/>
                      <w:i/>
                      <w:sz w:val="24"/>
                      <w:szCs w:val="24"/>
                    </w:rPr>
                  </w:pPr>
                  <w:r>
                    <w:rPr>
                      <w:rFonts w:ascii="Times New Roman" w:hAnsi="Times New Roman" w:cs="Times New Roman"/>
                      <w:b/>
                      <w:i/>
                      <w:sz w:val="24"/>
                      <w:szCs w:val="24"/>
                    </w:rPr>
                    <w:t xml:space="preserve">Résultats provisoires </w:t>
                  </w:r>
                </w:p>
              </w:txbxContent>
            </v:textbox>
          </v:roundrect>
        </w:pict>
      </w:r>
    </w:p>
    <w:p w:rsidR="009D3BE8" w:rsidRDefault="009D3BE8"/>
    <w:p w:rsidR="009D3BE8" w:rsidRDefault="009D3BE8"/>
    <w:p w:rsidR="009D3BE8" w:rsidRDefault="009D3BE8"/>
    <w:p w:rsidR="009D3BE8" w:rsidRDefault="009D3BE8"/>
    <w:p w:rsidR="008C616B" w:rsidRDefault="008C616B"/>
    <w:p w:rsidR="00CC0F6C" w:rsidRPr="00C0329D" w:rsidRDefault="00CC0F6C" w:rsidP="00816BAB">
      <w:pPr>
        <w:pStyle w:val="Paragraphedeliste"/>
        <w:numPr>
          <w:ilvl w:val="0"/>
          <w:numId w:val="1"/>
        </w:numPr>
        <w:ind w:left="567" w:hanging="207"/>
        <w:rPr>
          <w:rFonts w:ascii="Times New Roman" w:hAnsi="Times New Roman" w:cs="Times New Roman"/>
          <w:b/>
          <w:sz w:val="24"/>
          <w:szCs w:val="24"/>
        </w:rPr>
      </w:pPr>
      <w:r w:rsidRPr="00C0329D">
        <w:rPr>
          <w:rFonts w:ascii="Times New Roman" w:hAnsi="Times New Roman" w:cs="Times New Roman"/>
          <w:b/>
          <w:sz w:val="24"/>
          <w:szCs w:val="24"/>
        </w:rPr>
        <w:t>Définition des concepts</w:t>
      </w:r>
      <w:r w:rsidR="008C616B">
        <w:rPr>
          <w:rFonts w:ascii="Times New Roman" w:hAnsi="Times New Roman" w:cs="Times New Roman"/>
          <w:b/>
          <w:sz w:val="24"/>
          <w:szCs w:val="24"/>
        </w:rPr>
        <w:t xml:space="preserve"> </w:t>
      </w:r>
    </w:p>
    <w:p w:rsidR="009D3BE8" w:rsidRDefault="009D3BE8">
      <w:pPr>
        <w:rPr>
          <w:rFonts w:ascii="Times New Roman" w:hAnsi="Times New Roman" w:cs="Times New Roman"/>
          <w:sz w:val="24"/>
          <w:szCs w:val="24"/>
        </w:rPr>
      </w:pPr>
    </w:p>
    <w:p w:rsidR="00CC0F6C" w:rsidRDefault="001504B5" w:rsidP="001504B5">
      <w:pPr>
        <w:pStyle w:val="Paragraphedeliste"/>
        <w:numPr>
          <w:ilvl w:val="0"/>
          <w:numId w:val="2"/>
        </w:numPr>
        <w:jc w:val="both"/>
        <w:rPr>
          <w:rFonts w:ascii="Times New Roman" w:hAnsi="Times New Roman" w:cs="Times New Roman"/>
          <w:sz w:val="24"/>
          <w:szCs w:val="24"/>
        </w:rPr>
      </w:pPr>
      <w:r w:rsidRPr="001504B5">
        <w:rPr>
          <w:rFonts w:ascii="Times New Roman" w:hAnsi="Times New Roman" w:cs="Times New Roman"/>
          <w:i/>
          <w:sz w:val="24"/>
          <w:szCs w:val="24"/>
        </w:rPr>
        <w:t>Population active</w:t>
      </w:r>
      <w:r>
        <w:rPr>
          <w:rFonts w:ascii="Times New Roman" w:hAnsi="Times New Roman" w:cs="Times New Roman"/>
          <w:sz w:val="24"/>
          <w:szCs w:val="24"/>
        </w:rPr>
        <w:t xml:space="preserve"> comprend toutes les personnes des deux </w:t>
      </w:r>
      <w:r w:rsidR="000F6F1C">
        <w:rPr>
          <w:rFonts w:ascii="Times New Roman" w:hAnsi="Times New Roman" w:cs="Times New Roman"/>
          <w:sz w:val="24"/>
          <w:szCs w:val="24"/>
        </w:rPr>
        <w:t xml:space="preserve">sexes </w:t>
      </w:r>
      <w:r>
        <w:rPr>
          <w:rFonts w:ascii="Times New Roman" w:hAnsi="Times New Roman" w:cs="Times New Roman"/>
          <w:sz w:val="24"/>
          <w:szCs w:val="24"/>
        </w:rPr>
        <w:t xml:space="preserve">qui fournissent durant une période de référence spécifiée, la main-d’œuvre disponible pour la production des biens et services, comme définis par les systèmes de comptabilité nationaux (SCN). Elle est égale à la somme de toutes les personnes  en âge de travailler qui occupent un emploi et </w:t>
      </w:r>
      <w:r w:rsidR="00670516">
        <w:rPr>
          <w:rFonts w:ascii="Times New Roman" w:hAnsi="Times New Roman" w:cs="Times New Roman"/>
          <w:sz w:val="24"/>
          <w:szCs w:val="24"/>
        </w:rPr>
        <w:t xml:space="preserve">de </w:t>
      </w:r>
      <w:r>
        <w:rPr>
          <w:rFonts w:ascii="Times New Roman" w:hAnsi="Times New Roman" w:cs="Times New Roman"/>
          <w:sz w:val="24"/>
          <w:szCs w:val="24"/>
        </w:rPr>
        <w:t xml:space="preserve">ceux qui sont au chômage. </w:t>
      </w:r>
    </w:p>
    <w:p w:rsidR="001504B5" w:rsidRDefault="001504B5" w:rsidP="001504B5">
      <w:pPr>
        <w:pStyle w:val="Paragraphedeliste"/>
        <w:jc w:val="both"/>
        <w:rPr>
          <w:rFonts w:ascii="Times New Roman" w:hAnsi="Times New Roman" w:cs="Times New Roman"/>
          <w:sz w:val="24"/>
          <w:szCs w:val="24"/>
        </w:rPr>
      </w:pPr>
    </w:p>
    <w:p w:rsidR="001504B5" w:rsidRDefault="001504B5" w:rsidP="001504B5">
      <w:pPr>
        <w:pStyle w:val="Paragraphedeliste"/>
        <w:numPr>
          <w:ilvl w:val="0"/>
          <w:numId w:val="2"/>
        </w:numPr>
        <w:jc w:val="both"/>
        <w:rPr>
          <w:rFonts w:ascii="Times New Roman" w:hAnsi="Times New Roman" w:cs="Times New Roman"/>
          <w:sz w:val="24"/>
          <w:szCs w:val="24"/>
        </w:rPr>
      </w:pPr>
      <w:r w:rsidRPr="001504B5">
        <w:rPr>
          <w:rFonts w:ascii="Times New Roman" w:hAnsi="Times New Roman" w:cs="Times New Roman"/>
          <w:i/>
          <w:sz w:val="24"/>
          <w:szCs w:val="24"/>
        </w:rPr>
        <w:t>Taux ce salarisation</w:t>
      </w:r>
      <w:r>
        <w:rPr>
          <w:rFonts w:ascii="Times New Roman" w:hAnsi="Times New Roman" w:cs="Times New Roman"/>
          <w:sz w:val="24"/>
          <w:szCs w:val="24"/>
        </w:rPr>
        <w:t> est le rapport du nombre de salariés à la population active occupée.</w:t>
      </w:r>
    </w:p>
    <w:p w:rsidR="001504B5" w:rsidRPr="001504B5" w:rsidRDefault="001504B5" w:rsidP="001504B5">
      <w:pPr>
        <w:pStyle w:val="Paragraphedeliste"/>
        <w:rPr>
          <w:rFonts w:ascii="Times New Roman" w:hAnsi="Times New Roman" w:cs="Times New Roman"/>
          <w:sz w:val="24"/>
          <w:szCs w:val="24"/>
        </w:rPr>
      </w:pPr>
    </w:p>
    <w:p w:rsidR="001504B5" w:rsidRDefault="001504B5" w:rsidP="001504B5">
      <w:pPr>
        <w:pStyle w:val="Paragraphedeliste"/>
        <w:numPr>
          <w:ilvl w:val="0"/>
          <w:numId w:val="2"/>
        </w:numPr>
        <w:jc w:val="both"/>
        <w:rPr>
          <w:rFonts w:ascii="Times New Roman" w:hAnsi="Times New Roman" w:cs="Times New Roman"/>
          <w:sz w:val="24"/>
          <w:szCs w:val="24"/>
        </w:rPr>
      </w:pPr>
      <w:r w:rsidRPr="00C0329D">
        <w:rPr>
          <w:rFonts w:ascii="Times New Roman" w:hAnsi="Times New Roman" w:cs="Times New Roman"/>
          <w:i/>
          <w:sz w:val="24"/>
          <w:szCs w:val="24"/>
        </w:rPr>
        <w:t>Taux de chômage élargi</w:t>
      </w:r>
      <w:r>
        <w:rPr>
          <w:rFonts w:ascii="Times New Roman" w:hAnsi="Times New Roman" w:cs="Times New Roman"/>
          <w:sz w:val="24"/>
          <w:szCs w:val="24"/>
        </w:rPr>
        <w:t xml:space="preserve"> est le nombre de personnes</w:t>
      </w:r>
      <w:r w:rsidR="00CC404A">
        <w:rPr>
          <w:rFonts w:ascii="Times New Roman" w:hAnsi="Times New Roman" w:cs="Times New Roman"/>
          <w:sz w:val="24"/>
          <w:szCs w:val="24"/>
        </w:rPr>
        <w:t xml:space="preserve"> en chômage selon le BIT plus les chômeurs découragés</w:t>
      </w:r>
      <w:r>
        <w:rPr>
          <w:rFonts w:ascii="Times New Roman" w:hAnsi="Times New Roman" w:cs="Times New Roman"/>
          <w:sz w:val="24"/>
          <w:szCs w:val="24"/>
        </w:rPr>
        <w:t xml:space="preserve"> </w:t>
      </w:r>
      <w:r w:rsidR="009B4BA8">
        <w:rPr>
          <w:rFonts w:ascii="Times New Roman" w:hAnsi="Times New Roman" w:cs="Times New Roman"/>
          <w:sz w:val="24"/>
          <w:szCs w:val="24"/>
        </w:rPr>
        <w:t>pendant la période de référence</w:t>
      </w:r>
      <w:r w:rsidR="00CC404A">
        <w:rPr>
          <w:rFonts w:ascii="Times New Roman" w:hAnsi="Times New Roman" w:cs="Times New Roman"/>
          <w:sz w:val="24"/>
          <w:szCs w:val="24"/>
        </w:rPr>
        <w:t>,</w:t>
      </w:r>
      <w:r w:rsidR="009B4BA8">
        <w:rPr>
          <w:rFonts w:ascii="Times New Roman" w:hAnsi="Times New Roman" w:cs="Times New Roman"/>
          <w:sz w:val="24"/>
          <w:szCs w:val="24"/>
        </w:rPr>
        <w:t xml:space="preserve"> exprimé en pourcentage </w:t>
      </w:r>
      <w:r w:rsidR="00CC404A">
        <w:rPr>
          <w:rFonts w:ascii="Times New Roman" w:hAnsi="Times New Roman" w:cs="Times New Roman"/>
          <w:sz w:val="24"/>
          <w:szCs w:val="24"/>
        </w:rPr>
        <w:t>de la population active</w:t>
      </w:r>
      <w:r w:rsidR="00C0329D">
        <w:rPr>
          <w:rFonts w:ascii="Times New Roman" w:hAnsi="Times New Roman" w:cs="Times New Roman"/>
          <w:sz w:val="24"/>
          <w:szCs w:val="24"/>
        </w:rPr>
        <w:t xml:space="preserve"> dans la même période de référence. </w:t>
      </w:r>
    </w:p>
    <w:p w:rsidR="00BD01C5" w:rsidRDefault="00BD01C5">
      <w:pPr>
        <w:pStyle w:val="Paragraphedeliste"/>
        <w:rPr>
          <w:rFonts w:ascii="Times New Roman" w:hAnsi="Times New Roman" w:cs="Times New Roman"/>
          <w:sz w:val="24"/>
          <w:szCs w:val="24"/>
        </w:rPr>
      </w:pPr>
    </w:p>
    <w:p w:rsidR="00BD01C5" w:rsidRDefault="00CC404A">
      <w:pPr>
        <w:jc w:val="both"/>
        <w:rPr>
          <w:rFonts w:ascii="Times New Roman" w:hAnsi="Times New Roman" w:cs="Times New Roman"/>
          <w:sz w:val="24"/>
          <w:szCs w:val="24"/>
        </w:rPr>
      </w:pPr>
      <w:r>
        <w:rPr>
          <w:rFonts w:ascii="Times New Roman" w:hAnsi="Times New Roman" w:cs="Times New Roman"/>
          <w:sz w:val="24"/>
          <w:szCs w:val="24"/>
        </w:rPr>
        <w:t>Selon le BIT, est chômeur, toute personne ayant l’âge de travailler, sans emploi pendant la période de référence, recherchant activement un emploi et disponible pour occuper cet emploi.</w:t>
      </w:r>
      <w:r w:rsidR="000D0BCA">
        <w:rPr>
          <w:rFonts w:ascii="Times New Roman" w:hAnsi="Times New Roman" w:cs="Times New Roman"/>
          <w:sz w:val="24"/>
          <w:szCs w:val="24"/>
        </w:rPr>
        <w:t xml:space="preserve"> Les chômeurs découragés</w:t>
      </w:r>
      <w:r w:rsidR="003C0275">
        <w:rPr>
          <w:rFonts w:ascii="Times New Roman" w:hAnsi="Times New Roman" w:cs="Times New Roman"/>
          <w:sz w:val="24"/>
          <w:szCs w:val="24"/>
        </w:rPr>
        <w:t xml:space="preserve"> sont les chômeurs qui remplissent les conditions du BIT mais qui, en raison du découragement de ne pas trouver un emploi, cessent d’en chercher.</w:t>
      </w:r>
    </w:p>
    <w:p w:rsidR="008D053D" w:rsidRPr="008D053D" w:rsidRDefault="008D053D" w:rsidP="008D053D">
      <w:pPr>
        <w:pStyle w:val="Paragraphedeliste"/>
        <w:rPr>
          <w:rFonts w:ascii="Times New Roman" w:hAnsi="Times New Roman" w:cs="Times New Roman"/>
          <w:sz w:val="24"/>
          <w:szCs w:val="24"/>
        </w:rPr>
      </w:pPr>
    </w:p>
    <w:p w:rsidR="008D053D" w:rsidRDefault="008D053D" w:rsidP="001504B5">
      <w:pPr>
        <w:pStyle w:val="Paragraphedeliste"/>
        <w:numPr>
          <w:ilvl w:val="0"/>
          <w:numId w:val="2"/>
        </w:numPr>
        <w:jc w:val="both"/>
        <w:rPr>
          <w:rFonts w:ascii="Times New Roman" w:hAnsi="Times New Roman" w:cs="Times New Roman"/>
          <w:sz w:val="24"/>
          <w:szCs w:val="24"/>
        </w:rPr>
      </w:pPr>
      <w:r w:rsidRPr="008D053D">
        <w:rPr>
          <w:rFonts w:ascii="Times New Roman" w:hAnsi="Times New Roman" w:cs="Times New Roman"/>
          <w:i/>
          <w:sz w:val="24"/>
          <w:szCs w:val="24"/>
        </w:rPr>
        <w:t>Le sous</w:t>
      </w:r>
      <w:r w:rsidR="00816BAB">
        <w:rPr>
          <w:rFonts w:ascii="Times New Roman" w:hAnsi="Times New Roman" w:cs="Times New Roman"/>
          <w:i/>
          <w:sz w:val="24"/>
          <w:szCs w:val="24"/>
        </w:rPr>
        <w:t>-</w:t>
      </w:r>
      <w:r w:rsidRPr="008D053D">
        <w:rPr>
          <w:rFonts w:ascii="Times New Roman" w:hAnsi="Times New Roman" w:cs="Times New Roman"/>
          <w:i/>
          <w:sz w:val="24"/>
          <w:szCs w:val="24"/>
        </w:rPr>
        <w:t>emploi</w:t>
      </w:r>
      <w:r>
        <w:rPr>
          <w:rFonts w:ascii="Times New Roman" w:hAnsi="Times New Roman" w:cs="Times New Roman"/>
          <w:sz w:val="24"/>
          <w:szCs w:val="24"/>
        </w:rPr>
        <w:t xml:space="preserve"> concerne les personnes qui ont un emploi, mais travaillent moins de trente cinq heures par semaine, soit moins de 7 heures par "jour ouvrable</w:t>
      </w:r>
      <w:r w:rsidR="00AC3064">
        <w:rPr>
          <w:rFonts w:ascii="Times New Roman" w:hAnsi="Times New Roman" w:cs="Times New Roman"/>
          <w:sz w:val="24"/>
          <w:szCs w:val="24"/>
        </w:rPr>
        <w:t>" (sous-emploi visible)</w:t>
      </w:r>
      <w:r>
        <w:rPr>
          <w:rFonts w:ascii="Times New Roman" w:hAnsi="Times New Roman" w:cs="Times New Roman"/>
          <w:sz w:val="24"/>
          <w:szCs w:val="24"/>
        </w:rPr>
        <w:t xml:space="preserve"> ou </w:t>
      </w:r>
      <w:r w:rsidR="00AC3064">
        <w:rPr>
          <w:rFonts w:ascii="Times New Roman" w:hAnsi="Times New Roman" w:cs="Times New Roman"/>
          <w:sz w:val="24"/>
          <w:szCs w:val="24"/>
        </w:rPr>
        <w:t>"</w:t>
      </w:r>
      <w:r>
        <w:rPr>
          <w:rFonts w:ascii="Times New Roman" w:hAnsi="Times New Roman" w:cs="Times New Roman"/>
          <w:sz w:val="24"/>
          <w:szCs w:val="24"/>
        </w:rPr>
        <w:t>touchent une rémunération inférieure au SMIG (</w:t>
      </w:r>
      <w:r w:rsidR="00AC3064">
        <w:rPr>
          <w:rFonts w:ascii="Times New Roman" w:hAnsi="Times New Roman" w:cs="Times New Roman"/>
          <w:sz w:val="24"/>
          <w:szCs w:val="24"/>
        </w:rPr>
        <w:t>40 000</w:t>
      </w:r>
      <w:r>
        <w:rPr>
          <w:rFonts w:ascii="Times New Roman" w:hAnsi="Times New Roman" w:cs="Times New Roman"/>
          <w:sz w:val="24"/>
          <w:szCs w:val="24"/>
        </w:rPr>
        <w:t xml:space="preserve"> F.CFA)</w:t>
      </w:r>
      <w:r w:rsidR="00AC3064">
        <w:rPr>
          <w:rFonts w:ascii="Times New Roman" w:hAnsi="Times New Roman" w:cs="Times New Roman"/>
          <w:sz w:val="24"/>
          <w:szCs w:val="24"/>
        </w:rPr>
        <w:t>" (sous-emploi invisible)</w:t>
      </w:r>
      <w:r>
        <w:rPr>
          <w:rFonts w:ascii="Times New Roman" w:hAnsi="Times New Roman" w:cs="Times New Roman"/>
          <w:sz w:val="24"/>
          <w:szCs w:val="24"/>
        </w:rPr>
        <w:t>.</w:t>
      </w:r>
    </w:p>
    <w:p w:rsidR="000F6F1C" w:rsidRPr="000F6F1C" w:rsidRDefault="000F6F1C" w:rsidP="000F6F1C">
      <w:pPr>
        <w:pStyle w:val="Paragraphedeliste"/>
        <w:rPr>
          <w:rFonts w:ascii="Times New Roman" w:hAnsi="Times New Roman" w:cs="Times New Roman"/>
          <w:sz w:val="24"/>
          <w:szCs w:val="24"/>
        </w:rPr>
      </w:pPr>
    </w:p>
    <w:p w:rsidR="008D053D" w:rsidRPr="000F6F1C" w:rsidRDefault="000F6F1C" w:rsidP="008D053D">
      <w:pPr>
        <w:pStyle w:val="Paragraphedeliste"/>
        <w:numPr>
          <w:ilvl w:val="0"/>
          <w:numId w:val="2"/>
        </w:numPr>
        <w:jc w:val="both"/>
        <w:rPr>
          <w:rFonts w:ascii="Times New Roman" w:hAnsi="Times New Roman" w:cs="Times New Roman"/>
          <w:sz w:val="24"/>
          <w:szCs w:val="24"/>
        </w:rPr>
      </w:pPr>
      <w:r w:rsidRPr="000F6F1C">
        <w:rPr>
          <w:rFonts w:ascii="Times New Roman" w:hAnsi="Times New Roman" w:cs="Times New Roman"/>
          <w:sz w:val="24"/>
          <w:szCs w:val="24"/>
        </w:rPr>
        <w:t xml:space="preserve">Taux d’activité est le rapport de l’effectif de la population active (y compris les chômeurs) à la population totale. </w:t>
      </w:r>
    </w:p>
    <w:p w:rsidR="008C616B" w:rsidRDefault="008C616B" w:rsidP="008C616B"/>
    <w:p w:rsidR="008C616B" w:rsidRPr="00C0329D" w:rsidRDefault="008C616B" w:rsidP="008C616B">
      <w:pPr>
        <w:pStyle w:val="Paragraphedeliste"/>
        <w:numPr>
          <w:ilvl w:val="0"/>
          <w:numId w:val="1"/>
        </w:numPr>
        <w:ind w:left="567" w:hanging="207"/>
        <w:rPr>
          <w:rFonts w:ascii="Times New Roman" w:hAnsi="Times New Roman" w:cs="Times New Roman"/>
          <w:b/>
          <w:sz w:val="24"/>
          <w:szCs w:val="24"/>
        </w:rPr>
      </w:pPr>
      <w:r>
        <w:rPr>
          <w:rFonts w:ascii="Times New Roman" w:hAnsi="Times New Roman" w:cs="Times New Roman"/>
          <w:b/>
          <w:sz w:val="24"/>
          <w:szCs w:val="24"/>
        </w:rPr>
        <w:t>Analyse des résultats</w:t>
      </w:r>
    </w:p>
    <w:p w:rsidR="008C616B" w:rsidRPr="008C616B" w:rsidRDefault="008C616B" w:rsidP="008C616B">
      <w:pPr>
        <w:rPr>
          <w:rFonts w:ascii="Times New Roman" w:hAnsi="Times New Roman" w:cs="Times New Roman"/>
          <w:sz w:val="24"/>
          <w:szCs w:val="24"/>
        </w:rPr>
      </w:pPr>
    </w:p>
    <w:p w:rsidR="009D3BE8" w:rsidRPr="008C616B" w:rsidRDefault="008C616B" w:rsidP="008C616B">
      <w:pPr>
        <w:rPr>
          <w:rFonts w:ascii="Times New Roman" w:hAnsi="Times New Roman" w:cs="Times New Roman"/>
          <w:b/>
          <w:color w:val="4F81BD" w:themeColor="accent1"/>
          <w:sz w:val="24"/>
          <w:szCs w:val="24"/>
        </w:rPr>
      </w:pPr>
      <w:r w:rsidRPr="008C616B">
        <w:rPr>
          <w:rFonts w:ascii="Times New Roman" w:hAnsi="Times New Roman" w:cs="Times New Roman"/>
          <w:b/>
          <w:color w:val="4F81BD" w:themeColor="accent1"/>
          <w:sz w:val="24"/>
          <w:szCs w:val="24"/>
        </w:rPr>
        <w:t xml:space="preserve">La </w:t>
      </w:r>
      <w:r w:rsidR="00F17041">
        <w:rPr>
          <w:rFonts w:ascii="Times New Roman" w:hAnsi="Times New Roman" w:cs="Times New Roman"/>
          <w:b/>
          <w:color w:val="4F81BD" w:themeColor="accent1"/>
          <w:sz w:val="24"/>
          <w:szCs w:val="24"/>
        </w:rPr>
        <w:t xml:space="preserve">plupart </w:t>
      </w:r>
      <w:r w:rsidRPr="008C616B">
        <w:rPr>
          <w:rFonts w:ascii="Times New Roman" w:hAnsi="Times New Roman" w:cs="Times New Roman"/>
          <w:b/>
          <w:color w:val="4F81BD" w:themeColor="accent1"/>
          <w:sz w:val="24"/>
          <w:szCs w:val="24"/>
        </w:rPr>
        <w:t xml:space="preserve">de la population béninoise est active </w:t>
      </w:r>
      <w:r>
        <w:rPr>
          <w:rFonts w:ascii="Times New Roman" w:hAnsi="Times New Roman" w:cs="Times New Roman"/>
          <w:b/>
          <w:color w:val="4F81BD" w:themeColor="accent1"/>
          <w:sz w:val="24"/>
          <w:szCs w:val="24"/>
        </w:rPr>
        <w:t>……</w:t>
      </w:r>
      <w:r w:rsidR="00D257CA">
        <w:rPr>
          <w:rFonts w:ascii="Times New Roman" w:hAnsi="Times New Roman" w:cs="Times New Roman"/>
          <w:b/>
          <w:color w:val="4F81BD" w:themeColor="accent1"/>
          <w:sz w:val="24"/>
          <w:szCs w:val="24"/>
        </w:rPr>
        <w:t>…………………..</w:t>
      </w:r>
      <w:r>
        <w:rPr>
          <w:rFonts w:ascii="Times New Roman" w:hAnsi="Times New Roman" w:cs="Times New Roman"/>
          <w:b/>
          <w:color w:val="4F81BD" w:themeColor="accent1"/>
          <w:sz w:val="24"/>
          <w:szCs w:val="24"/>
        </w:rPr>
        <w:t>…..</w:t>
      </w:r>
    </w:p>
    <w:p w:rsidR="00A47B54" w:rsidRDefault="00A47B54" w:rsidP="00A47B54">
      <w:pPr>
        <w:rPr>
          <w:rFonts w:ascii="Times New Roman" w:hAnsi="Times New Roman" w:cs="Times New Roman"/>
          <w:sz w:val="24"/>
          <w:szCs w:val="24"/>
        </w:rPr>
      </w:pPr>
    </w:p>
    <w:p w:rsidR="00D257CA" w:rsidRDefault="008C616B" w:rsidP="00631E25">
      <w:pPr>
        <w:jc w:val="both"/>
        <w:rPr>
          <w:rFonts w:ascii="Times New Roman" w:hAnsi="Times New Roman" w:cs="Times New Roman"/>
          <w:sz w:val="24"/>
          <w:szCs w:val="24"/>
        </w:rPr>
      </w:pPr>
      <w:r>
        <w:rPr>
          <w:rFonts w:ascii="Times New Roman" w:hAnsi="Times New Roman" w:cs="Times New Roman"/>
          <w:sz w:val="24"/>
          <w:szCs w:val="24"/>
        </w:rPr>
        <w:t xml:space="preserve">L’enquête EMICoV de 2015 a </w:t>
      </w:r>
      <w:r w:rsidR="000F6F1C">
        <w:rPr>
          <w:rFonts w:ascii="Times New Roman" w:hAnsi="Times New Roman" w:cs="Times New Roman"/>
          <w:sz w:val="24"/>
          <w:szCs w:val="24"/>
        </w:rPr>
        <w:t>permis d’identifier</w:t>
      </w:r>
      <w:r>
        <w:rPr>
          <w:rFonts w:ascii="Times New Roman" w:hAnsi="Times New Roman" w:cs="Times New Roman"/>
          <w:sz w:val="24"/>
          <w:szCs w:val="24"/>
        </w:rPr>
        <w:t xml:space="preserve"> 3 364 216 actifs parmi la population âgée de 15 ans et plus. Cet effectif représente  un taux d’activité de </w:t>
      </w:r>
      <w:r w:rsidR="00631E25">
        <w:rPr>
          <w:rFonts w:ascii="Times New Roman" w:hAnsi="Times New Roman" w:cs="Times New Roman"/>
          <w:sz w:val="24"/>
          <w:szCs w:val="24"/>
        </w:rPr>
        <w:t xml:space="preserve">67,9%  en deçà de ce qui </w:t>
      </w:r>
      <w:r>
        <w:rPr>
          <w:rFonts w:ascii="Times New Roman" w:hAnsi="Times New Roman" w:cs="Times New Roman"/>
          <w:sz w:val="24"/>
          <w:szCs w:val="24"/>
        </w:rPr>
        <w:t xml:space="preserve"> </w:t>
      </w:r>
      <w:r w:rsidR="00631E25">
        <w:rPr>
          <w:rFonts w:ascii="Times New Roman" w:hAnsi="Times New Roman" w:cs="Times New Roman"/>
          <w:sz w:val="24"/>
          <w:szCs w:val="24"/>
        </w:rPr>
        <w:t xml:space="preserve">est obtenu au cours de l’édition de 2011 et 2010, soit respectivement 72,0% et 75,5%.  Le taux d’activité est de 75,9% chez les hommes et 60,7% chez les femmes. Comparer au niveau de 2011 et 2010, la tendance est plus à la baisse </w:t>
      </w:r>
      <w:r w:rsidR="00F17041">
        <w:rPr>
          <w:rFonts w:ascii="Times New Roman" w:hAnsi="Times New Roman" w:cs="Times New Roman"/>
          <w:sz w:val="24"/>
          <w:szCs w:val="24"/>
        </w:rPr>
        <w:t xml:space="preserve">surtout </w:t>
      </w:r>
      <w:r w:rsidR="00631E25">
        <w:rPr>
          <w:rFonts w:ascii="Times New Roman" w:hAnsi="Times New Roman" w:cs="Times New Roman"/>
          <w:sz w:val="24"/>
          <w:szCs w:val="24"/>
        </w:rPr>
        <w:t xml:space="preserve">chez les femmes </w:t>
      </w:r>
      <w:r w:rsidR="00F17041">
        <w:rPr>
          <w:rFonts w:ascii="Times New Roman" w:hAnsi="Times New Roman" w:cs="Times New Roman"/>
          <w:sz w:val="24"/>
          <w:szCs w:val="24"/>
        </w:rPr>
        <w:t xml:space="preserve">et l’écart entre les hommes et </w:t>
      </w:r>
      <w:r w:rsidR="00631E25">
        <w:rPr>
          <w:rFonts w:ascii="Times New Roman" w:hAnsi="Times New Roman" w:cs="Times New Roman"/>
          <w:sz w:val="24"/>
          <w:szCs w:val="24"/>
        </w:rPr>
        <w:t xml:space="preserve"> </w:t>
      </w:r>
      <w:r w:rsidR="004C6F57">
        <w:rPr>
          <w:rFonts w:ascii="Times New Roman" w:hAnsi="Times New Roman" w:cs="Times New Roman"/>
          <w:sz w:val="24"/>
          <w:szCs w:val="24"/>
        </w:rPr>
        <w:t xml:space="preserve">les </w:t>
      </w:r>
      <w:r w:rsidR="00F17041">
        <w:rPr>
          <w:rFonts w:ascii="Times New Roman" w:hAnsi="Times New Roman" w:cs="Times New Roman"/>
          <w:sz w:val="24"/>
          <w:szCs w:val="24"/>
        </w:rPr>
        <w:t>femmes s’est accentué</w:t>
      </w:r>
      <w:r w:rsidR="00D257CA">
        <w:rPr>
          <w:rFonts w:ascii="Times New Roman" w:hAnsi="Times New Roman" w:cs="Times New Roman"/>
          <w:sz w:val="24"/>
          <w:szCs w:val="24"/>
        </w:rPr>
        <w:t>, passant de 103 hommes pour 100 femmes en 2010 à 125 hommes pour 100 femmes en 2015</w:t>
      </w:r>
      <w:r w:rsidR="00631E25">
        <w:rPr>
          <w:rFonts w:ascii="Times New Roman" w:hAnsi="Times New Roman" w:cs="Times New Roman"/>
          <w:sz w:val="24"/>
          <w:szCs w:val="24"/>
        </w:rPr>
        <w:t xml:space="preserve">. </w:t>
      </w:r>
    </w:p>
    <w:p w:rsidR="00D257CA" w:rsidRDefault="00D257CA" w:rsidP="00631E25">
      <w:pPr>
        <w:jc w:val="both"/>
        <w:rPr>
          <w:rFonts w:ascii="Times New Roman" w:hAnsi="Times New Roman" w:cs="Times New Roman"/>
          <w:sz w:val="24"/>
          <w:szCs w:val="24"/>
        </w:rPr>
      </w:pPr>
    </w:p>
    <w:p w:rsidR="00631E25" w:rsidRDefault="00D257CA" w:rsidP="00631E25">
      <w:pPr>
        <w:jc w:val="both"/>
        <w:rPr>
          <w:rFonts w:ascii="Times New Roman" w:hAnsi="Times New Roman" w:cs="Times New Roman"/>
          <w:sz w:val="24"/>
          <w:szCs w:val="24"/>
        </w:rPr>
      </w:pPr>
      <w:r>
        <w:rPr>
          <w:rFonts w:ascii="Times New Roman" w:hAnsi="Times New Roman" w:cs="Times New Roman"/>
          <w:sz w:val="24"/>
          <w:szCs w:val="24"/>
        </w:rPr>
        <w:lastRenderedPageBreak/>
        <w:t>Cet excédent d’hommes actifs sur le marché de travail pourrait s’expliquer par</w:t>
      </w:r>
      <w:r w:rsidR="00453C1F">
        <w:rPr>
          <w:rFonts w:ascii="Times New Roman" w:hAnsi="Times New Roman" w:cs="Times New Roman"/>
          <w:sz w:val="24"/>
          <w:szCs w:val="24"/>
        </w:rPr>
        <w:t xml:space="preserve"> l’amélioration du niveau de la scolarisation des filles à travers </w:t>
      </w:r>
      <w:r>
        <w:rPr>
          <w:rFonts w:ascii="Times New Roman" w:hAnsi="Times New Roman" w:cs="Times New Roman"/>
          <w:sz w:val="24"/>
          <w:szCs w:val="24"/>
        </w:rPr>
        <w:t xml:space="preserve">les stratégies de </w:t>
      </w:r>
      <w:r w:rsidR="00453C1F">
        <w:rPr>
          <w:rFonts w:ascii="Times New Roman" w:hAnsi="Times New Roman" w:cs="Times New Roman"/>
          <w:sz w:val="24"/>
          <w:szCs w:val="24"/>
        </w:rPr>
        <w:t xml:space="preserve">leur </w:t>
      </w:r>
      <w:r>
        <w:rPr>
          <w:rFonts w:ascii="Times New Roman" w:hAnsi="Times New Roman" w:cs="Times New Roman"/>
          <w:sz w:val="24"/>
          <w:szCs w:val="24"/>
        </w:rPr>
        <w:t>maintient à l’école</w:t>
      </w:r>
      <w:r w:rsidR="00453C1F">
        <w:rPr>
          <w:rFonts w:ascii="Times New Roman" w:hAnsi="Times New Roman" w:cs="Times New Roman"/>
          <w:sz w:val="24"/>
          <w:szCs w:val="24"/>
        </w:rPr>
        <w:t xml:space="preserve"> et la réduction de l’entrée précoce des filles dans l’activité économique. </w:t>
      </w:r>
    </w:p>
    <w:p w:rsidR="00453C1F" w:rsidRDefault="00453C1F" w:rsidP="00631E25">
      <w:pPr>
        <w:jc w:val="both"/>
        <w:rPr>
          <w:rFonts w:ascii="Times New Roman" w:hAnsi="Times New Roman" w:cs="Times New Roman"/>
          <w:sz w:val="24"/>
          <w:szCs w:val="24"/>
        </w:rPr>
      </w:pPr>
    </w:p>
    <w:p w:rsidR="00F17041" w:rsidRDefault="001039A1" w:rsidP="00453C1F">
      <w:pPr>
        <w:spacing w:after="200" w:line="276" w:lineRule="auto"/>
        <w:rPr>
          <w:rFonts w:ascii="Times New Roman" w:hAnsi="Times New Roman" w:cs="Times New Roman"/>
          <w:sz w:val="24"/>
          <w:szCs w:val="24"/>
        </w:rPr>
      </w:pPr>
      <w:r w:rsidRPr="008C616B">
        <w:rPr>
          <w:rFonts w:ascii="Times New Roman" w:hAnsi="Times New Roman" w:cs="Times New Roman"/>
          <w:sz w:val="24"/>
          <w:szCs w:val="24"/>
        </w:rPr>
        <w:t xml:space="preserve"> </w:t>
      </w:r>
      <w:r w:rsidR="00F17041">
        <w:rPr>
          <w:rFonts w:ascii="Times New Roman" w:hAnsi="Times New Roman" w:cs="Times New Roman"/>
          <w:sz w:val="24"/>
          <w:szCs w:val="24"/>
        </w:rPr>
        <w:t>Tableau n°1 : Taux d’activité selon le sexe de la population au cours des années 2010, 2011 et 2015</w:t>
      </w:r>
    </w:p>
    <w:tbl>
      <w:tblPr>
        <w:tblStyle w:val="Grilledutableau"/>
        <w:tblW w:w="0" w:type="auto"/>
        <w:jc w:val="center"/>
        <w:tblLook w:val="04A0" w:firstRow="1" w:lastRow="0" w:firstColumn="1" w:lastColumn="0" w:noHBand="0" w:noVBand="1"/>
      </w:tblPr>
      <w:tblGrid>
        <w:gridCol w:w="1559"/>
        <w:gridCol w:w="2125"/>
        <w:gridCol w:w="1842"/>
        <w:gridCol w:w="1843"/>
      </w:tblGrid>
      <w:tr w:rsidR="00D257CA" w:rsidRPr="00641AF9" w:rsidTr="00D257CA">
        <w:trPr>
          <w:jc w:val="center"/>
        </w:trPr>
        <w:tc>
          <w:tcPr>
            <w:tcW w:w="1559" w:type="dxa"/>
          </w:tcPr>
          <w:p w:rsidR="00D257CA" w:rsidRPr="00641AF9" w:rsidRDefault="00D257CA" w:rsidP="008C616B">
            <w:pPr>
              <w:rPr>
                <w:rFonts w:ascii="Times New Roman" w:hAnsi="Times New Roman" w:cs="Times New Roman"/>
                <w:sz w:val="20"/>
                <w:szCs w:val="20"/>
              </w:rPr>
            </w:pPr>
          </w:p>
        </w:tc>
        <w:tc>
          <w:tcPr>
            <w:tcW w:w="5810" w:type="dxa"/>
            <w:gridSpan w:val="3"/>
          </w:tcPr>
          <w:p w:rsidR="00D257CA" w:rsidRPr="00641AF9" w:rsidRDefault="00D257CA" w:rsidP="00D257CA">
            <w:pPr>
              <w:jc w:val="center"/>
              <w:rPr>
                <w:rFonts w:ascii="Times New Roman" w:hAnsi="Times New Roman" w:cs="Times New Roman"/>
                <w:sz w:val="20"/>
                <w:szCs w:val="20"/>
              </w:rPr>
            </w:pPr>
            <w:r w:rsidRPr="00641AF9">
              <w:rPr>
                <w:rFonts w:ascii="Times New Roman" w:hAnsi="Times New Roman" w:cs="Times New Roman"/>
                <w:b/>
                <w:color w:val="000000"/>
                <w:sz w:val="20"/>
                <w:szCs w:val="20"/>
                <w:lang w:eastAsia="fr-FR"/>
              </w:rPr>
              <w:t>Taux global d'activité des 15 ans et plus (%)</w:t>
            </w:r>
          </w:p>
        </w:tc>
      </w:tr>
      <w:tr w:rsidR="00641AF9" w:rsidRPr="00641AF9" w:rsidTr="00D257CA">
        <w:trPr>
          <w:jc w:val="center"/>
        </w:trPr>
        <w:tc>
          <w:tcPr>
            <w:tcW w:w="1559" w:type="dxa"/>
          </w:tcPr>
          <w:p w:rsidR="00641AF9" w:rsidRPr="00641AF9" w:rsidRDefault="00641AF9" w:rsidP="008C616B">
            <w:pPr>
              <w:rPr>
                <w:rFonts w:ascii="Times New Roman" w:hAnsi="Times New Roman" w:cs="Times New Roman"/>
                <w:sz w:val="20"/>
                <w:szCs w:val="20"/>
              </w:rPr>
            </w:pPr>
            <w:r w:rsidRPr="00641AF9">
              <w:rPr>
                <w:rFonts w:ascii="Times New Roman" w:hAnsi="Times New Roman" w:cs="Times New Roman"/>
                <w:sz w:val="20"/>
                <w:szCs w:val="20"/>
              </w:rPr>
              <w:t xml:space="preserve">Sexe </w:t>
            </w:r>
          </w:p>
        </w:tc>
        <w:tc>
          <w:tcPr>
            <w:tcW w:w="2125" w:type="dxa"/>
            <w:vAlign w:val="bottom"/>
          </w:tcPr>
          <w:p w:rsidR="00641AF9" w:rsidRPr="00F17041" w:rsidRDefault="00641AF9" w:rsidP="00D257CA">
            <w:pPr>
              <w:ind w:left="1948" w:hanging="1948"/>
              <w:jc w:val="center"/>
              <w:rPr>
                <w:rFonts w:ascii="Times New Roman" w:hAnsi="Times New Roman" w:cs="Times New Roman"/>
                <w:b/>
                <w:color w:val="000000"/>
                <w:sz w:val="20"/>
                <w:szCs w:val="20"/>
                <w:lang w:eastAsia="fr-FR"/>
              </w:rPr>
            </w:pPr>
            <w:r w:rsidRPr="00641AF9">
              <w:rPr>
                <w:rFonts w:ascii="Times New Roman" w:hAnsi="Times New Roman" w:cs="Times New Roman"/>
                <w:b/>
                <w:color w:val="000000"/>
                <w:sz w:val="20"/>
                <w:szCs w:val="20"/>
                <w:lang w:eastAsia="fr-FR"/>
              </w:rPr>
              <w:t>EMICoV-</w:t>
            </w:r>
            <w:r w:rsidRPr="00F17041">
              <w:rPr>
                <w:rFonts w:ascii="Times New Roman" w:hAnsi="Times New Roman" w:cs="Times New Roman"/>
                <w:b/>
                <w:color w:val="000000"/>
                <w:sz w:val="20"/>
                <w:szCs w:val="20"/>
                <w:lang w:eastAsia="fr-FR"/>
              </w:rPr>
              <w:t>2015</w:t>
            </w:r>
          </w:p>
        </w:tc>
        <w:tc>
          <w:tcPr>
            <w:tcW w:w="1842" w:type="dxa"/>
            <w:vAlign w:val="bottom"/>
          </w:tcPr>
          <w:p w:rsidR="00641AF9" w:rsidRPr="00F17041" w:rsidRDefault="00641AF9" w:rsidP="00D257CA">
            <w:pPr>
              <w:ind w:left="1948" w:hanging="1948"/>
              <w:jc w:val="center"/>
              <w:rPr>
                <w:rFonts w:ascii="Times New Roman" w:hAnsi="Times New Roman" w:cs="Times New Roman"/>
                <w:b/>
                <w:color w:val="000000"/>
                <w:sz w:val="20"/>
                <w:szCs w:val="20"/>
                <w:lang w:eastAsia="fr-FR"/>
              </w:rPr>
            </w:pPr>
            <w:r w:rsidRPr="00641AF9">
              <w:rPr>
                <w:rFonts w:ascii="Times New Roman" w:hAnsi="Times New Roman" w:cs="Times New Roman"/>
                <w:b/>
                <w:color w:val="000000"/>
                <w:sz w:val="20"/>
                <w:szCs w:val="20"/>
                <w:lang w:eastAsia="fr-FR"/>
              </w:rPr>
              <w:t>EMICoV-</w:t>
            </w:r>
            <w:r w:rsidRPr="00F17041">
              <w:rPr>
                <w:rFonts w:ascii="Times New Roman" w:hAnsi="Times New Roman" w:cs="Times New Roman"/>
                <w:b/>
                <w:color w:val="000000"/>
                <w:sz w:val="20"/>
                <w:szCs w:val="20"/>
                <w:lang w:eastAsia="fr-FR"/>
              </w:rPr>
              <w:t>2011</w:t>
            </w:r>
          </w:p>
        </w:tc>
        <w:tc>
          <w:tcPr>
            <w:tcW w:w="1843" w:type="dxa"/>
            <w:vAlign w:val="bottom"/>
          </w:tcPr>
          <w:p w:rsidR="00641AF9" w:rsidRPr="00F17041" w:rsidRDefault="00641AF9" w:rsidP="00D257CA">
            <w:pPr>
              <w:ind w:left="1948" w:hanging="1948"/>
              <w:jc w:val="center"/>
              <w:rPr>
                <w:rFonts w:ascii="Times New Roman" w:hAnsi="Times New Roman" w:cs="Times New Roman"/>
                <w:b/>
                <w:color w:val="000000"/>
                <w:sz w:val="20"/>
                <w:szCs w:val="20"/>
                <w:lang w:eastAsia="fr-FR"/>
              </w:rPr>
            </w:pPr>
            <w:r w:rsidRPr="00641AF9">
              <w:rPr>
                <w:rFonts w:ascii="Times New Roman" w:hAnsi="Times New Roman" w:cs="Times New Roman"/>
                <w:b/>
                <w:color w:val="000000"/>
                <w:sz w:val="20"/>
                <w:szCs w:val="20"/>
                <w:lang w:eastAsia="fr-FR"/>
              </w:rPr>
              <w:t>EMICoV-</w:t>
            </w:r>
            <w:r w:rsidRPr="00F17041">
              <w:rPr>
                <w:rFonts w:ascii="Times New Roman" w:hAnsi="Times New Roman" w:cs="Times New Roman"/>
                <w:b/>
                <w:color w:val="000000"/>
                <w:sz w:val="20"/>
                <w:szCs w:val="20"/>
                <w:lang w:eastAsia="fr-FR"/>
              </w:rPr>
              <w:t>2010</w:t>
            </w:r>
          </w:p>
        </w:tc>
      </w:tr>
      <w:tr w:rsidR="00641AF9" w:rsidRPr="00641AF9" w:rsidTr="00D257CA">
        <w:trPr>
          <w:jc w:val="center"/>
        </w:trPr>
        <w:tc>
          <w:tcPr>
            <w:tcW w:w="1559" w:type="dxa"/>
          </w:tcPr>
          <w:p w:rsidR="00641AF9" w:rsidRPr="00641AF9" w:rsidRDefault="00641AF9" w:rsidP="008C616B">
            <w:pPr>
              <w:rPr>
                <w:rFonts w:ascii="Times New Roman" w:hAnsi="Times New Roman" w:cs="Times New Roman"/>
                <w:sz w:val="20"/>
                <w:szCs w:val="20"/>
              </w:rPr>
            </w:pPr>
          </w:p>
        </w:tc>
        <w:tc>
          <w:tcPr>
            <w:tcW w:w="2125" w:type="dxa"/>
          </w:tcPr>
          <w:p w:rsidR="00641AF9" w:rsidRPr="00641AF9" w:rsidRDefault="00641AF9" w:rsidP="008C616B">
            <w:pPr>
              <w:rPr>
                <w:rFonts w:ascii="Times New Roman" w:hAnsi="Times New Roman" w:cs="Times New Roman"/>
                <w:sz w:val="20"/>
                <w:szCs w:val="20"/>
              </w:rPr>
            </w:pPr>
          </w:p>
        </w:tc>
        <w:tc>
          <w:tcPr>
            <w:tcW w:w="1842" w:type="dxa"/>
          </w:tcPr>
          <w:p w:rsidR="00641AF9" w:rsidRPr="00641AF9" w:rsidRDefault="00641AF9" w:rsidP="008C616B">
            <w:pPr>
              <w:rPr>
                <w:rFonts w:ascii="Times New Roman" w:hAnsi="Times New Roman" w:cs="Times New Roman"/>
                <w:sz w:val="20"/>
                <w:szCs w:val="20"/>
              </w:rPr>
            </w:pPr>
          </w:p>
        </w:tc>
        <w:tc>
          <w:tcPr>
            <w:tcW w:w="1843" w:type="dxa"/>
          </w:tcPr>
          <w:p w:rsidR="00641AF9" w:rsidRPr="00641AF9" w:rsidRDefault="00641AF9" w:rsidP="008C616B">
            <w:pPr>
              <w:rPr>
                <w:rFonts w:ascii="Times New Roman" w:hAnsi="Times New Roman" w:cs="Times New Roman"/>
                <w:sz w:val="20"/>
                <w:szCs w:val="20"/>
              </w:rPr>
            </w:pPr>
          </w:p>
        </w:tc>
      </w:tr>
      <w:tr w:rsidR="00641AF9" w:rsidRPr="00641AF9" w:rsidTr="00D257CA">
        <w:trPr>
          <w:jc w:val="center"/>
        </w:trPr>
        <w:tc>
          <w:tcPr>
            <w:tcW w:w="1559" w:type="dxa"/>
          </w:tcPr>
          <w:p w:rsidR="00641AF9" w:rsidRPr="00F17041" w:rsidRDefault="00641AF9" w:rsidP="00D257CA">
            <w:pPr>
              <w:ind w:left="1948" w:hanging="1948"/>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Homme</w:t>
            </w:r>
          </w:p>
        </w:tc>
        <w:tc>
          <w:tcPr>
            <w:tcW w:w="2125" w:type="dxa"/>
            <w:vAlign w:val="center"/>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75,9</w:t>
            </w:r>
          </w:p>
        </w:tc>
        <w:tc>
          <w:tcPr>
            <w:tcW w:w="1842"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74,4</w:t>
            </w:r>
          </w:p>
        </w:tc>
        <w:tc>
          <w:tcPr>
            <w:tcW w:w="1843"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76,8</w:t>
            </w:r>
          </w:p>
        </w:tc>
      </w:tr>
      <w:tr w:rsidR="00641AF9" w:rsidRPr="00641AF9" w:rsidTr="00D257CA">
        <w:trPr>
          <w:jc w:val="center"/>
        </w:trPr>
        <w:tc>
          <w:tcPr>
            <w:tcW w:w="1559" w:type="dxa"/>
          </w:tcPr>
          <w:p w:rsidR="00641AF9" w:rsidRPr="00F17041" w:rsidRDefault="00641AF9" w:rsidP="00D257CA">
            <w:pPr>
              <w:ind w:left="1948" w:hanging="1948"/>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Femme</w:t>
            </w:r>
          </w:p>
        </w:tc>
        <w:tc>
          <w:tcPr>
            <w:tcW w:w="2125" w:type="dxa"/>
            <w:vAlign w:val="center"/>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60,7</w:t>
            </w:r>
          </w:p>
        </w:tc>
        <w:tc>
          <w:tcPr>
            <w:tcW w:w="1842"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69,9</w:t>
            </w:r>
          </w:p>
        </w:tc>
        <w:tc>
          <w:tcPr>
            <w:tcW w:w="1843"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74,3</w:t>
            </w:r>
          </w:p>
        </w:tc>
      </w:tr>
      <w:tr w:rsidR="00641AF9" w:rsidRPr="00641AF9" w:rsidTr="00D257CA">
        <w:trPr>
          <w:jc w:val="center"/>
        </w:trPr>
        <w:tc>
          <w:tcPr>
            <w:tcW w:w="1559" w:type="dxa"/>
          </w:tcPr>
          <w:p w:rsidR="00641AF9" w:rsidRPr="00F17041" w:rsidRDefault="00641AF9" w:rsidP="00D257CA">
            <w:pPr>
              <w:ind w:left="1948" w:hanging="1948"/>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Total</w:t>
            </w:r>
          </w:p>
        </w:tc>
        <w:tc>
          <w:tcPr>
            <w:tcW w:w="2125" w:type="dxa"/>
            <w:vAlign w:val="center"/>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67,9</w:t>
            </w:r>
          </w:p>
        </w:tc>
        <w:tc>
          <w:tcPr>
            <w:tcW w:w="1842"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72</w:t>
            </w:r>
            <w:r w:rsidRPr="00641AF9">
              <w:rPr>
                <w:rFonts w:ascii="Times New Roman" w:hAnsi="Times New Roman" w:cs="Times New Roman"/>
                <w:color w:val="000000"/>
                <w:sz w:val="20"/>
                <w:szCs w:val="20"/>
                <w:lang w:eastAsia="fr-FR"/>
              </w:rPr>
              <w:t>,0</w:t>
            </w:r>
          </w:p>
        </w:tc>
        <w:tc>
          <w:tcPr>
            <w:tcW w:w="1843" w:type="dxa"/>
            <w:vAlign w:val="bottom"/>
          </w:tcPr>
          <w:p w:rsidR="00641AF9" w:rsidRPr="00F17041" w:rsidRDefault="00641AF9" w:rsidP="00D257CA">
            <w:pPr>
              <w:ind w:left="1948" w:hanging="1948"/>
              <w:jc w:val="right"/>
              <w:rPr>
                <w:rFonts w:ascii="Times New Roman" w:hAnsi="Times New Roman" w:cs="Times New Roman"/>
                <w:color w:val="000000"/>
                <w:sz w:val="20"/>
                <w:szCs w:val="20"/>
                <w:lang w:eastAsia="fr-FR"/>
              </w:rPr>
            </w:pPr>
            <w:r w:rsidRPr="00F17041">
              <w:rPr>
                <w:rFonts w:ascii="Times New Roman" w:hAnsi="Times New Roman" w:cs="Times New Roman"/>
                <w:color w:val="000000"/>
                <w:sz w:val="20"/>
                <w:szCs w:val="20"/>
                <w:lang w:eastAsia="fr-FR"/>
              </w:rPr>
              <w:t>75,5</w:t>
            </w:r>
          </w:p>
        </w:tc>
      </w:tr>
      <w:tr w:rsidR="00641AF9" w:rsidRPr="00641AF9" w:rsidTr="00D257CA">
        <w:trPr>
          <w:jc w:val="center"/>
        </w:trPr>
        <w:tc>
          <w:tcPr>
            <w:tcW w:w="1559" w:type="dxa"/>
          </w:tcPr>
          <w:p w:rsidR="00641AF9" w:rsidRPr="00641AF9" w:rsidRDefault="00641AF9" w:rsidP="008C616B">
            <w:pPr>
              <w:rPr>
                <w:rFonts w:ascii="Times New Roman" w:hAnsi="Times New Roman" w:cs="Times New Roman"/>
                <w:sz w:val="20"/>
                <w:szCs w:val="20"/>
              </w:rPr>
            </w:pPr>
          </w:p>
        </w:tc>
        <w:tc>
          <w:tcPr>
            <w:tcW w:w="2125" w:type="dxa"/>
          </w:tcPr>
          <w:p w:rsidR="00641AF9" w:rsidRPr="00641AF9" w:rsidRDefault="00641AF9" w:rsidP="008C616B">
            <w:pPr>
              <w:rPr>
                <w:rFonts w:ascii="Times New Roman" w:hAnsi="Times New Roman" w:cs="Times New Roman"/>
                <w:sz w:val="20"/>
                <w:szCs w:val="20"/>
              </w:rPr>
            </w:pPr>
          </w:p>
        </w:tc>
        <w:tc>
          <w:tcPr>
            <w:tcW w:w="1842" w:type="dxa"/>
          </w:tcPr>
          <w:p w:rsidR="00641AF9" w:rsidRPr="00641AF9" w:rsidRDefault="00641AF9" w:rsidP="008C616B">
            <w:pPr>
              <w:rPr>
                <w:rFonts w:ascii="Times New Roman" w:hAnsi="Times New Roman" w:cs="Times New Roman"/>
                <w:sz w:val="20"/>
                <w:szCs w:val="20"/>
              </w:rPr>
            </w:pPr>
          </w:p>
        </w:tc>
        <w:tc>
          <w:tcPr>
            <w:tcW w:w="1843" w:type="dxa"/>
          </w:tcPr>
          <w:p w:rsidR="00641AF9" w:rsidRPr="00641AF9" w:rsidRDefault="00641AF9" w:rsidP="008C616B">
            <w:pPr>
              <w:rPr>
                <w:rFonts w:ascii="Times New Roman" w:hAnsi="Times New Roman" w:cs="Times New Roman"/>
                <w:sz w:val="20"/>
                <w:szCs w:val="20"/>
              </w:rPr>
            </w:pPr>
          </w:p>
        </w:tc>
      </w:tr>
      <w:tr w:rsidR="00641AF9" w:rsidRPr="00641AF9" w:rsidTr="00D257CA">
        <w:trPr>
          <w:jc w:val="center"/>
        </w:trPr>
        <w:tc>
          <w:tcPr>
            <w:tcW w:w="1559" w:type="dxa"/>
          </w:tcPr>
          <w:p w:rsidR="00641AF9" w:rsidRPr="00641AF9" w:rsidRDefault="00641AF9" w:rsidP="008C616B">
            <w:pPr>
              <w:rPr>
                <w:rFonts w:ascii="Times New Roman" w:hAnsi="Times New Roman" w:cs="Times New Roman"/>
                <w:sz w:val="20"/>
                <w:szCs w:val="20"/>
              </w:rPr>
            </w:pPr>
            <w:r w:rsidRPr="00641AF9">
              <w:rPr>
                <w:rFonts w:ascii="Times New Roman" w:hAnsi="Times New Roman" w:cs="Times New Roman"/>
                <w:sz w:val="20"/>
                <w:szCs w:val="20"/>
              </w:rPr>
              <w:t xml:space="preserve">Rapport de masculinité </w:t>
            </w:r>
          </w:p>
        </w:tc>
        <w:tc>
          <w:tcPr>
            <w:tcW w:w="2125" w:type="dxa"/>
            <w:vAlign w:val="bottom"/>
          </w:tcPr>
          <w:p w:rsidR="00641AF9" w:rsidRPr="00D257CA" w:rsidRDefault="00641AF9">
            <w:pPr>
              <w:jc w:val="right"/>
              <w:rPr>
                <w:rFonts w:ascii="Times New Roman" w:hAnsi="Times New Roman" w:cs="Times New Roman"/>
                <w:color w:val="000000"/>
                <w:sz w:val="20"/>
                <w:szCs w:val="20"/>
              </w:rPr>
            </w:pPr>
            <w:r w:rsidRPr="00D257CA">
              <w:rPr>
                <w:rFonts w:ascii="Times New Roman" w:hAnsi="Times New Roman" w:cs="Times New Roman"/>
                <w:color w:val="000000"/>
                <w:sz w:val="20"/>
                <w:szCs w:val="20"/>
              </w:rPr>
              <w:t>125</w:t>
            </w:r>
          </w:p>
        </w:tc>
        <w:tc>
          <w:tcPr>
            <w:tcW w:w="1842" w:type="dxa"/>
            <w:vAlign w:val="bottom"/>
          </w:tcPr>
          <w:p w:rsidR="00641AF9" w:rsidRPr="00D257CA" w:rsidRDefault="00641AF9">
            <w:pPr>
              <w:jc w:val="right"/>
              <w:rPr>
                <w:rFonts w:ascii="Times New Roman" w:hAnsi="Times New Roman" w:cs="Times New Roman"/>
                <w:color w:val="000000"/>
                <w:sz w:val="20"/>
                <w:szCs w:val="20"/>
              </w:rPr>
            </w:pPr>
            <w:r w:rsidRPr="00D257CA">
              <w:rPr>
                <w:rFonts w:ascii="Times New Roman" w:hAnsi="Times New Roman" w:cs="Times New Roman"/>
                <w:color w:val="000000"/>
                <w:sz w:val="20"/>
                <w:szCs w:val="20"/>
              </w:rPr>
              <w:t>106</w:t>
            </w:r>
          </w:p>
        </w:tc>
        <w:tc>
          <w:tcPr>
            <w:tcW w:w="1843" w:type="dxa"/>
            <w:vAlign w:val="bottom"/>
          </w:tcPr>
          <w:p w:rsidR="00641AF9" w:rsidRPr="00D257CA" w:rsidRDefault="00641AF9">
            <w:pPr>
              <w:jc w:val="right"/>
              <w:rPr>
                <w:rFonts w:ascii="Times New Roman" w:hAnsi="Times New Roman" w:cs="Times New Roman"/>
                <w:color w:val="000000"/>
                <w:sz w:val="20"/>
                <w:szCs w:val="20"/>
              </w:rPr>
            </w:pPr>
            <w:r w:rsidRPr="00D257CA">
              <w:rPr>
                <w:rFonts w:ascii="Times New Roman" w:hAnsi="Times New Roman" w:cs="Times New Roman"/>
                <w:color w:val="000000"/>
                <w:sz w:val="20"/>
                <w:szCs w:val="20"/>
              </w:rPr>
              <w:t>103</w:t>
            </w:r>
          </w:p>
        </w:tc>
      </w:tr>
    </w:tbl>
    <w:p w:rsidR="001039A1" w:rsidRPr="008C616B" w:rsidRDefault="000F6F1C" w:rsidP="000F6F1C">
      <w:pPr>
        <w:ind w:left="708"/>
        <w:rPr>
          <w:rFonts w:ascii="Times New Roman" w:hAnsi="Times New Roman" w:cs="Times New Roman"/>
          <w:sz w:val="24"/>
          <w:szCs w:val="24"/>
        </w:rPr>
      </w:pPr>
      <w:r>
        <w:rPr>
          <w:rFonts w:ascii="Times New Roman" w:hAnsi="Times New Roman" w:cs="Times New Roman"/>
          <w:sz w:val="24"/>
          <w:szCs w:val="24"/>
        </w:rPr>
        <w:t xml:space="preserve">   </w:t>
      </w:r>
      <w:r w:rsidR="00F17041" w:rsidRPr="00F17041">
        <w:rPr>
          <w:rFonts w:ascii="Times New Roman" w:hAnsi="Times New Roman" w:cs="Times New Roman"/>
          <w:i/>
          <w:sz w:val="20"/>
          <w:szCs w:val="20"/>
        </w:rPr>
        <w:t>Source : EMICoV-2015 ; 2011 et 2010</w:t>
      </w:r>
    </w:p>
    <w:p w:rsidR="001039A1" w:rsidRDefault="001039A1" w:rsidP="00A47B54">
      <w:pPr>
        <w:rPr>
          <w:rFonts w:ascii="Times New Roman" w:hAnsi="Times New Roman" w:cs="Times New Roman"/>
          <w:sz w:val="24"/>
          <w:szCs w:val="24"/>
        </w:rPr>
      </w:pPr>
    </w:p>
    <w:p w:rsidR="00F17041" w:rsidRPr="00F17041" w:rsidRDefault="00F17041" w:rsidP="00D257CA">
      <w:pPr>
        <w:spacing w:after="200" w:line="276" w:lineRule="auto"/>
        <w:jc w:val="both"/>
        <w:rPr>
          <w:rFonts w:ascii="Times New Roman" w:hAnsi="Times New Roman" w:cs="Times New Roman"/>
          <w:b/>
          <w:color w:val="4F81BD" w:themeColor="accent1"/>
          <w:sz w:val="24"/>
          <w:szCs w:val="24"/>
        </w:rPr>
      </w:pPr>
      <w:r w:rsidRPr="00F17041">
        <w:rPr>
          <w:rFonts w:ascii="Times New Roman" w:hAnsi="Times New Roman" w:cs="Times New Roman"/>
          <w:b/>
          <w:color w:val="4F81BD" w:themeColor="accent1"/>
          <w:sz w:val="24"/>
          <w:szCs w:val="24"/>
        </w:rPr>
        <w:t>……….</w:t>
      </w:r>
      <w:r>
        <w:rPr>
          <w:rFonts w:ascii="Times New Roman" w:hAnsi="Times New Roman" w:cs="Times New Roman"/>
          <w:b/>
          <w:color w:val="4F81BD" w:themeColor="accent1"/>
          <w:sz w:val="24"/>
          <w:szCs w:val="24"/>
        </w:rPr>
        <w:t xml:space="preserve"> </w:t>
      </w:r>
      <w:r w:rsidR="008F388C">
        <w:rPr>
          <w:rFonts w:ascii="Times New Roman" w:hAnsi="Times New Roman" w:cs="Times New Roman"/>
          <w:b/>
          <w:color w:val="4F81BD" w:themeColor="accent1"/>
          <w:sz w:val="24"/>
          <w:szCs w:val="24"/>
        </w:rPr>
        <w:t xml:space="preserve">mais plus </w:t>
      </w:r>
      <w:r w:rsidR="00453C1F">
        <w:rPr>
          <w:rFonts w:ascii="Times New Roman" w:hAnsi="Times New Roman" w:cs="Times New Roman"/>
          <w:b/>
          <w:color w:val="4F81BD" w:themeColor="accent1"/>
          <w:sz w:val="24"/>
          <w:szCs w:val="24"/>
        </w:rPr>
        <w:t>active</w:t>
      </w:r>
      <w:r w:rsidR="00D257CA">
        <w:rPr>
          <w:rFonts w:ascii="Times New Roman" w:hAnsi="Times New Roman" w:cs="Times New Roman"/>
          <w:b/>
          <w:color w:val="4F81BD" w:themeColor="accent1"/>
          <w:sz w:val="24"/>
          <w:szCs w:val="24"/>
        </w:rPr>
        <w:t xml:space="preserve"> </w:t>
      </w:r>
      <w:r w:rsidR="008F388C">
        <w:rPr>
          <w:rFonts w:ascii="Times New Roman" w:hAnsi="Times New Roman" w:cs="Times New Roman"/>
          <w:b/>
          <w:color w:val="4F81BD" w:themeColor="accent1"/>
          <w:sz w:val="24"/>
          <w:szCs w:val="24"/>
        </w:rPr>
        <w:t xml:space="preserve">en milieu rural et dans les départements des </w:t>
      </w:r>
      <w:r w:rsidR="00641AF9">
        <w:rPr>
          <w:rFonts w:ascii="Times New Roman" w:hAnsi="Times New Roman" w:cs="Times New Roman"/>
          <w:b/>
          <w:color w:val="4F81BD" w:themeColor="accent1"/>
          <w:sz w:val="24"/>
          <w:szCs w:val="24"/>
        </w:rPr>
        <w:t>C</w:t>
      </w:r>
      <w:r w:rsidR="008F388C">
        <w:rPr>
          <w:rFonts w:ascii="Times New Roman" w:hAnsi="Times New Roman" w:cs="Times New Roman"/>
          <w:b/>
          <w:color w:val="4F81BD" w:themeColor="accent1"/>
          <w:sz w:val="24"/>
          <w:szCs w:val="24"/>
        </w:rPr>
        <w:t>ollines,</w:t>
      </w:r>
      <w:r w:rsidR="00641AF9">
        <w:rPr>
          <w:rFonts w:ascii="Times New Roman" w:hAnsi="Times New Roman" w:cs="Times New Roman"/>
          <w:b/>
          <w:color w:val="4F81BD" w:themeColor="accent1"/>
          <w:sz w:val="24"/>
          <w:szCs w:val="24"/>
        </w:rPr>
        <w:t xml:space="preserve"> du Zou, </w:t>
      </w:r>
      <w:r w:rsidR="005C26BB">
        <w:rPr>
          <w:rFonts w:ascii="Times New Roman" w:hAnsi="Times New Roman" w:cs="Times New Roman"/>
          <w:b/>
          <w:color w:val="4F81BD" w:themeColor="accent1"/>
          <w:sz w:val="24"/>
          <w:szCs w:val="24"/>
        </w:rPr>
        <w:t xml:space="preserve">du Plateau, </w:t>
      </w:r>
      <w:r w:rsidR="00641AF9">
        <w:rPr>
          <w:rFonts w:ascii="Times New Roman" w:hAnsi="Times New Roman" w:cs="Times New Roman"/>
          <w:b/>
          <w:color w:val="4F81BD" w:themeColor="accent1"/>
          <w:sz w:val="24"/>
          <w:szCs w:val="24"/>
        </w:rPr>
        <w:t>de l’Ouémé et du Mono</w:t>
      </w:r>
    </w:p>
    <w:p w:rsidR="00AE53C8" w:rsidRDefault="00453C1F" w:rsidP="00453C1F">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La population béninoise est plus active en milieu rural </w:t>
      </w:r>
      <w:r w:rsidR="000F6F1C">
        <w:rPr>
          <w:rFonts w:ascii="Times New Roman" w:hAnsi="Times New Roman" w:cs="Times New Roman"/>
          <w:sz w:val="24"/>
          <w:szCs w:val="24"/>
        </w:rPr>
        <w:t xml:space="preserve">(69,2%) </w:t>
      </w:r>
      <w:r>
        <w:rPr>
          <w:rFonts w:ascii="Times New Roman" w:hAnsi="Times New Roman" w:cs="Times New Roman"/>
          <w:sz w:val="24"/>
          <w:szCs w:val="24"/>
        </w:rPr>
        <w:t>qu’en milieu urbain</w:t>
      </w:r>
      <w:r w:rsidR="000F6F1C">
        <w:rPr>
          <w:rFonts w:ascii="Times New Roman" w:hAnsi="Times New Roman" w:cs="Times New Roman"/>
          <w:sz w:val="24"/>
          <w:szCs w:val="24"/>
        </w:rPr>
        <w:t xml:space="preserve"> (6</w:t>
      </w:r>
      <w:r>
        <w:rPr>
          <w:rFonts w:ascii="Times New Roman" w:hAnsi="Times New Roman" w:cs="Times New Roman"/>
          <w:sz w:val="24"/>
          <w:szCs w:val="24"/>
        </w:rPr>
        <w:t>6,9%</w:t>
      </w:r>
      <w:r w:rsidR="000F6F1C">
        <w:rPr>
          <w:rFonts w:ascii="Times New Roman" w:hAnsi="Times New Roman" w:cs="Times New Roman"/>
          <w:sz w:val="24"/>
          <w:szCs w:val="24"/>
        </w:rPr>
        <w:t>)</w:t>
      </w:r>
      <w:r>
        <w:rPr>
          <w:rFonts w:ascii="Times New Roman" w:hAnsi="Times New Roman" w:cs="Times New Roman"/>
          <w:sz w:val="24"/>
          <w:szCs w:val="24"/>
        </w:rPr>
        <w:t xml:space="preserve">. Par ailleurs, </w:t>
      </w:r>
      <w:r w:rsidR="005C26BB">
        <w:rPr>
          <w:rFonts w:ascii="Times New Roman" w:hAnsi="Times New Roman" w:cs="Times New Roman"/>
          <w:sz w:val="24"/>
          <w:szCs w:val="24"/>
        </w:rPr>
        <w:t>l</w:t>
      </w:r>
      <w:r>
        <w:rPr>
          <w:rFonts w:ascii="Times New Roman" w:hAnsi="Times New Roman" w:cs="Times New Roman"/>
          <w:sz w:val="24"/>
          <w:szCs w:val="24"/>
        </w:rPr>
        <w:t>es départements des Collines (77,3%), du Plateau (73,1%), du Zou (72,2%), de l’Ouémé (72,2%)</w:t>
      </w:r>
      <w:r w:rsidR="005C26BB">
        <w:rPr>
          <w:rFonts w:ascii="Times New Roman" w:hAnsi="Times New Roman" w:cs="Times New Roman"/>
          <w:sz w:val="24"/>
          <w:szCs w:val="24"/>
        </w:rPr>
        <w:t xml:space="preserve"> et du Mono (71,8%) comptent environs trois quarts d’actifs de leur population. </w:t>
      </w:r>
      <w:r>
        <w:rPr>
          <w:rFonts w:ascii="Times New Roman" w:hAnsi="Times New Roman" w:cs="Times New Roman"/>
          <w:sz w:val="24"/>
          <w:szCs w:val="24"/>
        </w:rPr>
        <w:t xml:space="preserve"> </w:t>
      </w:r>
      <w:r w:rsidR="005C26BB">
        <w:rPr>
          <w:rFonts w:ascii="Times New Roman" w:hAnsi="Times New Roman" w:cs="Times New Roman"/>
          <w:sz w:val="24"/>
          <w:szCs w:val="24"/>
        </w:rPr>
        <w:t xml:space="preserve">Les départements de l’Atacora et de l’Alibori affichent les plus faibles </w:t>
      </w:r>
      <w:r w:rsidR="00670516">
        <w:rPr>
          <w:rFonts w:ascii="Times New Roman" w:hAnsi="Times New Roman" w:cs="Times New Roman"/>
          <w:sz w:val="24"/>
          <w:szCs w:val="24"/>
        </w:rPr>
        <w:t>taux d’activité</w:t>
      </w:r>
      <w:r w:rsidR="005C26BB">
        <w:rPr>
          <w:rFonts w:ascii="Times New Roman" w:hAnsi="Times New Roman" w:cs="Times New Roman"/>
          <w:sz w:val="24"/>
          <w:szCs w:val="24"/>
        </w:rPr>
        <w:t xml:space="preserve">, soit respectivement 56,3% et 59,4%.  </w:t>
      </w:r>
    </w:p>
    <w:p w:rsidR="00CC739B" w:rsidRDefault="00CC739B" w:rsidP="00453C1F">
      <w:pPr>
        <w:spacing w:after="200" w:line="276" w:lineRule="auto"/>
        <w:jc w:val="both"/>
        <w:rPr>
          <w:rFonts w:ascii="Times New Roman" w:hAnsi="Times New Roman" w:cs="Times New Roman"/>
          <w:b/>
          <w:color w:val="4F81BD" w:themeColor="accent1"/>
          <w:sz w:val="24"/>
          <w:szCs w:val="24"/>
        </w:rPr>
      </w:pPr>
      <w:r>
        <w:rPr>
          <w:rFonts w:ascii="Times New Roman" w:hAnsi="Times New Roman" w:cs="Times New Roman"/>
          <w:sz w:val="24"/>
          <w:szCs w:val="24"/>
        </w:rPr>
        <w:t>Le niveau de la population active comparé à celui de 2011 suggère une activité intense et maintenue en milieu rural (69,2% en 2015 contre 75,5% en 2011) et dans les départements des Collines (77,3% en 2015 contre 76,5% en 2011) et du Plateau (73,1% en 2015 contre 75,7%).</w:t>
      </w:r>
    </w:p>
    <w:p w:rsidR="005C26BB" w:rsidRPr="005C26BB" w:rsidRDefault="005C26BB" w:rsidP="00453C1F">
      <w:pPr>
        <w:spacing w:after="200" w:line="276" w:lineRule="auto"/>
        <w:jc w:val="both"/>
        <w:rPr>
          <w:rFonts w:ascii="Times New Roman" w:hAnsi="Times New Roman" w:cs="Times New Roman"/>
          <w:b/>
          <w:color w:val="4F81BD" w:themeColor="accent1"/>
          <w:sz w:val="24"/>
          <w:szCs w:val="24"/>
        </w:rPr>
      </w:pPr>
      <w:r w:rsidRPr="005C26BB">
        <w:rPr>
          <w:rFonts w:ascii="Times New Roman" w:hAnsi="Times New Roman" w:cs="Times New Roman"/>
          <w:b/>
          <w:color w:val="4F81BD" w:themeColor="accent1"/>
          <w:sz w:val="24"/>
          <w:szCs w:val="24"/>
        </w:rPr>
        <w:t>Le taux d’activité baisse avec le niveau d’instruction de la population</w:t>
      </w:r>
      <w:r w:rsidR="00AE1D82">
        <w:rPr>
          <w:rFonts w:ascii="Times New Roman" w:hAnsi="Times New Roman" w:cs="Times New Roman"/>
          <w:b/>
          <w:color w:val="4F81BD" w:themeColor="accent1"/>
          <w:sz w:val="24"/>
          <w:szCs w:val="24"/>
        </w:rPr>
        <w:t xml:space="preserve"> ………</w:t>
      </w:r>
      <w:r w:rsidRPr="005C26BB">
        <w:rPr>
          <w:rFonts w:ascii="Times New Roman" w:hAnsi="Times New Roman" w:cs="Times New Roman"/>
          <w:b/>
          <w:color w:val="4F81BD" w:themeColor="accent1"/>
          <w:sz w:val="24"/>
          <w:szCs w:val="24"/>
        </w:rPr>
        <w:t xml:space="preserve"> </w:t>
      </w:r>
    </w:p>
    <w:p w:rsidR="005C26BB" w:rsidRDefault="005C26BB" w:rsidP="00453C1F">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Lorsque </w:t>
      </w:r>
      <w:r w:rsidR="00CC739B">
        <w:rPr>
          <w:rFonts w:ascii="Times New Roman" w:hAnsi="Times New Roman" w:cs="Times New Roman"/>
          <w:sz w:val="24"/>
          <w:szCs w:val="24"/>
        </w:rPr>
        <w:t xml:space="preserve">la population accède à un </w:t>
      </w:r>
      <w:r>
        <w:rPr>
          <w:rFonts w:ascii="Times New Roman" w:hAnsi="Times New Roman" w:cs="Times New Roman"/>
          <w:sz w:val="24"/>
          <w:szCs w:val="24"/>
        </w:rPr>
        <w:t xml:space="preserve">niveau d’instruction </w:t>
      </w:r>
      <w:r w:rsidR="00CC739B">
        <w:rPr>
          <w:rFonts w:ascii="Times New Roman" w:hAnsi="Times New Roman" w:cs="Times New Roman"/>
          <w:sz w:val="24"/>
          <w:szCs w:val="24"/>
        </w:rPr>
        <w:t xml:space="preserve">meilleur </w:t>
      </w:r>
      <w:r>
        <w:rPr>
          <w:rFonts w:ascii="Times New Roman" w:hAnsi="Times New Roman" w:cs="Times New Roman"/>
          <w:sz w:val="24"/>
          <w:szCs w:val="24"/>
        </w:rPr>
        <w:t xml:space="preserve">le taux d’activité </w:t>
      </w:r>
      <w:r w:rsidR="00CC739B">
        <w:rPr>
          <w:rFonts w:ascii="Times New Roman" w:hAnsi="Times New Roman" w:cs="Times New Roman"/>
          <w:sz w:val="24"/>
          <w:szCs w:val="24"/>
        </w:rPr>
        <w:t>régresse</w:t>
      </w:r>
      <w:r>
        <w:rPr>
          <w:rFonts w:ascii="Times New Roman" w:hAnsi="Times New Roman" w:cs="Times New Roman"/>
          <w:sz w:val="24"/>
          <w:szCs w:val="24"/>
        </w:rPr>
        <w:t>.</w:t>
      </w:r>
      <w:r w:rsidR="00CC739B">
        <w:rPr>
          <w:rFonts w:ascii="Times New Roman" w:hAnsi="Times New Roman" w:cs="Times New Roman"/>
          <w:sz w:val="24"/>
          <w:szCs w:val="24"/>
        </w:rPr>
        <w:t xml:space="preserve"> Les personnes n’ayant aucun niveau d’instruction sont ceux qui affluent sur le marché du travail avec une proportion de </w:t>
      </w:r>
      <w:r w:rsidR="004E4091">
        <w:rPr>
          <w:rFonts w:ascii="Times New Roman" w:hAnsi="Times New Roman" w:cs="Times New Roman"/>
          <w:sz w:val="24"/>
          <w:szCs w:val="24"/>
        </w:rPr>
        <w:t>73,7% plus élevée que ceux de niveau primaire (78,8%), secondaire (46,5%) et supérieur (67,4%). Cette tendance  est la même en 2011, où le taux varie de 81,7% pour aucun niveau d’instruction à 67,0% pour les personnes de niveau supérieur.</w:t>
      </w:r>
    </w:p>
    <w:p w:rsidR="0080236D" w:rsidRPr="00AE1D82" w:rsidRDefault="00AE1D82" w:rsidP="0080236D">
      <w:pPr>
        <w:rPr>
          <w:rFonts w:ascii="Times New Roman" w:hAnsi="Times New Roman" w:cs="Times New Roman"/>
          <w:b/>
          <w:color w:val="4F81BD" w:themeColor="accent1"/>
          <w:sz w:val="24"/>
          <w:szCs w:val="24"/>
        </w:rPr>
      </w:pPr>
      <w:r w:rsidRPr="00AE1D82">
        <w:rPr>
          <w:rFonts w:ascii="Times New Roman" w:hAnsi="Times New Roman" w:cs="Times New Roman"/>
          <w:b/>
          <w:color w:val="4F81BD" w:themeColor="accent1"/>
          <w:sz w:val="24"/>
          <w:szCs w:val="24"/>
        </w:rPr>
        <w:t xml:space="preserve">……. mais augmente </w:t>
      </w:r>
      <w:r>
        <w:rPr>
          <w:rFonts w:ascii="Times New Roman" w:hAnsi="Times New Roman" w:cs="Times New Roman"/>
          <w:b/>
          <w:color w:val="4F81BD" w:themeColor="accent1"/>
          <w:sz w:val="24"/>
          <w:szCs w:val="24"/>
        </w:rPr>
        <w:t xml:space="preserve">régulièrement </w:t>
      </w:r>
      <w:r w:rsidRPr="00AE1D82">
        <w:rPr>
          <w:rFonts w:ascii="Times New Roman" w:hAnsi="Times New Roman" w:cs="Times New Roman"/>
          <w:b/>
          <w:color w:val="4F81BD" w:themeColor="accent1"/>
          <w:sz w:val="24"/>
          <w:szCs w:val="24"/>
        </w:rPr>
        <w:t xml:space="preserve">avec </w:t>
      </w:r>
      <w:r w:rsidR="00384F83">
        <w:rPr>
          <w:rFonts w:ascii="Times New Roman" w:hAnsi="Times New Roman" w:cs="Times New Roman"/>
          <w:b/>
          <w:color w:val="4F81BD" w:themeColor="accent1"/>
          <w:sz w:val="24"/>
          <w:szCs w:val="24"/>
        </w:rPr>
        <w:t>les générations</w:t>
      </w:r>
    </w:p>
    <w:p w:rsidR="00AE1D82" w:rsidRDefault="00AE1D82" w:rsidP="0080236D">
      <w:pPr>
        <w:rPr>
          <w:rFonts w:ascii="Times New Roman" w:hAnsi="Times New Roman" w:cs="Times New Roman"/>
          <w:sz w:val="24"/>
          <w:szCs w:val="24"/>
        </w:rPr>
      </w:pPr>
    </w:p>
    <w:p w:rsidR="00AE1D82" w:rsidRDefault="00AE1D82" w:rsidP="0067051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Le taux d’activité le plus faible est enregistré chez les jeunes de moins de 20 ans, mais quelque soit le sexe, ce taux augmente régulièrement pour atteindre le niveau maximum entre 40 et 49 ans</w:t>
      </w:r>
      <w:r w:rsidR="00384F83">
        <w:rPr>
          <w:rFonts w:ascii="Times New Roman" w:hAnsi="Times New Roman" w:cs="Times New Roman"/>
          <w:sz w:val="24"/>
          <w:szCs w:val="24"/>
        </w:rPr>
        <w:t>,</w:t>
      </w:r>
      <w:r>
        <w:rPr>
          <w:rFonts w:ascii="Times New Roman" w:hAnsi="Times New Roman" w:cs="Times New Roman"/>
          <w:sz w:val="24"/>
          <w:szCs w:val="24"/>
        </w:rPr>
        <w:t xml:space="preserve"> puis amorce une décroissance à partir de 50 ans. </w:t>
      </w:r>
      <w:r w:rsidR="00B6130D">
        <w:rPr>
          <w:rFonts w:ascii="Times New Roman" w:hAnsi="Times New Roman" w:cs="Times New Roman"/>
          <w:sz w:val="24"/>
          <w:szCs w:val="24"/>
        </w:rPr>
        <w:t xml:space="preserve">La moitié de </w:t>
      </w:r>
      <w:r w:rsidR="00384F83">
        <w:rPr>
          <w:rFonts w:ascii="Times New Roman" w:hAnsi="Times New Roman" w:cs="Times New Roman"/>
          <w:sz w:val="24"/>
          <w:szCs w:val="24"/>
        </w:rPr>
        <w:t xml:space="preserve">la </w:t>
      </w:r>
      <w:r w:rsidR="00B6130D">
        <w:rPr>
          <w:rFonts w:ascii="Times New Roman" w:hAnsi="Times New Roman" w:cs="Times New Roman"/>
          <w:sz w:val="24"/>
          <w:szCs w:val="24"/>
        </w:rPr>
        <w:t>population âgée de 65 ans et plus (âge d’admission à la retraite dans la fonction publique au Bénin) participent</w:t>
      </w:r>
      <w:r w:rsidR="00384F83">
        <w:rPr>
          <w:rFonts w:ascii="Times New Roman" w:hAnsi="Times New Roman" w:cs="Times New Roman"/>
          <w:sz w:val="24"/>
          <w:szCs w:val="24"/>
        </w:rPr>
        <w:t xml:space="preserve"> encore </w:t>
      </w:r>
      <w:r w:rsidR="00B6130D">
        <w:rPr>
          <w:rFonts w:ascii="Times New Roman" w:hAnsi="Times New Roman" w:cs="Times New Roman"/>
          <w:sz w:val="24"/>
          <w:szCs w:val="24"/>
        </w:rPr>
        <w:t>à l’activité économique d</w:t>
      </w:r>
      <w:r w:rsidR="007D4DF5">
        <w:rPr>
          <w:rFonts w:ascii="Times New Roman" w:hAnsi="Times New Roman" w:cs="Times New Roman"/>
          <w:sz w:val="24"/>
          <w:szCs w:val="24"/>
        </w:rPr>
        <w:t xml:space="preserve">ans le </w:t>
      </w:r>
      <w:r w:rsidR="00B6130D">
        <w:rPr>
          <w:rFonts w:ascii="Times New Roman" w:hAnsi="Times New Roman" w:cs="Times New Roman"/>
          <w:sz w:val="24"/>
          <w:szCs w:val="24"/>
        </w:rPr>
        <w:t xml:space="preserve">pays, soit </w:t>
      </w:r>
      <w:r>
        <w:rPr>
          <w:rFonts w:ascii="Times New Roman" w:hAnsi="Times New Roman" w:cs="Times New Roman"/>
          <w:sz w:val="24"/>
          <w:szCs w:val="24"/>
        </w:rPr>
        <w:t xml:space="preserve"> </w:t>
      </w:r>
      <w:r w:rsidR="00B6130D">
        <w:rPr>
          <w:rFonts w:ascii="Times New Roman" w:hAnsi="Times New Roman" w:cs="Times New Roman"/>
          <w:sz w:val="24"/>
          <w:szCs w:val="24"/>
        </w:rPr>
        <w:t xml:space="preserve">55,9%. Les hommes âgés sont plus présents sur le marché du travail que les femmes de même âge, soit </w:t>
      </w:r>
      <w:r w:rsidR="007D4DF5">
        <w:rPr>
          <w:rFonts w:ascii="Times New Roman" w:hAnsi="Times New Roman" w:cs="Times New Roman"/>
          <w:sz w:val="24"/>
          <w:szCs w:val="24"/>
        </w:rPr>
        <w:t xml:space="preserve">respectivement </w:t>
      </w:r>
      <w:r w:rsidR="00B6130D">
        <w:rPr>
          <w:rFonts w:ascii="Times New Roman" w:hAnsi="Times New Roman" w:cs="Times New Roman"/>
          <w:sz w:val="24"/>
          <w:szCs w:val="24"/>
        </w:rPr>
        <w:t xml:space="preserve">65,9% </w:t>
      </w:r>
      <w:r w:rsidR="007D4DF5">
        <w:rPr>
          <w:rFonts w:ascii="Times New Roman" w:hAnsi="Times New Roman" w:cs="Times New Roman"/>
          <w:sz w:val="24"/>
          <w:szCs w:val="24"/>
        </w:rPr>
        <w:t>et</w:t>
      </w:r>
      <w:r w:rsidR="00B6130D">
        <w:rPr>
          <w:rFonts w:ascii="Times New Roman" w:hAnsi="Times New Roman" w:cs="Times New Roman"/>
          <w:sz w:val="24"/>
          <w:szCs w:val="24"/>
        </w:rPr>
        <w:t xml:space="preserve"> 48,9%.</w:t>
      </w:r>
    </w:p>
    <w:p w:rsidR="00B6130D" w:rsidRDefault="00B6130D" w:rsidP="00670516">
      <w:pPr>
        <w:spacing w:after="200" w:line="276" w:lineRule="auto"/>
        <w:jc w:val="both"/>
        <w:rPr>
          <w:rFonts w:ascii="Times New Roman" w:hAnsi="Times New Roman" w:cs="Times New Roman"/>
          <w:sz w:val="24"/>
          <w:szCs w:val="24"/>
        </w:rPr>
      </w:pPr>
    </w:p>
    <w:p w:rsidR="00B6130D" w:rsidRDefault="00B6130D" w:rsidP="0067051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En milieu rural</w:t>
      </w:r>
      <w:r w:rsidR="00670516">
        <w:rPr>
          <w:rFonts w:ascii="Times New Roman" w:hAnsi="Times New Roman" w:cs="Times New Roman"/>
          <w:sz w:val="24"/>
          <w:szCs w:val="24"/>
        </w:rPr>
        <w:t xml:space="preserve">, l’activité commence </w:t>
      </w:r>
      <w:r w:rsidR="00384F83">
        <w:rPr>
          <w:rFonts w:ascii="Times New Roman" w:hAnsi="Times New Roman" w:cs="Times New Roman"/>
          <w:sz w:val="24"/>
          <w:szCs w:val="24"/>
        </w:rPr>
        <w:t>très précoce</w:t>
      </w:r>
      <w:r w:rsidR="00670516">
        <w:rPr>
          <w:rFonts w:ascii="Times New Roman" w:hAnsi="Times New Roman" w:cs="Times New Roman"/>
          <w:sz w:val="24"/>
          <w:szCs w:val="24"/>
        </w:rPr>
        <w:t>ment</w:t>
      </w:r>
      <w:r w:rsidR="00384F83">
        <w:rPr>
          <w:rFonts w:ascii="Times New Roman" w:hAnsi="Times New Roman" w:cs="Times New Roman"/>
          <w:sz w:val="24"/>
          <w:szCs w:val="24"/>
        </w:rPr>
        <w:t xml:space="preserve"> qu’en milieu urbain (28,2% contre 17,6% des moins de 20 ans) avec une participation très importante des personnes âgées (59,1%  contre 51,8% des plus de 65 ans). </w:t>
      </w:r>
    </w:p>
    <w:p w:rsidR="0080236D" w:rsidRDefault="0080236D" w:rsidP="0080236D">
      <w:pPr>
        <w:rPr>
          <w:rFonts w:ascii="Times New Roman" w:hAnsi="Times New Roman" w:cs="Times New Roman"/>
          <w:sz w:val="24"/>
          <w:szCs w:val="24"/>
        </w:rPr>
      </w:pPr>
      <w:r>
        <w:rPr>
          <w:rFonts w:ascii="Times New Roman" w:hAnsi="Times New Roman" w:cs="Times New Roman"/>
          <w:sz w:val="24"/>
          <w:szCs w:val="24"/>
        </w:rPr>
        <w:t xml:space="preserve">Graphique n°1 : Taux d’activité selon le sexe et par âge </w:t>
      </w:r>
    </w:p>
    <w:p w:rsidR="0080236D" w:rsidRDefault="0080236D" w:rsidP="0080236D">
      <w:pPr>
        <w:rPr>
          <w:rFonts w:ascii="Times New Roman" w:hAnsi="Times New Roman" w:cs="Times New Roman"/>
          <w:sz w:val="24"/>
          <w:szCs w:val="24"/>
        </w:rPr>
      </w:pPr>
    </w:p>
    <w:tbl>
      <w:tblPr>
        <w:tblStyle w:val="Grilledutableau"/>
        <w:tblW w:w="10065" w:type="dxa"/>
        <w:tblInd w:w="-176" w:type="dxa"/>
        <w:tblLayout w:type="fixed"/>
        <w:tblLook w:val="04A0" w:firstRow="1" w:lastRow="0" w:firstColumn="1" w:lastColumn="0" w:noHBand="0" w:noVBand="1"/>
      </w:tblPr>
      <w:tblGrid>
        <w:gridCol w:w="4820"/>
        <w:gridCol w:w="5245"/>
      </w:tblGrid>
      <w:tr w:rsidR="00B6130D" w:rsidTr="00AC3CCC">
        <w:trPr>
          <w:trHeight w:val="3822"/>
        </w:trPr>
        <w:tc>
          <w:tcPr>
            <w:tcW w:w="4820" w:type="dxa"/>
          </w:tcPr>
          <w:p w:rsidR="00B6130D" w:rsidRDefault="003E7A0F" w:rsidP="0080236D">
            <w:pPr>
              <w:rPr>
                <w:rFonts w:ascii="Times New Roman" w:hAnsi="Times New Roman" w:cs="Times New Roman"/>
                <w:sz w:val="24"/>
                <w:szCs w:val="24"/>
              </w:rPr>
            </w:pPr>
            <w:r w:rsidRPr="003E7A0F">
              <w:rPr>
                <w:rFonts w:ascii="Times New Roman" w:hAnsi="Times New Roman" w:cs="Times New Roman"/>
                <w:noProof/>
                <w:sz w:val="24"/>
                <w:szCs w:val="24"/>
                <w:lang w:eastAsia="fr-FR"/>
              </w:rPr>
              <w:drawing>
                <wp:inline distT="0" distB="0" distL="0" distR="0">
                  <wp:extent cx="2943225" cy="2381250"/>
                  <wp:effectExtent l="19050" t="0" r="9525"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245" w:type="dxa"/>
          </w:tcPr>
          <w:p w:rsidR="00B6130D" w:rsidRDefault="003E7A0F" w:rsidP="0080236D">
            <w:pPr>
              <w:rPr>
                <w:rFonts w:ascii="Times New Roman" w:hAnsi="Times New Roman" w:cs="Times New Roman"/>
                <w:sz w:val="24"/>
                <w:szCs w:val="24"/>
              </w:rPr>
            </w:pPr>
            <w:r w:rsidRPr="003E7A0F">
              <w:rPr>
                <w:rFonts w:ascii="Times New Roman" w:hAnsi="Times New Roman" w:cs="Times New Roman"/>
                <w:noProof/>
                <w:sz w:val="24"/>
                <w:szCs w:val="24"/>
                <w:lang w:eastAsia="fr-FR"/>
              </w:rPr>
              <w:drawing>
                <wp:inline distT="0" distB="0" distL="0" distR="0">
                  <wp:extent cx="3200400" cy="2381250"/>
                  <wp:effectExtent l="19050" t="0" r="19050" b="0"/>
                  <wp:docPr id="10"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80236D" w:rsidRDefault="0080236D" w:rsidP="0080236D">
      <w:pPr>
        <w:ind w:firstLine="708"/>
        <w:rPr>
          <w:rFonts w:ascii="Times New Roman" w:hAnsi="Times New Roman" w:cs="Times New Roman"/>
          <w:i/>
          <w:sz w:val="20"/>
          <w:szCs w:val="20"/>
        </w:rPr>
      </w:pPr>
      <w:r w:rsidRPr="00E0065E">
        <w:rPr>
          <w:rFonts w:ascii="Times New Roman" w:hAnsi="Times New Roman" w:cs="Times New Roman"/>
          <w:i/>
          <w:sz w:val="20"/>
          <w:szCs w:val="20"/>
        </w:rPr>
        <w:t>Source : EMICoV 2015</w:t>
      </w:r>
    </w:p>
    <w:p w:rsidR="0080236D" w:rsidRDefault="0080236D" w:rsidP="00A47B54">
      <w:pPr>
        <w:rPr>
          <w:rFonts w:ascii="Times New Roman" w:hAnsi="Times New Roman" w:cs="Times New Roman"/>
          <w:sz w:val="24"/>
          <w:szCs w:val="24"/>
        </w:rPr>
      </w:pPr>
    </w:p>
    <w:p w:rsidR="00AE53C8" w:rsidRDefault="00AE53C8" w:rsidP="00A47B54">
      <w:pPr>
        <w:rPr>
          <w:rFonts w:ascii="Times New Roman" w:hAnsi="Times New Roman" w:cs="Times New Roman"/>
          <w:sz w:val="24"/>
          <w:szCs w:val="24"/>
        </w:rPr>
      </w:pPr>
      <w:r>
        <w:rPr>
          <w:rFonts w:ascii="Times New Roman" w:hAnsi="Times New Roman" w:cs="Times New Roman"/>
          <w:sz w:val="24"/>
          <w:szCs w:val="24"/>
        </w:rPr>
        <w:t>Tableau n°</w:t>
      </w:r>
      <w:r w:rsidR="0080236D">
        <w:rPr>
          <w:rFonts w:ascii="Times New Roman" w:hAnsi="Times New Roman" w:cs="Times New Roman"/>
          <w:sz w:val="24"/>
          <w:szCs w:val="24"/>
        </w:rPr>
        <w:t>2</w:t>
      </w:r>
      <w:r>
        <w:rPr>
          <w:rFonts w:ascii="Times New Roman" w:hAnsi="Times New Roman" w:cs="Times New Roman"/>
          <w:sz w:val="24"/>
          <w:szCs w:val="24"/>
        </w:rPr>
        <w:t xml:space="preserve"> : Taux d’activité selon les caractéristiques sociodémographiques de la population </w:t>
      </w:r>
    </w:p>
    <w:p w:rsidR="001039A1" w:rsidRDefault="001039A1" w:rsidP="00A47B54">
      <w:pPr>
        <w:rPr>
          <w:rFonts w:ascii="Times New Roman" w:hAnsi="Times New Roman" w:cs="Times New Roman"/>
          <w:sz w:val="24"/>
          <w:szCs w:val="24"/>
        </w:rPr>
      </w:pP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9"/>
        <w:gridCol w:w="2274"/>
        <w:gridCol w:w="1608"/>
        <w:gridCol w:w="1735"/>
      </w:tblGrid>
      <w:tr w:rsidR="00587277" w:rsidRPr="00670516" w:rsidTr="00670516">
        <w:trPr>
          <w:trHeight w:val="436"/>
          <w:tblHeader/>
          <w:jc w:val="center"/>
        </w:trPr>
        <w:tc>
          <w:tcPr>
            <w:tcW w:w="2499" w:type="dxa"/>
            <w:shd w:val="clear" w:color="auto" w:fill="auto"/>
            <w:noWrap/>
            <w:vAlign w:val="bottom"/>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 xml:space="preserve">Caractéristiques socio-démographiques </w:t>
            </w:r>
          </w:p>
        </w:tc>
        <w:tc>
          <w:tcPr>
            <w:tcW w:w="2274" w:type="dxa"/>
            <w:shd w:val="clear" w:color="auto" w:fill="auto"/>
            <w:vAlign w:val="bottom"/>
            <w:hideMark/>
          </w:tcPr>
          <w:p w:rsidR="00587277" w:rsidRPr="00670516" w:rsidRDefault="00587277" w:rsidP="00443B8F">
            <w:pPr>
              <w:jc w:val="cente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Taux global d'activité des 15 ans et plus (%)</w:t>
            </w:r>
          </w:p>
        </w:tc>
        <w:tc>
          <w:tcPr>
            <w:tcW w:w="1608" w:type="dxa"/>
            <w:shd w:val="clear" w:color="auto" w:fill="auto"/>
            <w:vAlign w:val="bottom"/>
            <w:hideMark/>
          </w:tcPr>
          <w:p w:rsidR="00587277" w:rsidRPr="00670516" w:rsidRDefault="00587277" w:rsidP="00587277">
            <w:pPr>
              <w:jc w:val="cente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Taux de salarisation (%)</w:t>
            </w:r>
          </w:p>
        </w:tc>
        <w:tc>
          <w:tcPr>
            <w:tcW w:w="1735" w:type="dxa"/>
            <w:shd w:val="clear" w:color="auto" w:fill="auto"/>
            <w:vAlign w:val="bottom"/>
            <w:hideMark/>
          </w:tcPr>
          <w:p w:rsidR="00587277" w:rsidRPr="00670516" w:rsidRDefault="00587277" w:rsidP="00443B8F">
            <w:pPr>
              <w:jc w:val="cente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Taux de chômage au sens large (%)</w:t>
            </w:r>
          </w:p>
        </w:tc>
      </w:tr>
      <w:tr w:rsidR="00587277" w:rsidRPr="00670516" w:rsidTr="00670516">
        <w:trPr>
          <w:trHeight w:val="315"/>
          <w:jc w:val="center"/>
        </w:trPr>
        <w:tc>
          <w:tcPr>
            <w:tcW w:w="2499" w:type="dxa"/>
            <w:shd w:val="clear" w:color="auto" w:fill="auto"/>
            <w:vAlign w:val="bottom"/>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 xml:space="preserve">Sexe </w:t>
            </w:r>
          </w:p>
        </w:tc>
        <w:tc>
          <w:tcPr>
            <w:tcW w:w="2274" w:type="dxa"/>
            <w:shd w:val="clear" w:color="auto" w:fill="auto"/>
            <w:noWrap/>
            <w:vAlign w:val="bottom"/>
            <w:hideMark/>
          </w:tcPr>
          <w:p w:rsidR="00587277" w:rsidRPr="00670516" w:rsidRDefault="00587277" w:rsidP="00443B8F">
            <w:pPr>
              <w:rPr>
                <w:rFonts w:ascii="Times New Roman" w:hAnsi="Times New Roman" w:cs="Times New Roman"/>
                <w:color w:val="000000" w:themeColor="text1"/>
                <w:sz w:val="20"/>
                <w:szCs w:val="20"/>
                <w:lang w:eastAsia="fr-FR"/>
              </w:rPr>
            </w:pPr>
          </w:p>
        </w:tc>
        <w:tc>
          <w:tcPr>
            <w:tcW w:w="1608" w:type="dxa"/>
            <w:shd w:val="clear" w:color="auto" w:fill="auto"/>
            <w:noWrap/>
            <w:vAlign w:val="bottom"/>
            <w:hideMark/>
          </w:tcPr>
          <w:p w:rsidR="00587277" w:rsidRPr="00670516" w:rsidRDefault="00587277" w:rsidP="00443B8F">
            <w:pPr>
              <w:rPr>
                <w:rFonts w:ascii="Times New Roman" w:hAnsi="Times New Roman" w:cs="Times New Roman"/>
                <w:color w:val="000000" w:themeColor="text1"/>
                <w:sz w:val="20"/>
                <w:szCs w:val="20"/>
                <w:lang w:eastAsia="fr-FR"/>
              </w:rPr>
            </w:pPr>
          </w:p>
        </w:tc>
        <w:tc>
          <w:tcPr>
            <w:tcW w:w="1735" w:type="dxa"/>
            <w:shd w:val="clear" w:color="auto" w:fill="auto"/>
            <w:noWrap/>
            <w:vAlign w:val="bottom"/>
            <w:hideMark/>
          </w:tcPr>
          <w:p w:rsidR="00587277" w:rsidRPr="00670516" w:rsidRDefault="00587277" w:rsidP="00443B8F">
            <w:pPr>
              <w:rPr>
                <w:rFonts w:ascii="Times New Roman" w:hAnsi="Times New Roman" w:cs="Times New Roman"/>
                <w:color w:val="000000" w:themeColor="text1"/>
                <w:sz w:val="20"/>
                <w:szCs w:val="20"/>
                <w:lang w:eastAsia="fr-FR"/>
              </w:rPr>
            </w:pPr>
          </w:p>
        </w:tc>
      </w:tr>
      <w:tr w:rsidR="00587277" w:rsidRPr="00670516" w:rsidTr="00670516">
        <w:trPr>
          <w:trHeight w:val="315"/>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Homme</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75,9</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18,6</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1,7</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Femme</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60,7</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7,1</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2,8</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 xml:space="preserve">Groupe d'âge </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15-19</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22,8</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6,1</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3,8</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20-24</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52,5</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11,9</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6,6</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25-29</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73,3</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17,5</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4,0</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30-34</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82,8</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16,7</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2,0</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35-39</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85,2</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14,4</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40-44</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86,4</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11,5</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1,0</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45-49</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86,8</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12,2</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1,0</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50-54</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85,3</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12,3</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0,9</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55-59</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81,4</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12,2</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0,6</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60-64</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72,4</w:t>
            </w:r>
          </w:p>
        </w:tc>
        <w:tc>
          <w:tcPr>
            <w:tcW w:w="1608"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5,7</w:t>
            </w:r>
          </w:p>
        </w:tc>
        <w:tc>
          <w:tcPr>
            <w:tcW w:w="1735" w:type="dxa"/>
            <w:shd w:val="clear" w:color="auto" w:fill="auto"/>
            <w:noWrap/>
            <w:vAlign w:val="center"/>
            <w:hideMark/>
          </w:tcPr>
          <w:p w:rsidR="00587277" w:rsidRPr="00670516" w:rsidRDefault="00587277">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0,4</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65 et +</w:t>
            </w:r>
          </w:p>
        </w:tc>
        <w:tc>
          <w:tcPr>
            <w:tcW w:w="2274" w:type="dxa"/>
            <w:shd w:val="clear" w:color="auto" w:fill="auto"/>
            <w:noWrap/>
            <w:vAlign w:val="center"/>
            <w:hideMark/>
          </w:tcPr>
          <w:p w:rsidR="00587277" w:rsidRPr="00670516" w:rsidRDefault="00587277" w:rsidP="00443B8F">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55,9</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w:t>
            </w: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w:t>
            </w:r>
          </w:p>
        </w:tc>
      </w:tr>
      <w:tr w:rsidR="00587277" w:rsidRPr="00670516" w:rsidTr="00670516">
        <w:trPr>
          <w:trHeight w:val="300"/>
          <w:jc w:val="center"/>
        </w:trPr>
        <w:tc>
          <w:tcPr>
            <w:tcW w:w="2499" w:type="dxa"/>
            <w:shd w:val="clear" w:color="auto" w:fill="FFFFFF" w:themeFill="background1"/>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Niveau d’instruction</w:t>
            </w:r>
          </w:p>
        </w:tc>
        <w:tc>
          <w:tcPr>
            <w:tcW w:w="2274"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608"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735"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r>
      <w:tr w:rsidR="00086F81" w:rsidRPr="00670516" w:rsidTr="00670516">
        <w:trPr>
          <w:trHeight w:val="300"/>
          <w:jc w:val="center"/>
        </w:trPr>
        <w:tc>
          <w:tcPr>
            <w:tcW w:w="2499" w:type="dxa"/>
            <w:shd w:val="clear" w:color="auto" w:fill="FFFFFF" w:themeFill="background1"/>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Aucun niveau</w:t>
            </w:r>
          </w:p>
        </w:tc>
        <w:tc>
          <w:tcPr>
            <w:tcW w:w="2274"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73,7</w:t>
            </w:r>
          </w:p>
        </w:tc>
        <w:tc>
          <w:tcPr>
            <w:tcW w:w="1608"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3,6</w:t>
            </w:r>
          </w:p>
        </w:tc>
        <w:tc>
          <w:tcPr>
            <w:tcW w:w="1735"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w:t>
            </w:r>
          </w:p>
        </w:tc>
      </w:tr>
      <w:tr w:rsidR="00086F81" w:rsidRPr="00670516" w:rsidTr="00670516">
        <w:trPr>
          <w:trHeight w:val="300"/>
          <w:jc w:val="center"/>
        </w:trPr>
        <w:tc>
          <w:tcPr>
            <w:tcW w:w="2499" w:type="dxa"/>
            <w:shd w:val="clear" w:color="auto" w:fill="FFFFFF" w:themeFill="background1"/>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 xml:space="preserve">Primaire </w:t>
            </w:r>
          </w:p>
        </w:tc>
        <w:tc>
          <w:tcPr>
            <w:tcW w:w="2274"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78,8</w:t>
            </w:r>
          </w:p>
        </w:tc>
        <w:tc>
          <w:tcPr>
            <w:tcW w:w="1608"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11,2</w:t>
            </w:r>
          </w:p>
        </w:tc>
        <w:tc>
          <w:tcPr>
            <w:tcW w:w="1735"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1,9</w:t>
            </w:r>
          </w:p>
        </w:tc>
      </w:tr>
      <w:tr w:rsidR="00086F81" w:rsidRPr="00670516" w:rsidTr="00670516">
        <w:trPr>
          <w:trHeight w:val="300"/>
          <w:jc w:val="center"/>
        </w:trPr>
        <w:tc>
          <w:tcPr>
            <w:tcW w:w="2499" w:type="dxa"/>
            <w:shd w:val="clear" w:color="auto" w:fill="FFFFFF" w:themeFill="background1"/>
            <w:hideMark/>
          </w:tcPr>
          <w:p w:rsidR="00086F81" w:rsidRPr="00670516" w:rsidRDefault="00086F81" w:rsidP="004E4091">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 xml:space="preserve">Secondaire </w:t>
            </w:r>
          </w:p>
        </w:tc>
        <w:tc>
          <w:tcPr>
            <w:tcW w:w="2274"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46,5</w:t>
            </w:r>
          </w:p>
        </w:tc>
        <w:tc>
          <w:tcPr>
            <w:tcW w:w="1608"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34,4</w:t>
            </w:r>
          </w:p>
        </w:tc>
        <w:tc>
          <w:tcPr>
            <w:tcW w:w="1735"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4,9</w:t>
            </w:r>
          </w:p>
        </w:tc>
      </w:tr>
      <w:tr w:rsidR="00086F81" w:rsidRPr="00670516" w:rsidTr="00670516">
        <w:trPr>
          <w:trHeight w:val="300"/>
          <w:jc w:val="center"/>
        </w:trPr>
        <w:tc>
          <w:tcPr>
            <w:tcW w:w="2499" w:type="dxa"/>
            <w:shd w:val="clear" w:color="auto" w:fill="FFFFFF" w:themeFill="background1"/>
            <w:hideMark/>
          </w:tcPr>
          <w:p w:rsidR="00086F81" w:rsidRPr="00670516" w:rsidRDefault="00086F81" w:rsidP="004E4091">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Supérieur</w:t>
            </w:r>
          </w:p>
        </w:tc>
        <w:tc>
          <w:tcPr>
            <w:tcW w:w="2274"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67,4</w:t>
            </w:r>
          </w:p>
        </w:tc>
        <w:tc>
          <w:tcPr>
            <w:tcW w:w="1608"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82,0</w:t>
            </w:r>
          </w:p>
        </w:tc>
        <w:tc>
          <w:tcPr>
            <w:tcW w:w="1735" w:type="dxa"/>
            <w:shd w:val="clear" w:color="auto" w:fill="FFFFFF" w:themeFill="background1"/>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9,0</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lastRenderedPageBreak/>
              <w:t xml:space="preserve">Milieu de résidence </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Cotonou</w:t>
            </w:r>
          </w:p>
        </w:tc>
        <w:tc>
          <w:tcPr>
            <w:tcW w:w="2274" w:type="dxa"/>
            <w:shd w:val="clear" w:color="auto" w:fill="auto"/>
            <w:noWrap/>
            <w:vAlign w:val="bottom"/>
            <w:hideMark/>
          </w:tcPr>
          <w:p w:rsidR="00587277" w:rsidRPr="00670516" w:rsidRDefault="00587277" w:rsidP="008F388C">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66,9</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33,9</w:t>
            </w:r>
          </w:p>
        </w:tc>
        <w:tc>
          <w:tcPr>
            <w:tcW w:w="1735" w:type="dxa"/>
            <w:shd w:val="clear" w:color="auto" w:fill="auto"/>
            <w:noWrap/>
            <w:vAlign w:val="bottom"/>
            <w:hideMark/>
          </w:tcPr>
          <w:p w:rsidR="00587277" w:rsidRPr="00670516" w:rsidRDefault="00086F81"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6,1</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Autres urbains</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66,5</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18,3</w:t>
            </w: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2,6</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Urbain</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66,6</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20,8</w:t>
            </w: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3,2</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Rural</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69,2</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6,3</w:t>
            </w: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1,4</w:t>
            </w:r>
          </w:p>
        </w:tc>
      </w:tr>
      <w:tr w:rsidR="00587277" w:rsidRPr="00670516" w:rsidTr="00670516">
        <w:trPr>
          <w:trHeight w:val="300"/>
          <w:jc w:val="center"/>
        </w:trPr>
        <w:tc>
          <w:tcPr>
            <w:tcW w:w="2499" w:type="dxa"/>
            <w:shd w:val="clear" w:color="auto" w:fill="auto"/>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 xml:space="preserve">Département </w:t>
            </w: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color w:val="000000" w:themeColor="text1"/>
                <w:sz w:val="20"/>
                <w:szCs w:val="20"/>
                <w:lang w:eastAsia="fr-FR"/>
              </w:rPr>
            </w:pPr>
          </w:p>
        </w:tc>
        <w:tc>
          <w:tcPr>
            <w:tcW w:w="1608" w:type="dxa"/>
            <w:shd w:val="clear" w:color="auto" w:fill="auto"/>
            <w:noWrap/>
            <w:vAlign w:val="bottom"/>
            <w:hideMark/>
          </w:tcPr>
          <w:p w:rsidR="00587277" w:rsidRPr="00670516" w:rsidRDefault="00587277" w:rsidP="00443B8F">
            <w:pPr>
              <w:rPr>
                <w:rFonts w:ascii="Times New Roman" w:hAnsi="Times New Roman" w:cs="Times New Roman"/>
                <w:color w:val="000000" w:themeColor="text1"/>
                <w:sz w:val="20"/>
                <w:szCs w:val="20"/>
                <w:lang w:eastAsia="fr-FR"/>
              </w:rPr>
            </w:pPr>
          </w:p>
        </w:tc>
        <w:tc>
          <w:tcPr>
            <w:tcW w:w="1735" w:type="dxa"/>
            <w:shd w:val="clear" w:color="auto" w:fill="auto"/>
            <w:noWrap/>
            <w:vAlign w:val="bottom"/>
            <w:hideMark/>
          </w:tcPr>
          <w:p w:rsidR="00587277" w:rsidRPr="00670516" w:rsidRDefault="00587277" w:rsidP="00443B8F">
            <w:pPr>
              <w:rPr>
                <w:rFonts w:ascii="Times New Roman" w:hAnsi="Times New Roman" w:cs="Times New Roman"/>
                <w:color w:val="000000" w:themeColor="text1"/>
                <w:sz w:val="20"/>
                <w:szCs w:val="20"/>
                <w:lang w:eastAsia="fr-FR"/>
              </w:rPr>
            </w:pP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Alibori</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59,4</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5,2</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0,7</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Atacora</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56,3</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8,3</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1,2</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Atlantique</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66,4</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20,5</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3,8</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Borgou</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65,9</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9,2</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1,8</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Collines</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77,3</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7,0</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0,8</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Couffo</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69,5</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5,1</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1,1</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Donga</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63,8</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8,9</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1,6</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Littoral</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66,9</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33,9</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6,1</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Mono</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71,8</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14,3</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3,3</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Ouémé</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72,2</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15,7</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2,8</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Plateau</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73,1</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7,3</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0,6</w:t>
            </w:r>
          </w:p>
        </w:tc>
      </w:tr>
      <w:tr w:rsidR="00086F81" w:rsidRPr="00670516" w:rsidTr="00670516">
        <w:trPr>
          <w:trHeight w:val="300"/>
          <w:jc w:val="center"/>
        </w:trPr>
        <w:tc>
          <w:tcPr>
            <w:tcW w:w="2499" w:type="dxa"/>
            <w:shd w:val="clear" w:color="auto" w:fill="auto"/>
            <w:hideMark/>
          </w:tcPr>
          <w:p w:rsidR="00086F81" w:rsidRPr="00670516" w:rsidRDefault="00086F81" w:rsidP="00443B8F">
            <w:pPr>
              <w:rPr>
                <w:rFonts w:ascii="Times New Roman" w:hAnsi="Times New Roman" w:cs="Times New Roman"/>
                <w:color w:val="000000" w:themeColor="text1"/>
                <w:sz w:val="20"/>
                <w:szCs w:val="20"/>
                <w:lang w:eastAsia="fr-FR"/>
              </w:rPr>
            </w:pPr>
            <w:r w:rsidRPr="00670516">
              <w:rPr>
                <w:rFonts w:ascii="Times New Roman" w:hAnsi="Times New Roman" w:cs="Times New Roman"/>
                <w:color w:val="000000" w:themeColor="text1"/>
                <w:sz w:val="20"/>
                <w:szCs w:val="20"/>
                <w:lang w:eastAsia="fr-FR"/>
              </w:rPr>
              <w:t>Zou</w:t>
            </w:r>
          </w:p>
        </w:tc>
        <w:tc>
          <w:tcPr>
            <w:tcW w:w="2274"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72,2</w:t>
            </w:r>
          </w:p>
        </w:tc>
        <w:tc>
          <w:tcPr>
            <w:tcW w:w="1608"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14,9</w:t>
            </w:r>
          </w:p>
        </w:tc>
        <w:tc>
          <w:tcPr>
            <w:tcW w:w="1735" w:type="dxa"/>
            <w:shd w:val="clear" w:color="auto" w:fill="auto"/>
            <w:noWrap/>
            <w:vAlign w:val="center"/>
            <w:hideMark/>
          </w:tcPr>
          <w:p w:rsidR="00086F81" w:rsidRPr="00670516" w:rsidRDefault="00086F81">
            <w:pPr>
              <w:jc w:val="right"/>
              <w:rPr>
                <w:rFonts w:ascii="Times New Roman" w:hAnsi="Times New Roman" w:cs="Times New Roman"/>
                <w:color w:val="000000" w:themeColor="text1"/>
                <w:sz w:val="20"/>
                <w:szCs w:val="20"/>
              </w:rPr>
            </w:pPr>
            <w:r w:rsidRPr="00670516">
              <w:rPr>
                <w:rFonts w:ascii="Times New Roman" w:hAnsi="Times New Roman" w:cs="Times New Roman"/>
                <w:color w:val="000000" w:themeColor="text1"/>
                <w:sz w:val="20"/>
                <w:szCs w:val="20"/>
              </w:rPr>
              <w:t>1,5</w:t>
            </w:r>
          </w:p>
        </w:tc>
      </w:tr>
      <w:tr w:rsidR="00587277" w:rsidRPr="00670516" w:rsidTr="00670516">
        <w:trPr>
          <w:trHeight w:val="315"/>
          <w:jc w:val="center"/>
        </w:trPr>
        <w:tc>
          <w:tcPr>
            <w:tcW w:w="2499" w:type="dxa"/>
            <w:shd w:val="clear" w:color="auto" w:fill="auto"/>
            <w:hideMark/>
          </w:tcPr>
          <w:p w:rsidR="00587277" w:rsidRPr="00670516" w:rsidRDefault="00587277" w:rsidP="00443B8F">
            <w:pPr>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 xml:space="preserve">Bénin </w:t>
            </w:r>
          </w:p>
        </w:tc>
        <w:tc>
          <w:tcPr>
            <w:tcW w:w="2274"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67,9</w:t>
            </w:r>
          </w:p>
        </w:tc>
        <w:tc>
          <w:tcPr>
            <w:tcW w:w="1608"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13,6</w:t>
            </w:r>
          </w:p>
        </w:tc>
        <w:tc>
          <w:tcPr>
            <w:tcW w:w="1735" w:type="dxa"/>
            <w:shd w:val="clear" w:color="auto" w:fill="FFFFFF" w:themeFill="background1"/>
            <w:noWrap/>
            <w:vAlign w:val="bottom"/>
            <w:hideMark/>
          </w:tcPr>
          <w:p w:rsidR="00587277" w:rsidRPr="00670516" w:rsidRDefault="00587277" w:rsidP="00443B8F">
            <w:pPr>
              <w:jc w:val="right"/>
              <w:rPr>
                <w:rFonts w:ascii="Times New Roman" w:hAnsi="Times New Roman" w:cs="Times New Roman"/>
                <w:b/>
                <w:color w:val="000000" w:themeColor="text1"/>
                <w:sz w:val="20"/>
                <w:szCs w:val="20"/>
                <w:lang w:eastAsia="fr-FR"/>
              </w:rPr>
            </w:pPr>
            <w:r w:rsidRPr="00670516">
              <w:rPr>
                <w:rFonts w:ascii="Times New Roman" w:hAnsi="Times New Roman" w:cs="Times New Roman"/>
                <w:b/>
                <w:color w:val="000000" w:themeColor="text1"/>
                <w:sz w:val="20"/>
                <w:szCs w:val="20"/>
                <w:lang w:eastAsia="fr-FR"/>
              </w:rPr>
              <w:t>2,3</w:t>
            </w:r>
          </w:p>
        </w:tc>
      </w:tr>
      <w:tr w:rsidR="00587277" w:rsidRPr="00670516" w:rsidTr="00670516">
        <w:trPr>
          <w:trHeight w:val="315"/>
          <w:jc w:val="center"/>
        </w:trPr>
        <w:tc>
          <w:tcPr>
            <w:tcW w:w="2499" w:type="dxa"/>
            <w:shd w:val="clear" w:color="auto" w:fill="auto"/>
            <w:hideMark/>
          </w:tcPr>
          <w:p w:rsidR="00587277" w:rsidRPr="00670516" w:rsidRDefault="00587277" w:rsidP="00443B8F">
            <w:pPr>
              <w:rPr>
                <w:rFonts w:ascii="Times New Roman" w:hAnsi="Times New Roman" w:cs="Times New Roman"/>
                <w:b/>
                <w:bCs/>
                <w:color w:val="000000" w:themeColor="text1"/>
                <w:sz w:val="20"/>
                <w:szCs w:val="20"/>
                <w:lang w:eastAsia="fr-FR"/>
              </w:rPr>
            </w:pPr>
          </w:p>
        </w:tc>
        <w:tc>
          <w:tcPr>
            <w:tcW w:w="2274" w:type="dxa"/>
            <w:shd w:val="clear" w:color="auto" w:fill="auto"/>
            <w:noWrap/>
            <w:vAlign w:val="bottom"/>
            <w:hideMark/>
          </w:tcPr>
          <w:p w:rsidR="00587277" w:rsidRPr="00670516" w:rsidRDefault="00587277" w:rsidP="00443B8F">
            <w:pPr>
              <w:jc w:val="right"/>
              <w:rPr>
                <w:rFonts w:ascii="Times New Roman" w:hAnsi="Times New Roman" w:cs="Times New Roman"/>
                <w:b/>
                <w:bCs/>
                <w:color w:val="000000" w:themeColor="text1"/>
                <w:sz w:val="20"/>
                <w:szCs w:val="20"/>
                <w:lang w:eastAsia="fr-FR"/>
              </w:rPr>
            </w:pP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b/>
                <w:bCs/>
                <w:color w:val="000000" w:themeColor="text1"/>
                <w:sz w:val="20"/>
                <w:szCs w:val="20"/>
                <w:lang w:eastAsia="fr-FR"/>
              </w:rPr>
            </w:pPr>
          </w:p>
        </w:tc>
        <w:tc>
          <w:tcPr>
            <w:tcW w:w="1735" w:type="dxa"/>
            <w:shd w:val="clear" w:color="auto" w:fill="auto"/>
            <w:noWrap/>
            <w:vAlign w:val="bottom"/>
            <w:hideMark/>
          </w:tcPr>
          <w:p w:rsidR="00587277" w:rsidRPr="00670516" w:rsidRDefault="00587277" w:rsidP="00443B8F">
            <w:pPr>
              <w:jc w:val="right"/>
              <w:rPr>
                <w:rFonts w:ascii="Times New Roman" w:hAnsi="Times New Roman" w:cs="Times New Roman"/>
                <w:b/>
                <w:bCs/>
                <w:color w:val="000000" w:themeColor="text1"/>
                <w:sz w:val="20"/>
                <w:szCs w:val="20"/>
                <w:lang w:eastAsia="fr-FR"/>
              </w:rPr>
            </w:pPr>
          </w:p>
        </w:tc>
      </w:tr>
      <w:tr w:rsidR="00587277" w:rsidRPr="00670516" w:rsidTr="00670516">
        <w:trPr>
          <w:trHeight w:val="315"/>
          <w:jc w:val="center"/>
        </w:trPr>
        <w:tc>
          <w:tcPr>
            <w:tcW w:w="2499" w:type="dxa"/>
            <w:shd w:val="clear" w:color="auto" w:fill="auto"/>
            <w:hideMark/>
          </w:tcPr>
          <w:p w:rsidR="00587277" w:rsidRPr="00670516" w:rsidRDefault="00587277" w:rsidP="00F163F5">
            <w:pPr>
              <w:rPr>
                <w:rFonts w:ascii="Times New Roman" w:hAnsi="Times New Roman" w:cs="Times New Roman"/>
                <w:b/>
                <w:bCs/>
                <w:color w:val="000000" w:themeColor="text1"/>
                <w:sz w:val="20"/>
                <w:szCs w:val="20"/>
                <w:lang w:eastAsia="fr-FR"/>
              </w:rPr>
            </w:pPr>
            <w:r w:rsidRPr="00670516">
              <w:rPr>
                <w:rFonts w:ascii="Times New Roman" w:hAnsi="Times New Roman" w:cs="Times New Roman"/>
                <w:b/>
                <w:bCs/>
                <w:color w:val="000000" w:themeColor="text1"/>
                <w:sz w:val="20"/>
                <w:szCs w:val="20"/>
                <w:lang w:eastAsia="fr-FR"/>
              </w:rPr>
              <w:t xml:space="preserve">Effectif  </w:t>
            </w:r>
          </w:p>
        </w:tc>
        <w:tc>
          <w:tcPr>
            <w:tcW w:w="2274" w:type="dxa"/>
            <w:shd w:val="clear" w:color="auto" w:fill="auto"/>
            <w:noWrap/>
            <w:vAlign w:val="bottom"/>
            <w:hideMark/>
          </w:tcPr>
          <w:p w:rsidR="00587277" w:rsidRPr="00670516" w:rsidRDefault="00587277" w:rsidP="00587277">
            <w:pPr>
              <w:jc w:val="right"/>
              <w:rPr>
                <w:rFonts w:ascii="Times New Roman" w:hAnsi="Times New Roman" w:cs="Times New Roman"/>
                <w:b/>
                <w:bCs/>
                <w:color w:val="000000" w:themeColor="text1"/>
                <w:sz w:val="20"/>
                <w:szCs w:val="20"/>
                <w:lang w:eastAsia="fr-FR"/>
              </w:rPr>
            </w:pPr>
            <w:r w:rsidRPr="00670516">
              <w:rPr>
                <w:rFonts w:ascii="Times New Roman" w:hAnsi="Times New Roman" w:cs="Times New Roman"/>
                <w:b/>
                <w:bCs/>
                <w:color w:val="000000" w:themeColor="text1"/>
                <w:sz w:val="20"/>
                <w:szCs w:val="20"/>
                <w:lang w:eastAsia="fr-FR"/>
              </w:rPr>
              <w:t>3 364 216</w:t>
            </w:r>
          </w:p>
        </w:tc>
        <w:tc>
          <w:tcPr>
            <w:tcW w:w="1608" w:type="dxa"/>
            <w:shd w:val="clear" w:color="auto" w:fill="auto"/>
            <w:noWrap/>
            <w:vAlign w:val="bottom"/>
            <w:hideMark/>
          </w:tcPr>
          <w:p w:rsidR="00587277" w:rsidRPr="00670516" w:rsidRDefault="00587277" w:rsidP="00443B8F">
            <w:pPr>
              <w:jc w:val="right"/>
              <w:rPr>
                <w:rFonts w:ascii="Times New Roman" w:hAnsi="Times New Roman" w:cs="Times New Roman"/>
                <w:b/>
                <w:bCs/>
                <w:color w:val="000000" w:themeColor="text1"/>
                <w:sz w:val="20"/>
                <w:szCs w:val="20"/>
                <w:lang w:eastAsia="fr-FR"/>
              </w:rPr>
            </w:pPr>
            <w:r w:rsidRPr="00670516">
              <w:rPr>
                <w:rFonts w:ascii="Times New Roman" w:hAnsi="Times New Roman" w:cs="Times New Roman"/>
                <w:b/>
                <w:bCs/>
                <w:color w:val="000000" w:themeColor="text1"/>
                <w:sz w:val="20"/>
                <w:szCs w:val="20"/>
                <w:lang w:eastAsia="fr-FR"/>
              </w:rPr>
              <w:t>424 096</w:t>
            </w:r>
          </w:p>
        </w:tc>
        <w:tc>
          <w:tcPr>
            <w:tcW w:w="1735" w:type="dxa"/>
            <w:shd w:val="clear" w:color="auto" w:fill="auto"/>
            <w:noWrap/>
            <w:vAlign w:val="bottom"/>
            <w:hideMark/>
          </w:tcPr>
          <w:p w:rsidR="00587277" w:rsidRPr="00670516" w:rsidRDefault="00086F81" w:rsidP="00443B8F">
            <w:pPr>
              <w:jc w:val="right"/>
              <w:rPr>
                <w:rFonts w:ascii="Times New Roman" w:hAnsi="Times New Roman" w:cs="Times New Roman"/>
                <w:b/>
                <w:bCs/>
                <w:color w:val="000000" w:themeColor="text1"/>
                <w:sz w:val="20"/>
                <w:szCs w:val="20"/>
                <w:lang w:eastAsia="fr-FR"/>
              </w:rPr>
            </w:pPr>
            <w:r w:rsidRPr="00670516">
              <w:rPr>
                <w:rFonts w:ascii="Times New Roman" w:hAnsi="Times New Roman" w:cs="Times New Roman"/>
                <w:b/>
                <w:bCs/>
                <w:color w:val="000000" w:themeColor="text1"/>
                <w:sz w:val="20"/>
                <w:szCs w:val="20"/>
                <w:lang w:eastAsia="fr-FR"/>
              </w:rPr>
              <w:t>72 028</w:t>
            </w:r>
          </w:p>
        </w:tc>
      </w:tr>
    </w:tbl>
    <w:p w:rsidR="001504B5" w:rsidRDefault="00E0065E" w:rsidP="00E0065E">
      <w:pPr>
        <w:ind w:firstLine="708"/>
        <w:rPr>
          <w:rFonts w:ascii="Times New Roman" w:hAnsi="Times New Roman" w:cs="Times New Roman"/>
          <w:i/>
          <w:sz w:val="20"/>
          <w:szCs w:val="20"/>
        </w:rPr>
      </w:pPr>
      <w:r w:rsidRPr="00E0065E">
        <w:rPr>
          <w:rFonts w:ascii="Times New Roman" w:hAnsi="Times New Roman" w:cs="Times New Roman"/>
          <w:i/>
          <w:sz w:val="20"/>
          <w:szCs w:val="20"/>
        </w:rPr>
        <w:t>Source : EMICoV 2015</w:t>
      </w:r>
    </w:p>
    <w:p w:rsidR="00866E69" w:rsidRDefault="00866E69" w:rsidP="00E0065E">
      <w:pPr>
        <w:ind w:firstLine="708"/>
        <w:rPr>
          <w:rFonts w:ascii="Times New Roman" w:hAnsi="Times New Roman" w:cs="Times New Roman"/>
          <w:i/>
          <w:sz w:val="20"/>
          <w:szCs w:val="20"/>
        </w:rPr>
      </w:pPr>
    </w:p>
    <w:p w:rsidR="00183028" w:rsidRPr="00183028" w:rsidRDefault="00183028">
      <w:pPr>
        <w:spacing w:after="200" w:line="276" w:lineRule="auto"/>
        <w:rPr>
          <w:rFonts w:ascii="Times New Roman" w:hAnsi="Times New Roman" w:cs="Times New Roman"/>
          <w:b/>
          <w:color w:val="4F81BD" w:themeColor="accent1"/>
          <w:sz w:val="24"/>
          <w:szCs w:val="24"/>
        </w:rPr>
      </w:pPr>
      <w:r w:rsidRPr="00183028">
        <w:rPr>
          <w:rFonts w:ascii="Times New Roman" w:hAnsi="Times New Roman" w:cs="Times New Roman"/>
          <w:b/>
          <w:color w:val="4F81BD" w:themeColor="accent1"/>
          <w:sz w:val="24"/>
          <w:szCs w:val="24"/>
        </w:rPr>
        <w:t>Un actif sur 10 est salarié au Bénin en 2015</w:t>
      </w:r>
    </w:p>
    <w:p w:rsidR="00183028" w:rsidRDefault="00183028" w:rsidP="00183028">
      <w:pPr>
        <w:spacing w:after="200" w:line="276" w:lineRule="auto"/>
        <w:jc w:val="both"/>
        <w:rPr>
          <w:rFonts w:ascii="Times New Roman" w:hAnsi="Times New Roman" w:cs="Times New Roman"/>
          <w:sz w:val="24"/>
          <w:szCs w:val="24"/>
        </w:rPr>
      </w:pPr>
      <w:r w:rsidRPr="00183028">
        <w:rPr>
          <w:rFonts w:ascii="Times New Roman" w:hAnsi="Times New Roman" w:cs="Times New Roman"/>
          <w:sz w:val="24"/>
          <w:szCs w:val="24"/>
        </w:rPr>
        <w:t xml:space="preserve">Le </w:t>
      </w:r>
      <w:r>
        <w:rPr>
          <w:rFonts w:ascii="Times New Roman" w:hAnsi="Times New Roman" w:cs="Times New Roman"/>
          <w:sz w:val="24"/>
          <w:szCs w:val="24"/>
        </w:rPr>
        <w:t xml:space="preserve"> taux de salarisation est la part de la population active occupée qui perçoit un salaire. Ce taux est de 13,6% en 2015 contre 10,1% en 2011. Il est plus faible chez les femmes (7,1%) que chez les hommes (18,6%), mais augmente selon le niveau d’instruction : 3,6% chez les actifs occupés n’ayant aucun niveau d’instruction et passe de 11,2% chez ceux de niveau primaire à 82,0% chez ceux de niveau supérieur. </w:t>
      </w:r>
    </w:p>
    <w:p w:rsidR="00183028" w:rsidRDefault="00183028"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L’observation selon l’urbanisation dénote qu’à Cotonou, le niveau est plus élevé que dans les autres milieux urbains et le milieu rural (respectivement 33,9%, 18,3% et 6,3%). </w:t>
      </w:r>
    </w:p>
    <w:p w:rsidR="00C20DDA" w:rsidRPr="00C20DDA" w:rsidRDefault="00C20DDA" w:rsidP="00C20DDA">
      <w:pPr>
        <w:spacing w:after="200" w:line="276" w:lineRule="auto"/>
        <w:rPr>
          <w:rFonts w:ascii="Times New Roman" w:hAnsi="Times New Roman" w:cs="Times New Roman"/>
          <w:b/>
          <w:color w:val="4F81BD" w:themeColor="accent1"/>
          <w:sz w:val="24"/>
          <w:szCs w:val="24"/>
        </w:rPr>
      </w:pPr>
      <w:r w:rsidRPr="00C20DDA">
        <w:rPr>
          <w:rFonts w:ascii="Times New Roman" w:hAnsi="Times New Roman" w:cs="Times New Roman"/>
          <w:b/>
          <w:color w:val="4F81BD" w:themeColor="accent1"/>
          <w:sz w:val="24"/>
          <w:szCs w:val="24"/>
        </w:rPr>
        <w:t>Le chômage est un phénomène urbain et touche plus les femmes que les hommes</w:t>
      </w:r>
    </w:p>
    <w:p w:rsidR="00A563F5" w:rsidRDefault="00DD2188"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La population à la recherche d’un emploi est d’environ 2,3% pour l’EMICoV-2015</w:t>
      </w:r>
      <w:r w:rsidR="00050903">
        <w:rPr>
          <w:rFonts w:ascii="Times New Roman" w:hAnsi="Times New Roman" w:cs="Times New Roman"/>
          <w:sz w:val="24"/>
          <w:szCs w:val="24"/>
        </w:rPr>
        <w:t xml:space="preserve">, de même tendance que celui de l’année 2011 (de l’ordre de 2,6%) et de l’année 2006 (de l’ordre de 2,1%).  </w:t>
      </w:r>
      <w:r w:rsidR="00A563F5">
        <w:rPr>
          <w:rFonts w:ascii="Times New Roman" w:hAnsi="Times New Roman" w:cs="Times New Roman"/>
          <w:sz w:val="24"/>
          <w:szCs w:val="24"/>
        </w:rPr>
        <w:t xml:space="preserve">La population féminine </w:t>
      </w:r>
      <w:r w:rsidR="00D83B14">
        <w:rPr>
          <w:rFonts w:ascii="Times New Roman" w:hAnsi="Times New Roman" w:cs="Times New Roman"/>
          <w:sz w:val="24"/>
          <w:szCs w:val="24"/>
        </w:rPr>
        <w:t>demeure</w:t>
      </w:r>
      <w:r w:rsidR="00A563F5">
        <w:rPr>
          <w:rFonts w:ascii="Times New Roman" w:hAnsi="Times New Roman" w:cs="Times New Roman"/>
          <w:sz w:val="24"/>
          <w:szCs w:val="24"/>
        </w:rPr>
        <w:t xml:space="preserve"> la plus touchée</w:t>
      </w:r>
      <w:r w:rsidR="00535F68">
        <w:rPr>
          <w:rFonts w:ascii="Times New Roman" w:hAnsi="Times New Roman" w:cs="Times New Roman"/>
          <w:sz w:val="24"/>
          <w:szCs w:val="24"/>
        </w:rPr>
        <w:t xml:space="preserve"> : 2,8% des femmes contre 1,7% des hommes en 2015 et 2,8% des femmes </w:t>
      </w:r>
      <w:r w:rsidR="00D83B14">
        <w:rPr>
          <w:rFonts w:ascii="Times New Roman" w:hAnsi="Times New Roman" w:cs="Times New Roman"/>
          <w:sz w:val="24"/>
          <w:szCs w:val="24"/>
        </w:rPr>
        <w:t>contre 2,4% des hommes en 2011.</w:t>
      </w:r>
    </w:p>
    <w:p w:rsidR="00C20DDA" w:rsidRDefault="00A563F5"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Ce taux de chômage est très élevé en milieu urbain (6,1% à Cotonou, 2,6% dans les autres milieux urbanisés et 3,2% dans l’ensemble des milieux urbains) qu’en milieu rural (1,4%). En région, les départements de l’Atlantique (3,8% de sans-emplois), du Mono  (3,3% de </w:t>
      </w:r>
      <w:r>
        <w:rPr>
          <w:rFonts w:ascii="Times New Roman" w:hAnsi="Times New Roman" w:cs="Times New Roman"/>
          <w:sz w:val="24"/>
          <w:szCs w:val="24"/>
        </w:rPr>
        <w:lastRenderedPageBreak/>
        <w:t xml:space="preserve">demandeurs d’emploi), de l’Ouémé (2,8% de sans-emplois) détiennent les plus forts taux d’inoccupation. </w:t>
      </w:r>
    </w:p>
    <w:p w:rsidR="00D83B14" w:rsidRDefault="00D83B14"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La demande d’emploi augmente avec le niveau d’instruction (passant de 1,9% chez les personnes n’ayant aucun niveau à 9,0% chez ceux de niveau supérieur) et diminue régulièrement à partir de 20 ans (passant de 6,6% pour les 20 ans à 0,4% à 60 ans). </w:t>
      </w:r>
    </w:p>
    <w:p w:rsidR="00A563F5" w:rsidRDefault="00D83B14"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Graphique n°2 : Taux de chômage selon le sexe, le milieu de résidence et le département</w:t>
      </w:r>
    </w:p>
    <w:tbl>
      <w:tblPr>
        <w:tblStyle w:val="Grilledutableau"/>
        <w:tblW w:w="0" w:type="auto"/>
        <w:tblLook w:val="04A0" w:firstRow="1" w:lastRow="0" w:firstColumn="1" w:lastColumn="0" w:noHBand="0" w:noVBand="1"/>
      </w:tblPr>
      <w:tblGrid>
        <w:gridCol w:w="4497"/>
        <w:gridCol w:w="4791"/>
      </w:tblGrid>
      <w:tr w:rsidR="00D83B14" w:rsidTr="00AC3CCC">
        <w:trPr>
          <w:trHeight w:val="3708"/>
        </w:trPr>
        <w:tc>
          <w:tcPr>
            <w:tcW w:w="4606" w:type="dxa"/>
          </w:tcPr>
          <w:p w:rsidR="00D83B14" w:rsidRDefault="0081244D" w:rsidP="00183028">
            <w:pPr>
              <w:spacing w:after="200" w:line="276" w:lineRule="auto"/>
              <w:jc w:val="both"/>
              <w:rPr>
                <w:rFonts w:ascii="Times New Roman" w:hAnsi="Times New Roman" w:cs="Times New Roman"/>
                <w:sz w:val="24"/>
                <w:szCs w:val="24"/>
              </w:rPr>
            </w:pPr>
            <w:r w:rsidRPr="0081244D">
              <w:rPr>
                <w:rFonts w:ascii="Times New Roman" w:hAnsi="Times New Roman" w:cs="Times New Roman"/>
                <w:noProof/>
                <w:sz w:val="24"/>
                <w:szCs w:val="24"/>
                <w:lang w:eastAsia="fr-FR"/>
              </w:rPr>
              <w:drawing>
                <wp:inline distT="0" distB="0" distL="0" distR="0">
                  <wp:extent cx="2743200" cy="2371725"/>
                  <wp:effectExtent l="19050" t="0" r="1905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06" w:type="dxa"/>
          </w:tcPr>
          <w:p w:rsidR="00D83B14" w:rsidRDefault="007F261B" w:rsidP="00183028">
            <w:pPr>
              <w:spacing w:after="200" w:line="276" w:lineRule="auto"/>
              <w:jc w:val="both"/>
              <w:rPr>
                <w:rFonts w:ascii="Times New Roman" w:hAnsi="Times New Roman" w:cs="Times New Roman"/>
                <w:sz w:val="24"/>
                <w:szCs w:val="24"/>
              </w:rPr>
            </w:pPr>
            <w:r w:rsidRPr="007F261B">
              <w:rPr>
                <w:rFonts w:ascii="Times New Roman" w:hAnsi="Times New Roman" w:cs="Times New Roman"/>
                <w:noProof/>
                <w:sz w:val="24"/>
                <w:szCs w:val="24"/>
                <w:lang w:eastAsia="fr-FR"/>
              </w:rPr>
              <w:drawing>
                <wp:inline distT="0" distB="0" distL="0" distR="0">
                  <wp:extent cx="2933700" cy="2371725"/>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A563F5" w:rsidRDefault="00D83B14" w:rsidP="00183028">
      <w:pPr>
        <w:spacing w:after="200" w:line="276" w:lineRule="auto"/>
        <w:jc w:val="both"/>
        <w:rPr>
          <w:rFonts w:ascii="Times New Roman" w:hAnsi="Times New Roman" w:cs="Times New Roman"/>
          <w:sz w:val="24"/>
          <w:szCs w:val="24"/>
        </w:rPr>
      </w:pPr>
      <w:r w:rsidRPr="00E0065E">
        <w:rPr>
          <w:rFonts w:ascii="Times New Roman" w:hAnsi="Times New Roman" w:cs="Times New Roman"/>
          <w:i/>
          <w:sz w:val="20"/>
          <w:szCs w:val="20"/>
        </w:rPr>
        <w:t>Source : EMICoV 2015</w:t>
      </w:r>
    </w:p>
    <w:p w:rsidR="00D83B14" w:rsidRPr="0065726C" w:rsidRDefault="0065726C" w:rsidP="0065726C">
      <w:pPr>
        <w:spacing w:after="200" w:line="276" w:lineRule="auto"/>
        <w:rPr>
          <w:rFonts w:ascii="Times New Roman" w:hAnsi="Times New Roman" w:cs="Times New Roman"/>
          <w:b/>
          <w:color w:val="4F81BD" w:themeColor="accent1"/>
          <w:sz w:val="24"/>
          <w:szCs w:val="24"/>
        </w:rPr>
      </w:pPr>
      <w:r w:rsidRPr="0065726C">
        <w:rPr>
          <w:rFonts w:ascii="Times New Roman" w:hAnsi="Times New Roman" w:cs="Times New Roman"/>
          <w:b/>
          <w:color w:val="4F81BD" w:themeColor="accent1"/>
          <w:sz w:val="24"/>
          <w:szCs w:val="24"/>
        </w:rPr>
        <w:t>Plus d</w:t>
      </w:r>
      <w:r w:rsidR="00CB5DF1">
        <w:rPr>
          <w:rFonts w:ascii="Times New Roman" w:hAnsi="Times New Roman" w:cs="Times New Roman"/>
          <w:b/>
          <w:color w:val="4F81BD" w:themeColor="accent1"/>
          <w:sz w:val="24"/>
          <w:szCs w:val="24"/>
        </w:rPr>
        <w:t xml:space="preserve">u tiers </w:t>
      </w:r>
      <w:r w:rsidRPr="0065726C">
        <w:rPr>
          <w:rFonts w:ascii="Times New Roman" w:hAnsi="Times New Roman" w:cs="Times New Roman"/>
          <w:b/>
          <w:color w:val="4F81BD" w:themeColor="accent1"/>
          <w:sz w:val="24"/>
          <w:szCs w:val="24"/>
        </w:rPr>
        <w:t>des personnes actives son</w:t>
      </w:r>
      <w:r w:rsidR="00CB5DF1">
        <w:rPr>
          <w:rFonts w:ascii="Times New Roman" w:hAnsi="Times New Roman" w:cs="Times New Roman"/>
          <w:b/>
          <w:color w:val="4F81BD" w:themeColor="accent1"/>
          <w:sz w:val="24"/>
          <w:szCs w:val="24"/>
        </w:rPr>
        <w:t xml:space="preserve">t touchées par le sous emploi </w:t>
      </w:r>
      <w:r w:rsidRPr="0065726C">
        <w:rPr>
          <w:rFonts w:ascii="Times New Roman" w:hAnsi="Times New Roman" w:cs="Times New Roman"/>
          <w:b/>
          <w:color w:val="4F81BD" w:themeColor="accent1"/>
          <w:sz w:val="24"/>
          <w:szCs w:val="24"/>
        </w:rPr>
        <w:t>visible</w:t>
      </w:r>
      <w:r w:rsidR="00CB5DF1">
        <w:rPr>
          <w:rFonts w:ascii="Times New Roman" w:hAnsi="Times New Roman" w:cs="Times New Roman"/>
          <w:b/>
          <w:color w:val="4F81BD" w:themeColor="accent1"/>
          <w:sz w:val="24"/>
          <w:szCs w:val="24"/>
        </w:rPr>
        <w:t xml:space="preserve"> </w:t>
      </w:r>
      <w:r w:rsidR="00C144BC">
        <w:rPr>
          <w:rFonts w:ascii="Times New Roman" w:hAnsi="Times New Roman" w:cs="Times New Roman"/>
          <w:b/>
          <w:color w:val="4F81BD" w:themeColor="accent1"/>
          <w:sz w:val="24"/>
          <w:szCs w:val="24"/>
        </w:rPr>
        <w:t>…….</w:t>
      </w:r>
    </w:p>
    <w:p w:rsidR="002D1A2E" w:rsidRDefault="00670516"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Au Bénin, 39,0% des actifs occupés de 15-64 ans </w:t>
      </w:r>
      <w:r w:rsidR="002D1A2E">
        <w:rPr>
          <w:rFonts w:ascii="Times New Roman" w:hAnsi="Times New Roman" w:cs="Times New Roman"/>
          <w:sz w:val="24"/>
          <w:szCs w:val="24"/>
        </w:rPr>
        <w:t xml:space="preserve">travaillent moins de 35 heures par semaine en 2015 contre 31,0% en 2011. </w:t>
      </w:r>
      <w:r w:rsidR="005E4EA5">
        <w:rPr>
          <w:rFonts w:ascii="Times New Roman" w:hAnsi="Times New Roman" w:cs="Times New Roman"/>
          <w:sz w:val="24"/>
          <w:szCs w:val="24"/>
        </w:rPr>
        <w:t xml:space="preserve">Ce phénomène touche plus les femmes que les hommes </w:t>
      </w:r>
      <w:r w:rsidR="008579FE">
        <w:rPr>
          <w:rFonts w:ascii="Times New Roman" w:hAnsi="Times New Roman" w:cs="Times New Roman"/>
          <w:sz w:val="24"/>
          <w:szCs w:val="24"/>
        </w:rPr>
        <w:t xml:space="preserve">avec un écart qui se creuse entre hommes et les femmes entre 2011 et 2015. Au cours de cette période le niveau est passé de 24,1% à 37,3% chez les hommes et 37,3% à 42,8% chez les femmes. </w:t>
      </w:r>
    </w:p>
    <w:p w:rsidR="007F261B" w:rsidRDefault="00CB5DF1"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Les personnes touchées par le sous-emploi visible sont plus important parmi celles n’ayant aucun niveau d’instruction et connait une augmentation lorsqu’on passe  du niveau primaire (30,1%) au niveau supérieur (35,8%). Ce phénomène de sous-emploi visible est plus marqué en milieu rural qu’en milieu urbain : respectivement 44,3% contre 33,1%.</w:t>
      </w:r>
    </w:p>
    <w:p w:rsidR="00C144BC" w:rsidRPr="0065726C" w:rsidRDefault="00C144BC" w:rsidP="00C144BC">
      <w:pPr>
        <w:spacing w:after="200" w:line="276"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et plus de la moitié </w:t>
      </w:r>
      <w:r w:rsidR="000A58A4">
        <w:rPr>
          <w:rFonts w:ascii="Times New Roman" w:hAnsi="Times New Roman" w:cs="Times New Roman"/>
          <w:b/>
          <w:color w:val="4F81BD" w:themeColor="accent1"/>
          <w:sz w:val="24"/>
          <w:szCs w:val="24"/>
        </w:rPr>
        <w:t>est en</w:t>
      </w:r>
      <w:r>
        <w:rPr>
          <w:rFonts w:ascii="Times New Roman" w:hAnsi="Times New Roman" w:cs="Times New Roman"/>
          <w:b/>
          <w:color w:val="4F81BD" w:themeColor="accent1"/>
          <w:sz w:val="24"/>
          <w:szCs w:val="24"/>
        </w:rPr>
        <w:t xml:space="preserve"> sous-emploi invisible</w:t>
      </w:r>
    </w:p>
    <w:p w:rsidR="00965C75" w:rsidRDefault="00CB5DF1" w:rsidP="001830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Les personnes qui touchent une rémunération inférieure au SMIG </w:t>
      </w:r>
      <w:r w:rsidR="00C144BC">
        <w:rPr>
          <w:rFonts w:ascii="Times New Roman" w:hAnsi="Times New Roman" w:cs="Times New Roman"/>
          <w:sz w:val="24"/>
          <w:szCs w:val="24"/>
        </w:rPr>
        <w:t xml:space="preserve">(40 000 F.CFA) représentent une proportion de 61,8% en 2015, mais les femmes sont  plus affectées que les hommes : respectivement 78,6% contre 47,0%. Contrairement au sous-emploi visible, la proportion des personnes en sous-emploi invisible n’est pas négligeable pour celles n’ayant aucun niveau d’instruction (71,1%), mais décroit  du primaire (57,7%) au niveau supérieur (10,5%). Ces personnes sont plus nombreuses en milieu rural qu’en milieu urbain : respectivement 53,7% contre 69,2%. </w:t>
      </w:r>
    </w:p>
    <w:p w:rsidR="00AC3CCC" w:rsidRDefault="00AC3CC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83B14" w:rsidRDefault="0065726C" w:rsidP="0065726C">
      <w:pPr>
        <w:rPr>
          <w:rFonts w:ascii="Times New Roman" w:hAnsi="Times New Roman" w:cs="Times New Roman"/>
          <w:sz w:val="24"/>
          <w:szCs w:val="24"/>
        </w:rPr>
      </w:pPr>
      <w:r>
        <w:rPr>
          <w:rFonts w:ascii="Times New Roman" w:hAnsi="Times New Roman" w:cs="Times New Roman"/>
          <w:sz w:val="24"/>
          <w:szCs w:val="24"/>
        </w:rPr>
        <w:lastRenderedPageBreak/>
        <w:t xml:space="preserve">Tableau n°3 : Part des personnes sous-emploi visible et de sous-emploi invisible </w:t>
      </w:r>
    </w:p>
    <w:p w:rsidR="007D4DF5" w:rsidRDefault="007D4DF5" w:rsidP="0065726C">
      <w:pPr>
        <w:rPr>
          <w:rFonts w:ascii="Times New Roman" w:hAnsi="Times New Roman" w:cs="Times New Roman"/>
          <w:sz w:val="24"/>
          <w:szCs w:val="24"/>
        </w:rPr>
      </w:pPr>
    </w:p>
    <w:tbl>
      <w:tblPr>
        <w:tblW w:w="6211" w:type="dxa"/>
        <w:jc w:val="center"/>
        <w:tblCellMar>
          <w:left w:w="70" w:type="dxa"/>
          <w:right w:w="70" w:type="dxa"/>
        </w:tblCellMar>
        <w:tblLook w:val="04A0" w:firstRow="1" w:lastRow="0" w:firstColumn="1" w:lastColumn="0" w:noHBand="0" w:noVBand="1"/>
      </w:tblPr>
      <w:tblGrid>
        <w:gridCol w:w="2052"/>
        <w:gridCol w:w="2033"/>
        <w:gridCol w:w="2126"/>
      </w:tblGrid>
      <w:tr w:rsidR="0065726C" w:rsidRPr="0065726C" w:rsidTr="00C144BC">
        <w:trPr>
          <w:trHeight w:val="300"/>
          <w:tblHeader/>
          <w:jc w:val="center"/>
        </w:trPr>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26C" w:rsidRPr="0065726C" w:rsidRDefault="00AC3CCC" w:rsidP="00F163F5">
            <w:pPr>
              <w:rPr>
                <w:rFonts w:ascii="Times New Roman" w:hAnsi="Times New Roman" w:cs="Times New Roman"/>
                <w:color w:val="000000"/>
                <w:sz w:val="20"/>
                <w:szCs w:val="20"/>
                <w:lang w:eastAsia="fr-FR"/>
              </w:rPr>
            </w:pPr>
            <w:r w:rsidRPr="00670516">
              <w:rPr>
                <w:rFonts w:ascii="Times New Roman" w:hAnsi="Times New Roman" w:cs="Times New Roman"/>
                <w:b/>
                <w:color w:val="000000" w:themeColor="text1"/>
                <w:sz w:val="20"/>
                <w:szCs w:val="20"/>
                <w:lang w:eastAsia="fr-FR"/>
              </w:rPr>
              <w:t>Caractéristiques socio-démographiques</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rsidR="0065726C" w:rsidRPr="007D4DF5" w:rsidRDefault="0065726C" w:rsidP="007D4DF5">
            <w:pPr>
              <w:jc w:val="center"/>
              <w:rPr>
                <w:rFonts w:ascii="Times New Roman" w:hAnsi="Times New Roman" w:cs="Times New Roman"/>
                <w:b/>
                <w:color w:val="000000"/>
                <w:sz w:val="20"/>
                <w:szCs w:val="20"/>
                <w:lang w:eastAsia="fr-FR"/>
              </w:rPr>
            </w:pPr>
            <w:r w:rsidRPr="007D4DF5">
              <w:rPr>
                <w:rFonts w:ascii="Times New Roman" w:hAnsi="Times New Roman" w:cs="Times New Roman"/>
                <w:b/>
                <w:color w:val="000000"/>
                <w:sz w:val="20"/>
                <w:szCs w:val="20"/>
                <w:lang w:eastAsia="fr-FR"/>
              </w:rPr>
              <w:t>Personnes en sous-emploi visible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5726C" w:rsidRPr="007D4DF5" w:rsidRDefault="0065726C" w:rsidP="007D4DF5">
            <w:pPr>
              <w:jc w:val="center"/>
              <w:rPr>
                <w:rFonts w:ascii="Times New Roman" w:hAnsi="Times New Roman" w:cs="Times New Roman"/>
                <w:b/>
                <w:color w:val="000000"/>
                <w:sz w:val="20"/>
                <w:szCs w:val="20"/>
                <w:lang w:eastAsia="fr-FR"/>
              </w:rPr>
            </w:pPr>
            <w:r w:rsidRPr="007D4DF5">
              <w:rPr>
                <w:rFonts w:ascii="Times New Roman" w:hAnsi="Times New Roman" w:cs="Times New Roman"/>
                <w:b/>
                <w:color w:val="000000"/>
                <w:sz w:val="20"/>
                <w:szCs w:val="20"/>
                <w:lang w:eastAsia="fr-FR"/>
              </w:rPr>
              <w:t>Personnes en sous-emploi invisible (%)</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26C" w:rsidRPr="00F163F5" w:rsidRDefault="0065726C" w:rsidP="00F163F5">
            <w:pPr>
              <w:rPr>
                <w:rFonts w:ascii="Times New Roman" w:hAnsi="Times New Roman" w:cs="Times New Roman"/>
                <w:b/>
                <w:color w:val="000000"/>
                <w:sz w:val="20"/>
                <w:szCs w:val="20"/>
                <w:lang w:eastAsia="fr-FR"/>
              </w:rPr>
            </w:pPr>
            <w:r w:rsidRPr="00F163F5">
              <w:rPr>
                <w:rFonts w:ascii="Times New Roman" w:hAnsi="Times New Roman" w:cs="Times New Roman"/>
                <w:b/>
                <w:color w:val="000000"/>
                <w:sz w:val="20"/>
                <w:szCs w:val="20"/>
                <w:lang w:eastAsia="fr-FR"/>
              </w:rPr>
              <w:t> </w:t>
            </w:r>
            <w:r w:rsidRPr="0065726C">
              <w:rPr>
                <w:rFonts w:ascii="Times New Roman" w:hAnsi="Times New Roman" w:cs="Times New Roman"/>
                <w:b/>
                <w:color w:val="000000"/>
                <w:sz w:val="20"/>
                <w:szCs w:val="20"/>
                <w:lang w:eastAsia="fr-FR"/>
              </w:rPr>
              <w:t xml:space="preserve">Sexe </w:t>
            </w:r>
          </w:p>
        </w:tc>
        <w:tc>
          <w:tcPr>
            <w:tcW w:w="2033"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rPr>
                <w:rFonts w:ascii="Times New Roman" w:hAnsi="Times New Roman" w:cs="Times New Roman"/>
                <w:color w:val="000000"/>
                <w:sz w:val="20"/>
                <w:szCs w:val="20"/>
                <w:lang w:eastAsia="fr-FR"/>
              </w:rPr>
            </w:pP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Homme</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35,7</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47,0</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Femme</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42,8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78,6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Groupe d’âge </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15-19</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39,6</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93,6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20-24</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44,8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81,6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25-29</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41,9</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65,7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30-34</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39,7</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59,4</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35-39</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35,1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54,9</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40-44</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36,8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53,9</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45-49</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33,6</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52,6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50-54</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37,8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53,9</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55-59</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41,8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59,1</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60-64</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45,6</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63,8</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Milieu de résidence </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Cotonou</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25,1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40,6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Autre urbain</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34,6</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56,2</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Urbain</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33,1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53,7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rural</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44,3</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69,2</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65726C" w:rsidRDefault="0065726C" w:rsidP="00F163F5">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Départements </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65726C" w:rsidRDefault="0065726C" w:rsidP="00F163F5">
            <w:pPr>
              <w:jc w:val="right"/>
              <w:rPr>
                <w:rFonts w:ascii="Times New Roman" w:hAnsi="Times New Roman" w:cs="Times New Roman"/>
                <w:color w:val="000000"/>
                <w:sz w:val="20"/>
                <w:szCs w:val="20"/>
                <w:lang w:eastAsia="fr-FR"/>
              </w:rPr>
            </w:pP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65726C" w:rsidRDefault="0065726C" w:rsidP="00F163F5">
            <w:pPr>
              <w:jc w:val="right"/>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Alibori</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56,7</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50,8</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Atacora</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52,2</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63,7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Atlantique</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31,6</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47,4</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Borgou</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52,4</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66,0</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Collines</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44,7</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74,3</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Couffo</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39,0</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76,7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Donga</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50,1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73,4</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Littoral</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25,1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40,6</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Mono</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37,4</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72,8</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Ouémé</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24,1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50,0</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Plateau</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36,1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67,9</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Zou</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34,8</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76,3</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65726C">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Niveau d’instruction </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7D4DF5" w:rsidP="00F163F5">
            <w:pPr>
              <w:rPr>
                <w:rFonts w:ascii="Times New Roman" w:hAnsi="Times New Roman" w:cs="Times New Roman"/>
                <w:color w:val="000000"/>
                <w:sz w:val="20"/>
                <w:szCs w:val="20"/>
                <w:lang w:eastAsia="fr-FR"/>
              </w:rPr>
            </w:pPr>
            <w:r>
              <w:rPr>
                <w:rFonts w:ascii="Times New Roman" w:hAnsi="Times New Roman" w:cs="Times New Roman"/>
                <w:color w:val="000000"/>
                <w:sz w:val="20"/>
                <w:szCs w:val="20"/>
                <w:lang w:eastAsia="fr-FR"/>
              </w:rPr>
              <w:t>Aucun</w:t>
            </w:r>
            <w:r w:rsidR="0065726C" w:rsidRPr="00F163F5">
              <w:rPr>
                <w:rFonts w:ascii="Times New Roman" w:hAnsi="Times New Roman" w:cs="Times New Roman"/>
                <w:color w:val="000000"/>
                <w:sz w:val="20"/>
                <w:szCs w:val="20"/>
                <w:lang w:eastAsia="fr-FR"/>
              </w:rPr>
              <w:t xml:space="preserve"> niveau</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43,5</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71,1</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Primaire</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30,1</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57,7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Secondaire</w:t>
            </w:r>
          </w:p>
        </w:tc>
        <w:tc>
          <w:tcPr>
            <w:tcW w:w="2033" w:type="dxa"/>
            <w:tcBorders>
              <w:top w:val="nil"/>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32,3</w:t>
            </w:r>
          </w:p>
        </w:tc>
        <w:tc>
          <w:tcPr>
            <w:tcW w:w="2126" w:type="dxa"/>
            <w:tcBorders>
              <w:top w:val="nil"/>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42,7</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F163F5" w:rsidRDefault="0065726C" w:rsidP="00F163F5">
            <w:pPr>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Supérieur</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35,8</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5726C" w:rsidRPr="00F163F5" w:rsidRDefault="0065726C" w:rsidP="00F163F5">
            <w:pPr>
              <w:jc w:val="right"/>
              <w:rPr>
                <w:rFonts w:ascii="Times New Roman" w:hAnsi="Times New Roman" w:cs="Times New Roman"/>
                <w:color w:val="000000"/>
                <w:sz w:val="20"/>
                <w:szCs w:val="20"/>
                <w:lang w:eastAsia="fr-FR"/>
              </w:rPr>
            </w:pPr>
            <w:r w:rsidRPr="00F163F5">
              <w:rPr>
                <w:rFonts w:ascii="Times New Roman" w:hAnsi="Times New Roman" w:cs="Times New Roman"/>
                <w:color w:val="000000"/>
                <w:sz w:val="20"/>
                <w:szCs w:val="20"/>
                <w:lang w:eastAsia="fr-FR"/>
              </w:rPr>
              <w:t>10,5</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65726C" w:rsidRDefault="0065726C" w:rsidP="00F163F5">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Bénin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65726C" w:rsidRPr="0065726C" w:rsidRDefault="0065726C" w:rsidP="00F163F5">
            <w:pPr>
              <w:jc w:val="right"/>
              <w:rPr>
                <w:rFonts w:ascii="Times New Roman" w:hAnsi="Times New Roman" w:cs="Times New Roman"/>
                <w:b/>
                <w:color w:val="000000"/>
                <w:sz w:val="20"/>
                <w:szCs w:val="20"/>
                <w:lang w:eastAsia="fr-FR"/>
              </w:rPr>
            </w:pPr>
            <w:r w:rsidRPr="00F163F5">
              <w:rPr>
                <w:rFonts w:ascii="Times New Roman" w:hAnsi="Times New Roman" w:cs="Times New Roman"/>
                <w:b/>
                <w:color w:val="000000"/>
                <w:sz w:val="20"/>
                <w:szCs w:val="20"/>
                <w:lang w:eastAsia="fr-FR"/>
              </w:rPr>
              <w:t>39,0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5726C" w:rsidRPr="0065726C" w:rsidRDefault="0065726C" w:rsidP="00F163F5">
            <w:pPr>
              <w:jc w:val="right"/>
              <w:rPr>
                <w:rFonts w:ascii="Times New Roman" w:hAnsi="Times New Roman" w:cs="Times New Roman"/>
                <w:b/>
                <w:color w:val="000000"/>
                <w:sz w:val="20"/>
                <w:szCs w:val="20"/>
                <w:lang w:eastAsia="fr-FR"/>
              </w:rPr>
            </w:pPr>
            <w:r w:rsidRPr="00F163F5">
              <w:rPr>
                <w:rFonts w:ascii="Times New Roman" w:hAnsi="Times New Roman" w:cs="Times New Roman"/>
                <w:b/>
                <w:color w:val="000000"/>
                <w:sz w:val="20"/>
                <w:szCs w:val="20"/>
                <w:lang w:eastAsia="fr-FR"/>
              </w:rPr>
              <w:t>61,8</w:t>
            </w: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65726C" w:rsidRDefault="0065726C" w:rsidP="00F163F5">
            <w:pPr>
              <w:rPr>
                <w:rFonts w:ascii="Times New Roman" w:hAnsi="Times New Roman" w:cs="Times New Roman"/>
                <w:color w:val="000000"/>
                <w:sz w:val="20"/>
                <w:szCs w:val="20"/>
                <w:lang w:eastAsia="fr-FR"/>
              </w:rPr>
            </w:pP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65726C" w:rsidRPr="0065726C" w:rsidRDefault="0065726C" w:rsidP="00F163F5">
            <w:pPr>
              <w:jc w:val="right"/>
              <w:rPr>
                <w:rFonts w:ascii="Times New Roman" w:hAnsi="Times New Roman" w:cs="Times New Roman"/>
                <w:color w:val="000000"/>
                <w:sz w:val="20"/>
                <w:szCs w:val="20"/>
                <w:lang w:eastAsia="fr-FR"/>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5726C" w:rsidRPr="0065726C" w:rsidRDefault="0065726C" w:rsidP="00F163F5">
            <w:pPr>
              <w:jc w:val="right"/>
              <w:rPr>
                <w:rFonts w:ascii="Times New Roman" w:hAnsi="Times New Roman" w:cs="Times New Roman"/>
                <w:color w:val="000000"/>
                <w:sz w:val="20"/>
                <w:szCs w:val="20"/>
                <w:lang w:eastAsia="fr-FR"/>
              </w:rPr>
            </w:pPr>
          </w:p>
        </w:tc>
      </w:tr>
      <w:tr w:rsidR="0065726C" w:rsidRPr="0065726C" w:rsidTr="0065726C">
        <w:trPr>
          <w:trHeight w:val="300"/>
          <w:jc w:val="center"/>
        </w:trPr>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65726C" w:rsidRPr="0065726C" w:rsidRDefault="0065726C" w:rsidP="00F163F5">
            <w:pPr>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 xml:space="preserve">Effectif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65726C" w:rsidRPr="0065726C" w:rsidRDefault="0065726C" w:rsidP="00F163F5">
            <w:pPr>
              <w:jc w:val="right"/>
              <w:rPr>
                <w:rFonts w:ascii="Times New Roman" w:hAnsi="Times New Roman" w:cs="Times New Roman"/>
                <w:b/>
                <w:color w:val="000000"/>
                <w:sz w:val="20"/>
                <w:szCs w:val="20"/>
                <w:lang w:eastAsia="fr-FR"/>
              </w:rPr>
            </w:pPr>
            <w:r w:rsidRPr="00F163F5">
              <w:rPr>
                <w:rFonts w:ascii="Times New Roman" w:hAnsi="Times New Roman" w:cs="Times New Roman"/>
                <w:b/>
                <w:color w:val="000000"/>
                <w:sz w:val="20"/>
                <w:szCs w:val="20"/>
                <w:lang w:eastAsia="fr-FR"/>
              </w:rPr>
              <w:t>1 217</w:t>
            </w:r>
            <w:r w:rsidRPr="0065726C">
              <w:rPr>
                <w:rFonts w:ascii="Times New Roman" w:hAnsi="Times New Roman" w:cs="Times New Roman"/>
                <w:b/>
                <w:color w:val="000000"/>
                <w:sz w:val="20"/>
                <w:szCs w:val="20"/>
                <w:lang w:eastAsia="fr-FR"/>
              </w:rPr>
              <w:t> </w:t>
            </w:r>
            <w:r w:rsidRPr="00F163F5">
              <w:rPr>
                <w:rFonts w:ascii="Times New Roman" w:hAnsi="Times New Roman" w:cs="Times New Roman"/>
                <w:b/>
                <w:color w:val="000000"/>
                <w:sz w:val="20"/>
                <w:szCs w:val="20"/>
                <w:lang w:eastAsia="fr-FR"/>
              </w:rPr>
              <w:t>972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5726C" w:rsidRPr="0065726C" w:rsidRDefault="0065726C" w:rsidP="0065726C">
            <w:pPr>
              <w:jc w:val="right"/>
              <w:rPr>
                <w:rFonts w:ascii="Times New Roman" w:hAnsi="Times New Roman" w:cs="Times New Roman"/>
                <w:b/>
                <w:color w:val="000000"/>
                <w:sz w:val="20"/>
                <w:szCs w:val="20"/>
                <w:lang w:eastAsia="fr-FR"/>
              </w:rPr>
            </w:pPr>
            <w:r w:rsidRPr="0065726C">
              <w:rPr>
                <w:rFonts w:ascii="Times New Roman" w:hAnsi="Times New Roman" w:cs="Times New Roman"/>
                <w:b/>
                <w:color w:val="000000"/>
                <w:sz w:val="20"/>
                <w:szCs w:val="20"/>
                <w:lang w:eastAsia="fr-FR"/>
              </w:rPr>
              <w:t>1 930 309</w:t>
            </w:r>
          </w:p>
        </w:tc>
      </w:tr>
    </w:tbl>
    <w:p w:rsidR="007D4DF5" w:rsidRPr="00183028" w:rsidRDefault="007D4DF5" w:rsidP="00DD65E0">
      <w:pPr>
        <w:spacing w:after="200" w:line="276" w:lineRule="auto"/>
        <w:ind w:left="708" w:firstLine="708"/>
        <w:jc w:val="both"/>
        <w:rPr>
          <w:rFonts w:ascii="Times New Roman" w:hAnsi="Times New Roman" w:cs="Times New Roman"/>
          <w:sz w:val="24"/>
          <w:szCs w:val="24"/>
        </w:rPr>
      </w:pPr>
      <w:r w:rsidRPr="00E0065E">
        <w:rPr>
          <w:rFonts w:ascii="Times New Roman" w:hAnsi="Times New Roman" w:cs="Times New Roman"/>
          <w:i/>
          <w:sz w:val="20"/>
          <w:szCs w:val="20"/>
        </w:rPr>
        <w:t>Source : EMICoV 2015</w:t>
      </w:r>
    </w:p>
    <w:sectPr w:rsidR="007D4DF5" w:rsidRPr="00183028" w:rsidSect="00916B3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82" w:rsidRDefault="00787182" w:rsidP="00817071">
      <w:r>
        <w:separator/>
      </w:r>
    </w:p>
  </w:endnote>
  <w:endnote w:type="continuationSeparator" w:id="0">
    <w:p w:rsidR="00787182" w:rsidRDefault="00787182" w:rsidP="0081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WAdobeF">
    <w:altName w:val="Times New Roman"/>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68678"/>
      <w:docPartObj>
        <w:docPartGallery w:val="Page Numbers (Bottom of Page)"/>
        <w:docPartUnique/>
      </w:docPartObj>
    </w:sdtPr>
    <w:sdtEndPr/>
    <w:sdtContent>
      <w:p w:rsidR="00CB5DF1" w:rsidRDefault="003B06D1">
        <w:pPr>
          <w:pStyle w:val="Pieddepage"/>
          <w:jc w:val="right"/>
        </w:pPr>
        <w:r>
          <w:fldChar w:fldCharType="begin"/>
        </w:r>
        <w:r w:rsidR="001D67C9">
          <w:instrText xml:space="preserve"> PAGE   \* MERGEFORMAT </w:instrText>
        </w:r>
        <w:r>
          <w:fldChar w:fldCharType="separate"/>
        </w:r>
        <w:r w:rsidR="00F2626F">
          <w:rPr>
            <w:noProof/>
          </w:rPr>
          <w:t>6</w:t>
        </w:r>
        <w:r>
          <w:rPr>
            <w:noProof/>
          </w:rPr>
          <w:fldChar w:fldCharType="end"/>
        </w:r>
      </w:p>
    </w:sdtContent>
  </w:sdt>
  <w:p w:rsidR="00CB5DF1" w:rsidRDefault="00CB5D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82" w:rsidRDefault="00787182" w:rsidP="00817071">
      <w:r>
        <w:separator/>
      </w:r>
    </w:p>
  </w:footnote>
  <w:footnote w:type="continuationSeparator" w:id="0">
    <w:p w:rsidR="00787182" w:rsidRDefault="00787182" w:rsidP="00817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5381"/>
    <w:multiLevelType w:val="multilevel"/>
    <w:tmpl w:val="3F9CD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2B12F5"/>
    <w:multiLevelType w:val="multilevel"/>
    <w:tmpl w:val="3F9CD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FB63DD"/>
    <w:multiLevelType w:val="multilevel"/>
    <w:tmpl w:val="A0BA693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3801FCB"/>
    <w:multiLevelType w:val="hybridMultilevel"/>
    <w:tmpl w:val="A0CC4AB4"/>
    <w:lvl w:ilvl="0" w:tplc="3EAA6C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8B541E"/>
    <w:multiLevelType w:val="multilevel"/>
    <w:tmpl w:val="3F9CD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F866E7"/>
    <w:multiLevelType w:val="multilevel"/>
    <w:tmpl w:val="3F9CD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B379FF"/>
    <w:multiLevelType w:val="multilevel"/>
    <w:tmpl w:val="A0BA693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0966C51"/>
    <w:multiLevelType w:val="hybridMultilevel"/>
    <w:tmpl w:val="75804E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2272BE"/>
    <w:multiLevelType w:val="multilevel"/>
    <w:tmpl w:val="3F9CD0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7"/>
  </w:num>
  <w:num w:numId="3">
    <w:abstractNumId w:val="3"/>
  </w:num>
  <w:num w:numId="4">
    <w:abstractNumId w:val="2"/>
  </w:num>
  <w:num w:numId="5">
    <w:abstractNumId w:val="6"/>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2A37"/>
    <w:rsid w:val="00025807"/>
    <w:rsid w:val="00050903"/>
    <w:rsid w:val="00086F81"/>
    <w:rsid w:val="000A58A4"/>
    <w:rsid w:val="000D0BCA"/>
    <w:rsid w:val="000F6F1C"/>
    <w:rsid w:val="001039A1"/>
    <w:rsid w:val="001504B5"/>
    <w:rsid w:val="00183028"/>
    <w:rsid w:val="001D4518"/>
    <w:rsid w:val="001D67C9"/>
    <w:rsid w:val="001E572D"/>
    <w:rsid w:val="00202A37"/>
    <w:rsid w:val="002D1A2E"/>
    <w:rsid w:val="002D6943"/>
    <w:rsid w:val="0033245A"/>
    <w:rsid w:val="00377CCC"/>
    <w:rsid w:val="00383A9B"/>
    <w:rsid w:val="00384F83"/>
    <w:rsid w:val="003B06D1"/>
    <w:rsid w:val="003C0275"/>
    <w:rsid w:val="003D7214"/>
    <w:rsid w:val="003E7A0F"/>
    <w:rsid w:val="004268A5"/>
    <w:rsid w:val="00443B8F"/>
    <w:rsid w:val="00453C1F"/>
    <w:rsid w:val="00477F53"/>
    <w:rsid w:val="004C6F57"/>
    <w:rsid w:val="004E4091"/>
    <w:rsid w:val="00535F68"/>
    <w:rsid w:val="00550015"/>
    <w:rsid w:val="00551F3D"/>
    <w:rsid w:val="00553237"/>
    <w:rsid w:val="00587277"/>
    <w:rsid w:val="005A7840"/>
    <w:rsid w:val="005C26BB"/>
    <w:rsid w:val="005C53F6"/>
    <w:rsid w:val="005D09F9"/>
    <w:rsid w:val="005E4EA5"/>
    <w:rsid w:val="005F74DD"/>
    <w:rsid w:val="00627186"/>
    <w:rsid w:val="00631E25"/>
    <w:rsid w:val="00637762"/>
    <w:rsid w:val="00641AF9"/>
    <w:rsid w:val="0065726C"/>
    <w:rsid w:val="00670516"/>
    <w:rsid w:val="00696C90"/>
    <w:rsid w:val="006A79BB"/>
    <w:rsid w:val="006C2FB7"/>
    <w:rsid w:val="006F167E"/>
    <w:rsid w:val="00725613"/>
    <w:rsid w:val="007443F5"/>
    <w:rsid w:val="007606C7"/>
    <w:rsid w:val="00787182"/>
    <w:rsid w:val="007D2DBC"/>
    <w:rsid w:val="007D4DF5"/>
    <w:rsid w:val="007F261B"/>
    <w:rsid w:val="007F5C60"/>
    <w:rsid w:val="0080236D"/>
    <w:rsid w:val="0081244D"/>
    <w:rsid w:val="00816BAB"/>
    <w:rsid w:val="00817071"/>
    <w:rsid w:val="00844102"/>
    <w:rsid w:val="008579FE"/>
    <w:rsid w:val="0086119D"/>
    <w:rsid w:val="00866E69"/>
    <w:rsid w:val="008A2E9B"/>
    <w:rsid w:val="008C120F"/>
    <w:rsid w:val="008C616B"/>
    <w:rsid w:val="008D053D"/>
    <w:rsid w:val="008F388C"/>
    <w:rsid w:val="00916B34"/>
    <w:rsid w:val="00965C75"/>
    <w:rsid w:val="009B4BA8"/>
    <w:rsid w:val="009C02BA"/>
    <w:rsid w:val="009D3BE8"/>
    <w:rsid w:val="00A06E69"/>
    <w:rsid w:val="00A12DE4"/>
    <w:rsid w:val="00A16375"/>
    <w:rsid w:val="00A251A5"/>
    <w:rsid w:val="00A47B54"/>
    <w:rsid w:val="00A563F5"/>
    <w:rsid w:val="00AC3064"/>
    <w:rsid w:val="00AC3CCC"/>
    <w:rsid w:val="00AE1D82"/>
    <w:rsid w:val="00AE53C8"/>
    <w:rsid w:val="00AF15D7"/>
    <w:rsid w:val="00B10A9C"/>
    <w:rsid w:val="00B46B76"/>
    <w:rsid w:val="00B6130D"/>
    <w:rsid w:val="00B7737D"/>
    <w:rsid w:val="00BD01C5"/>
    <w:rsid w:val="00C02C46"/>
    <w:rsid w:val="00C0329D"/>
    <w:rsid w:val="00C144BC"/>
    <w:rsid w:val="00C20DDA"/>
    <w:rsid w:val="00C43845"/>
    <w:rsid w:val="00C90263"/>
    <w:rsid w:val="00CB5DF1"/>
    <w:rsid w:val="00CC0F6C"/>
    <w:rsid w:val="00CC404A"/>
    <w:rsid w:val="00CC739B"/>
    <w:rsid w:val="00CF095E"/>
    <w:rsid w:val="00D167E0"/>
    <w:rsid w:val="00D257CA"/>
    <w:rsid w:val="00D41971"/>
    <w:rsid w:val="00D7787F"/>
    <w:rsid w:val="00D83B14"/>
    <w:rsid w:val="00D938F2"/>
    <w:rsid w:val="00DB2CE0"/>
    <w:rsid w:val="00DC4C31"/>
    <w:rsid w:val="00DD2188"/>
    <w:rsid w:val="00DD65E0"/>
    <w:rsid w:val="00DD7777"/>
    <w:rsid w:val="00DF7368"/>
    <w:rsid w:val="00E0065E"/>
    <w:rsid w:val="00E122BD"/>
    <w:rsid w:val="00E20065"/>
    <w:rsid w:val="00E21035"/>
    <w:rsid w:val="00EC1249"/>
    <w:rsid w:val="00F10AC4"/>
    <w:rsid w:val="00F163F5"/>
    <w:rsid w:val="00F17041"/>
    <w:rsid w:val="00F2626F"/>
    <w:rsid w:val="00F74B41"/>
    <w:rsid w:val="00FA4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0EE8C-9DA5-40C4-B38A-8D93F781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BE8"/>
    <w:pPr>
      <w:spacing w:after="0" w:line="240"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B54"/>
    <w:pPr>
      <w:ind w:left="720"/>
      <w:contextualSpacing/>
    </w:pPr>
  </w:style>
  <w:style w:type="table" w:styleId="Grilledutableau">
    <w:name w:val="Table Grid"/>
    <w:basedOn w:val="TableauNormal"/>
    <w:uiPriority w:val="59"/>
    <w:rsid w:val="00D9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817071"/>
    <w:pPr>
      <w:tabs>
        <w:tab w:val="center" w:pos="4536"/>
        <w:tab w:val="right" w:pos="9072"/>
      </w:tabs>
    </w:pPr>
  </w:style>
  <w:style w:type="character" w:customStyle="1" w:styleId="En-tteCar">
    <w:name w:val="En-tête Car"/>
    <w:basedOn w:val="Policepardfaut"/>
    <w:link w:val="En-tte"/>
    <w:uiPriority w:val="99"/>
    <w:semiHidden/>
    <w:rsid w:val="00817071"/>
    <w:rPr>
      <w:rFonts w:ascii="Calibri" w:eastAsia="Times New Roman" w:hAnsi="Calibri" w:cs="Calibri"/>
    </w:rPr>
  </w:style>
  <w:style w:type="paragraph" w:styleId="Pieddepage">
    <w:name w:val="footer"/>
    <w:basedOn w:val="Normal"/>
    <w:link w:val="PieddepageCar"/>
    <w:uiPriority w:val="99"/>
    <w:unhideWhenUsed/>
    <w:rsid w:val="00817071"/>
    <w:pPr>
      <w:tabs>
        <w:tab w:val="center" w:pos="4536"/>
        <w:tab w:val="right" w:pos="9072"/>
      </w:tabs>
    </w:pPr>
  </w:style>
  <w:style w:type="character" w:customStyle="1" w:styleId="PieddepageCar">
    <w:name w:val="Pied de page Car"/>
    <w:basedOn w:val="Policepardfaut"/>
    <w:link w:val="Pieddepage"/>
    <w:uiPriority w:val="99"/>
    <w:rsid w:val="00817071"/>
    <w:rPr>
      <w:rFonts w:ascii="Calibri" w:eastAsia="Times New Roman" w:hAnsi="Calibri" w:cs="Calibri"/>
    </w:rPr>
  </w:style>
  <w:style w:type="paragraph" w:styleId="Textedebulles">
    <w:name w:val="Balloon Text"/>
    <w:basedOn w:val="Normal"/>
    <w:link w:val="TextedebullesCar"/>
    <w:uiPriority w:val="99"/>
    <w:semiHidden/>
    <w:unhideWhenUsed/>
    <w:rsid w:val="00CC40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0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7382">
      <w:bodyDiv w:val="1"/>
      <w:marLeft w:val="0"/>
      <w:marRight w:val="0"/>
      <w:marTop w:val="0"/>
      <w:marBottom w:val="0"/>
      <w:divBdr>
        <w:top w:val="none" w:sz="0" w:space="0" w:color="auto"/>
        <w:left w:val="none" w:sz="0" w:space="0" w:color="auto"/>
        <w:bottom w:val="none" w:sz="0" w:space="0" w:color="auto"/>
        <w:right w:val="none" w:sz="0" w:space="0" w:color="auto"/>
      </w:divBdr>
    </w:div>
    <w:div w:id="689986846">
      <w:bodyDiv w:val="1"/>
      <w:marLeft w:val="0"/>
      <w:marRight w:val="0"/>
      <w:marTop w:val="0"/>
      <w:marBottom w:val="0"/>
      <w:divBdr>
        <w:top w:val="none" w:sz="0" w:space="0" w:color="auto"/>
        <w:left w:val="none" w:sz="0" w:space="0" w:color="auto"/>
        <w:bottom w:val="none" w:sz="0" w:space="0" w:color="auto"/>
        <w:right w:val="none" w:sz="0" w:space="0" w:color="auto"/>
      </w:divBdr>
    </w:div>
    <w:div w:id="967902836">
      <w:bodyDiv w:val="1"/>
      <w:marLeft w:val="0"/>
      <w:marRight w:val="0"/>
      <w:marTop w:val="0"/>
      <w:marBottom w:val="0"/>
      <w:divBdr>
        <w:top w:val="none" w:sz="0" w:space="0" w:color="auto"/>
        <w:left w:val="none" w:sz="0" w:space="0" w:color="auto"/>
        <w:bottom w:val="none" w:sz="0" w:space="0" w:color="auto"/>
        <w:right w:val="none" w:sz="0" w:space="0" w:color="auto"/>
      </w:divBdr>
    </w:div>
    <w:div w:id="1435517199">
      <w:bodyDiv w:val="1"/>
      <w:marLeft w:val="0"/>
      <w:marRight w:val="0"/>
      <w:marTop w:val="0"/>
      <w:marBottom w:val="0"/>
      <w:divBdr>
        <w:top w:val="none" w:sz="0" w:space="0" w:color="auto"/>
        <w:left w:val="none" w:sz="0" w:space="0" w:color="auto"/>
        <w:bottom w:val="none" w:sz="0" w:space="0" w:color="auto"/>
        <w:right w:val="none" w:sz="0" w:space="0" w:color="auto"/>
      </w:divBdr>
    </w:div>
    <w:div w:id="1457598115">
      <w:bodyDiv w:val="1"/>
      <w:marLeft w:val="0"/>
      <w:marRight w:val="0"/>
      <w:marTop w:val="0"/>
      <w:marBottom w:val="0"/>
      <w:divBdr>
        <w:top w:val="none" w:sz="0" w:space="0" w:color="auto"/>
        <w:left w:val="none" w:sz="0" w:space="0" w:color="auto"/>
        <w:bottom w:val="none" w:sz="0" w:space="0" w:color="auto"/>
        <w:right w:val="none" w:sz="0" w:space="0" w:color="auto"/>
      </w:divBdr>
    </w:div>
    <w:div w:id="1640963143">
      <w:bodyDiv w:val="1"/>
      <w:marLeft w:val="0"/>
      <w:marRight w:val="0"/>
      <w:marTop w:val="0"/>
      <w:marBottom w:val="0"/>
      <w:divBdr>
        <w:top w:val="none" w:sz="0" w:space="0" w:color="auto"/>
        <w:left w:val="none" w:sz="0" w:space="0" w:color="auto"/>
        <w:bottom w:val="none" w:sz="0" w:space="0" w:color="auto"/>
        <w:right w:val="none" w:sz="0" w:space="0" w:color="auto"/>
      </w:divBdr>
    </w:div>
    <w:div w:id="1651397999">
      <w:bodyDiv w:val="1"/>
      <w:marLeft w:val="0"/>
      <w:marRight w:val="0"/>
      <w:marTop w:val="0"/>
      <w:marBottom w:val="0"/>
      <w:divBdr>
        <w:top w:val="none" w:sz="0" w:space="0" w:color="auto"/>
        <w:left w:val="none" w:sz="0" w:space="0" w:color="auto"/>
        <w:bottom w:val="none" w:sz="0" w:space="0" w:color="auto"/>
        <w:right w:val="none" w:sz="0" w:space="0" w:color="auto"/>
      </w:divBdr>
    </w:div>
    <w:div w:id="1708601463">
      <w:bodyDiv w:val="1"/>
      <w:marLeft w:val="0"/>
      <w:marRight w:val="0"/>
      <w:marTop w:val="0"/>
      <w:marBottom w:val="0"/>
      <w:divBdr>
        <w:top w:val="none" w:sz="0" w:space="0" w:color="auto"/>
        <w:left w:val="none" w:sz="0" w:space="0" w:color="auto"/>
        <w:bottom w:val="none" w:sz="0" w:space="0" w:color="auto"/>
        <w:right w:val="none" w:sz="0" w:space="0" w:color="auto"/>
      </w:divBdr>
    </w:div>
    <w:div w:id="1893883067">
      <w:bodyDiv w:val="1"/>
      <w:marLeft w:val="0"/>
      <w:marRight w:val="0"/>
      <w:marTop w:val="0"/>
      <w:marBottom w:val="0"/>
      <w:divBdr>
        <w:top w:val="none" w:sz="0" w:space="0" w:color="auto"/>
        <w:left w:val="none" w:sz="0" w:space="0" w:color="auto"/>
        <w:bottom w:val="none" w:sz="0" w:space="0" w:color="auto"/>
        <w:right w:val="none" w:sz="0" w:space="0" w:color="auto"/>
      </w:divBdr>
    </w:div>
    <w:div w:id="1922718119">
      <w:bodyDiv w:val="1"/>
      <w:marLeft w:val="0"/>
      <w:marRight w:val="0"/>
      <w:marTop w:val="0"/>
      <w:marBottom w:val="0"/>
      <w:divBdr>
        <w:top w:val="none" w:sz="0" w:space="0" w:color="auto"/>
        <w:left w:val="none" w:sz="0" w:space="0" w:color="auto"/>
        <w:bottom w:val="none" w:sz="0" w:space="0" w:color="auto"/>
        <w:right w:val="none" w:sz="0" w:space="0" w:color="auto"/>
      </w:divBdr>
    </w:div>
    <w:div w:id="20285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Mes%20Documents%20AHOVEY%20Elise%202014\Dossier%20DSS%20juillet%202014\EMICoV%202015%20volet%20analyse\Emploi%20et%20ch&#244;mage%20EMICoV%202015%20analyse\tableaux_provisoires_emploi_emicov2015_161015%20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Mes%20Documents%20AHOVEY%20Elise%202014\Dossier%20DSS%20juillet%202014\EMICoV%202015%20volet%20analyse\Emploi%20et%20ch&#244;mage%20EMICoV%202015%20analyse\tableaux_provisoires_emploi_emicov2015_161015%20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Mes%20Documents%20AHOVEY%20Elise%202014\Dossier%20DSS%20juillet%202014\EMICoV%202015%20volet%20analyse\Emploi%20et%20ch&#244;mage%20EMICoV%202015%20analyse\tableaux_provisoires_emploi_emicov2015_161015%20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es%20Documents%20AHOVEY%20Elise%202014\Dossier%20DSS%20juillet%202014\EMICoV%202015%20volet%20analyse\Emploi%20et%20ch&#244;mage%20EMICoV%202015%20analyse\tableaux_provisoires_emploi_emicov2015_161015%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589352166633785E-2"/>
          <c:y val="5.1400554097404495E-2"/>
          <c:w val="0.91827137206734999"/>
          <c:h val="0.63817512394284104"/>
        </c:manualLayout>
      </c:layout>
      <c:lineChart>
        <c:grouping val="standard"/>
        <c:varyColors val="0"/>
        <c:ser>
          <c:idx val="0"/>
          <c:order val="0"/>
          <c:tx>
            <c:strRef>
              <c:f>'Tableaux formatés'!$B$235</c:f>
              <c:strCache>
                <c:ptCount val="1"/>
                <c:pt idx="0">
                  <c:v>Homme</c:v>
                </c:pt>
              </c:strCache>
            </c:strRef>
          </c:tx>
          <c:marker>
            <c:symbol val="none"/>
          </c:marker>
          <c:cat>
            <c:strRef>
              <c:f>'Tableaux formatés'!$A$236:$A$246</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formatés'!$B$236:$B$246</c:f>
              <c:numCache>
                <c:formatCode>###0.0</c:formatCode>
                <c:ptCount val="11"/>
                <c:pt idx="0">
                  <c:v>20.7362024560659</c:v>
                </c:pt>
                <c:pt idx="1">
                  <c:v>53.458514901207906</c:v>
                </c:pt>
                <c:pt idx="2">
                  <c:v>88.526560641215326</c:v>
                </c:pt>
                <c:pt idx="3">
                  <c:v>97.458187031173338</c:v>
                </c:pt>
                <c:pt idx="4">
                  <c:v>97.331827774142624</c:v>
                </c:pt>
                <c:pt idx="5">
                  <c:v>97.487009995116878</c:v>
                </c:pt>
                <c:pt idx="6">
                  <c:v>96.720169993490302</c:v>
                </c:pt>
                <c:pt idx="7">
                  <c:v>93.700862237066119</c:v>
                </c:pt>
                <c:pt idx="8">
                  <c:v>88.504576891336654</c:v>
                </c:pt>
                <c:pt idx="9">
                  <c:v>79.297126911955459</c:v>
                </c:pt>
                <c:pt idx="10">
                  <c:v>61.488751451104058</c:v>
                </c:pt>
              </c:numCache>
            </c:numRef>
          </c:val>
          <c:smooth val="0"/>
        </c:ser>
        <c:ser>
          <c:idx val="1"/>
          <c:order val="1"/>
          <c:tx>
            <c:strRef>
              <c:f>'Tableaux formatés'!$C$235</c:f>
              <c:strCache>
                <c:ptCount val="1"/>
                <c:pt idx="0">
                  <c:v>Femme</c:v>
                </c:pt>
              </c:strCache>
            </c:strRef>
          </c:tx>
          <c:marker>
            <c:symbol val="none"/>
          </c:marker>
          <c:cat>
            <c:strRef>
              <c:f>'Tableaux formatés'!$A$236:$A$246</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formatés'!$C$236:$C$246</c:f>
              <c:numCache>
                <c:formatCode>###0.0</c:formatCode>
                <c:ptCount val="11"/>
                <c:pt idx="0">
                  <c:v>24.956819111884233</c:v>
                </c:pt>
                <c:pt idx="1">
                  <c:v>51.831209504943494</c:v>
                </c:pt>
                <c:pt idx="2">
                  <c:v>63.523135258083414</c:v>
                </c:pt>
                <c:pt idx="3">
                  <c:v>70.472635865078232</c:v>
                </c:pt>
                <c:pt idx="4">
                  <c:v>74.013542431289039</c:v>
                </c:pt>
                <c:pt idx="5">
                  <c:v>74.40134606637929</c:v>
                </c:pt>
                <c:pt idx="6">
                  <c:v>75.906646964426116</c:v>
                </c:pt>
                <c:pt idx="7">
                  <c:v>76.381682531785856</c:v>
                </c:pt>
                <c:pt idx="8">
                  <c:v>73.076446806179959</c:v>
                </c:pt>
                <c:pt idx="9">
                  <c:v>65.060425319995261</c:v>
                </c:pt>
                <c:pt idx="10">
                  <c:v>48.850420294819244</c:v>
                </c:pt>
              </c:numCache>
            </c:numRef>
          </c:val>
          <c:smooth val="0"/>
        </c:ser>
        <c:ser>
          <c:idx val="2"/>
          <c:order val="2"/>
          <c:tx>
            <c:strRef>
              <c:f>'Tableaux formatés'!$D$235</c:f>
              <c:strCache>
                <c:ptCount val="1"/>
                <c:pt idx="0">
                  <c:v>Bénin </c:v>
                </c:pt>
              </c:strCache>
            </c:strRef>
          </c:tx>
          <c:marker>
            <c:symbol val="none"/>
          </c:marker>
          <c:cat>
            <c:strRef>
              <c:f>'Tableaux formatés'!$A$236:$A$246</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formatés'!$D$236:$D$246</c:f>
              <c:numCache>
                <c:formatCode>#,##0.0</c:formatCode>
                <c:ptCount val="11"/>
                <c:pt idx="0">
                  <c:v>22.7961034493668</c:v>
                </c:pt>
                <c:pt idx="1">
                  <c:v>52.47836008351775</c:v>
                </c:pt>
                <c:pt idx="2">
                  <c:v>73.261038289543777</c:v>
                </c:pt>
                <c:pt idx="3">
                  <c:v>82.780189878476179</c:v>
                </c:pt>
                <c:pt idx="4">
                  <c:v>85.243608812974458</c:v>
                </c:pt>
                <c:pt idx="5">
                  <c:v>86.387485042364858</c:v>
                </c:pt>
                <c:pt idx="6">
                  <c:v>86.774800540939069</c:v>
                </c:pt>
                <c:pt idx="7">
                  <c:v>85.349648286910067</c:v>
                </c:pt>
                <c:pt idx="8">
                  <c:v>81.38149419115274</c:v>
                </c:pt>
                <c:pt idx="9">
                  <c:v>72.437402315498048</c:v>
                </c:pt>
                <c:pt idx="10">
                  <c:v>55.853639829349191</c:v>
                </c:pt>
              </c:numCache>
            </c:numRef>
          </c:val>
          <c:smooth val="0"/>
        </c:ser>
        <c:dLbls>
          <c:showLegendKey val="0"/>
          <c:showVal val="0"/>
          <c:showCatName val="0"/>
          <c:showSerName val="0"/>
          <c:showPercent val="0"/>
          <c:showBubbleSize val="0"/>
        </c:dLbls>
        <c:smooth val="0"/>
        <c:axId val="325074768"/>
        <c:axId val="325075856"/>
      </c:lineChart>
      <c:catAx>
        <c:axId val="325074768"/>
        <c:scaling>
          <c:orientation val="minMax"/>
        </c:scaling>
        <c:delete val="0"/>
        <c:axPos val="b"/>
        <c:numFmt formatCode="General" sourceLinked="0"/>
        <c:majorTickMark val="out"/>
        <c:minorTickMark val="none"/>
        <c:tickLblPos val="nextTo"/>
        <c:txPr>
          <a:bodyPr rot="-3000000"/>
          <a:lstStyle/>
          <a:p>
            <a:pPr>
              <a:defRPr/>
            </a:pPr>
            <a:endParaRPr lang="fr-FR"/>
          </a:p>
        </c:txPr>
        <c:crossAx val="325075856"/>
        <c:crosses val="autoZero"/>
        <c:auto val="1"/>
        <c:lblAlgn val="ctr"/>
        <c:lblOffset val="100"/>
        <c:noMultiLvlLbl val="0"/>
      </c:catAx>
      <c:valAx>
        <c:axId val="325075856"/>
        <c:scaling>
          <c:orientation val="minMax"/>
          <c:max val="100"/>
        </c:scaling>
        <c:delete val="0"/>
        <c:axPos val="l"/>
        <c:majorGridlines/>
        <c:numFmt formatCode="###0.0" sourceLinked="1"/>
        <c:majorTickMark val="out"/>
        <c:minorTickMark val="none"/>
        <c:tickLblPos val="nextTo"/>
        <c:crossAx val="325074768"/>
        <c:crosses val="autoZero"/>
        <c:crossBetween val="between"/>
        <c:majorUnit val="20"/>
      </c:valAx>
    </c:plotArea>
    <c:legend>
      <c:legendPos val="r"/>
      <c:layout>
        <c:manualLayout>
          <c:xMode val="edge"/>
          <c:yMode val="edge"/>
          <c:x val="5.4593855379728023E-2"/>
          <c:y val="0.87643691277720659"/>
          <c:w val="0.7762871177153009"/>
          <c:h val="0.12152194517352014"/>
        </c:manualLayout>
      </c:layout>
      <c:overlay val="0"/>
    </c:legend>
    <c:plotVisOnly val="1"/>
    <c:dispBlanksAs val="gap"/>
    <c:showDLblsOverMax val="0"/>
  </c:chart>
  <c:txPr>
    <a:bodyPr/>
    <a:lstStyle/>
    <a:p>
      <a:pPr>
        <a:defRPr sz="800"/>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8330999138902"/>
          <c:y val="6.0659813356663705E-2"/>
          <c:w val="0.8840687601796805"/>
          <c:h val="0.62336322543015399"/>
        </c:manualLayout>
      </c:layout>
      <c:lineChart>
        <c:grouping val="standard"/>
        <c:varyColors val="0"/>
        <c:ser>
          <c:idx val="0"/>
          <c:order val="0"/>
          <c:tx>
            <c:strRef>
              <c:f>'Tableaux formatés'!$D$217</c:f>
              <c:strCache>
                <c:ptCount val="1"/>
                <c:pt idx="0">
                  <c:v>Cotonou</c:v>
                </c:pt>
              </c:strCache>
            </c:strRef>
          </c:tx>
          <c:marker>
            <c:symbol val="none"/>
          </c:marker>
          <c:cat>
            <c:strRef>
              <c:f>'Tableaux formatés'!$A$218:$A$228</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formatés'!$D$218:$D$228</c:f>
              <c:numCache>
                <c:formatCode>###0.0</c:formatCode>
                <c:ptCount val="11"/>
                <c:pt idx="0">
                  <c:v>17.56361002648244</c:v>
                </c:pt>
                <c:pt idx="1">
                  <c:v>45.542095349486061</c:v>
                </c:pt>
                <c:pt idx="2">
                  <c:v>74.589869281975439</c:v>
                </c:pt>
                <c:pt idx="3">
                  <c:v>86.719366593601649</c:v>
                </c:pt>
                <c:pt idx="4">
                  <c:v>88.144928330458868</c:v>
                </c:pt>
                <c:pt idx="5">
                  <c:v>90.713890306091088</c:v>
                </c:pt>
                <c:pt idx="6">
                  <c:v>90.043801580646416</c:v>
                </c:pt>
                <c:pt idx="7">
                  <c:v>85.425956960466351</c:v>
                </c:pt>
                <c:pt idx="8">
                  <c:v>80.299293924486207</c:v>
                </c:pt>
                <c:pt idx="9">
                  <c:v>56.605192360804367</c:v>
                </c:pt>
                <c:pt idx="10">
                  <c:v>38.206810051425812</c:v>
                </c:pt>
              </c:numCache>
            </c:numRef>
          </c:val>
          <c:smooth val="0"/>
        </c:ser>
        <c:ser>
          <c:idx val="1"/>
          <c:order val="1"/>
          <c:tx>
            <c:strRef>
              <c:f>'Tableaux formatés'!$E$217</c:f>
              <c:strCache>
                <c:ptCount val="1"/>
                <c:pt idx="0">
                  <c:v>Autre urbain</c:v>
                </c:pt>
              </c:strCache>
            </c:strRef>
          </c:tx>
          <c:marker>
            <c:symbol val="none"/>
          </c:marker>
          <c:cat>
            <c:strRef>
              <c:f>'Tableaux formatés'!$A$218:$A$228</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formatés'!$E$218:$E$228</c:f>
              <c:numCache>
                <c:formatCode>###0.0</c:formatCode>
                <c:ptCount val="11"/>
                <c:pt idx="0">
                  <c:v>17.582881140841927</c:v>
                </c:pt>
                <c:pt idx="1">
                  <c:v>46.739648896519533</c:v>
                </c:pt>
                <c:pt idx="2">
                  <c:v>74.087920996873422</c:v>
                </c:pt>
                <c:pt idx="3">
                  <c:v>84.357888599520194</c:v>
                </c:pt>
                <c:pt idx="4">
                  <c:v>87.31153961405434</c:v>
                </c:pt>
                <c:pt idx="5">
                  <c:v>88.257802797125748</c:v>
                </c:pt>
                <c:pt idx="6">
                  <c:v>88.360385936607599</c:v>
                </c:pt>
                <c:pt idx="7">
                  <c:v>84.775192117047538</c:v>
                </c:pt>
                <c:pt idx="8">
                  <c:v>78.821805119273648</c:v>
                </c:pt>
                <c:pt idx="9">
                  <c:v>68.577335016742424</c:v>
                </c:pt>
                <c:pt idx="10">
                  <c:v>54.339899938325814</c:v>
                </c:pt>
              </c:numCache>
            </c:numRef>
          </c:val>
          <c:smooth val="0"/>
        </c:ser>
        <c:ser>
          <c:idx val="2"/>
          <c:order val="2"/>
          <c:tx>
            <c:strRef>
              <c:f>'Tableaux formatés'!$F$217</c:f>
              <c:strCache>
                <c:ptCount val="1"/>
                <c:pt idx="0">
                  <c:v>Rural</c:v>
                </c:pt>
              </c:strCache>
            </c:strRef>
          </c:tx>
          <c:marker>
            <c:symbol val="none"/>
          </c:marker>
          <c:cat>
            <c:strRef>
              <c:f>'Tableaux formatés'!$A$218:$A$228</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formatés'!$F$218:$F$228</c:f>
              <c:numCache>
                <c:formatCode>###0.0</c:formatCode>
                <c:ptCount val="11"/>
                <c:pt idx="0">
                  <c:v>28.203115676767606</c:v>
                </c:pt>
                <c:pt idx="1">
                  <c:v>58.324994943162146</c:v>
                </c:pt>
                <c:pt idx="2">
                  <c:v>72.360953035027364</c:v>
                </c:pt>
                <c:pt idx="3">
                  <c:v>80.944953522732405</c:v>
                </c:pt>
                <c:pt idx="4">
                  <c:v>83.104912756928258</c:v>
                </c:pt>
                <c:pt idx="5">
                  <c:v>84.316872795597249</c:v>
                </c:pt>
                <c:pt idx="6">
                  <c:v>85.021123375651499</c:v>
                </c:pt>
                <c:pt idx="7">
                  <c:v>85.768659330231429</c:v>
                </c:pt>
                <c:pt idx="8">
                  <c:v>83.581721817073841</c:v>
                </c:pt>
                <c:pt idx="9">
                  <c:v>77.464995016199353</c:v>
                </c:pt>
                <c:pt idx="10">
                  <c:v>59.088997149410247</c:v>
                </c:pt>
              </c:numCache>
            </c:numRef>
          </c:val>
          <c:smooth val="0"/>
        </c:ser>
        <c:ser>
          <c:idx val="3"/>
          <c:order val="3"/>
          <c:tx>
            <c:strRef>
              <c:f>'Tableaux formatés'!$I$217</c:f>
              <c:strCache>
                <c:ptCount val="1"/>
                <c:pt idx="0">
                  <c:v>Bénin </c:v>
                </c:pt>
              </c:strCache>
            </c:strRef>
          </c:tx>
          <c:marker>
            <c:symbol val="none"/>
          </c:marker>
          <c:cat>
            <c:strRef>
              <c:f>'Tableaux formatés'!$A$218:$A$228</c:f>
              <c:strCache>
                <c:ptCount val="11"/>
                <c:pt idx="0">
                  <c:v>15-19</c:v>
                </c:pt>
                <c:pt idx="1">
                  <c:v>20-24</c:v>
                </c:pt>
                <c:pt idx="2">
                  <c:v>25-29</c:v>
                </c:pt>
                <c:pt idx="3">
                  <c:v>30-34</c:v>
                </c:pt>
                <c:pt idx="4">
                  <c:v>35-39</c:v>
                </c:pt>
                <c:pt idx="5">
                  <c:v>40-44</c:v>
                </c:pt>
                <c:pt idx="6">
                  <c:v>45-49</c:v>
                </c:pt>
                <c:pt idx="7">
                  <c:v>50-54</c:v>
                </c:pt>
                <c:pt idx="8">
                  <c:v>55-59</c:v>
                </c:pt>
                <c:pt idx="9">
                  <c:v>60-64</c:v>
                </c:pt>
                <c:pt idx="10">
                  <c:v>65 et +</c:v>
                </c:pt>
              </c:strCache>
            </c:strRef>
          </c:cat>
          <c:val>
            <c:numRef>
              <c:f>'Tableaux formatés'!$I$218:$I$228</c:f>
              <c:numCache>
                <c:formatCode>###0.0</c:formatCode>
                <c:ptCount val="11"/>
                <c:pt idx="0">
                  <c:v>22.7961034493668</c:v>
                </c:pt>
                <c:pt idx="1">
                  <c:v>52.47836008351775</c:v>
                </c:pt>
                <c:pt idx="2">
                  <c:v>73.261038289543777</c:v>
                </c:pt>
                <c:pt idx="3">
                  <c:v>82.780189878476179</c:v>
                </c:pt>
                <c:pt idx="4">
                  <c:v>85.243608812974458</c:v>
                </c:pt>
                <c:pt idx="5">
                  <c:v>86.387485042364858</c:v>
                </c:pt>
                <c:pt idx="6">
                  <c:v>86.774800540939069</c:v>
                </c:pt>
                <c:pt idx="7">
                  <c:v>85.349648286910067</c:v>
                </c:pt>
                <c:pt idx="8">
                  <c:v>81.38149419115274</c:v>
                </c:pt>
                <c:pt idx="9">
                  <c:v>72.437402315498048</c:v>
                </c:pt>
                <c:pt idx="10">
                  <c:v>55.853639829349191</c:v>
                </c:pt>
              </c:numCache>
            </c:numRef>
          </c:val>
          <c:smooth val="0"/>
        </c:ser>
        <c:dLbls>
          <c:showLegendKey val="0"/>
          <c:showVal val="0"/>
          <c:showCatName val="0"/>
          <c:showSerName val="0"/>
          <c:showPercent val="0"/>
          <c:showBubbleSize val="0"/>
        </c:dLbls>
        <c:smooth val="0"/>
        <c:axId val="325069872"/>
        <c:axId val="323938560"/>
      </c:lineChart>
      <c:catAx>
        <c:axId val="325069872"/>
        <c:scaling>
          <c:orientation val="minMax"/>
        </c:scaling>
        <c:delete val="0"/>
        <c:axPos val="b"/>
        <c:numFmt formatCode="General" sourceLinked="0"/>
        <c:majorTickMark val="out"/>
        <c:minorTickMark val="none"/>
        <c:tickLblPos val="nextTo"/>
        <c:txPr>
          <a:bodyPr rot="-3000000"/>
          <a:lstStyle/>
          <a:p>
            <a:pPr>
              <a:defRPr/>
            </a:pPr>
            <a:endParaRPr lang="fr-FR"/>
          </a:p>
        </c:txPr>
        <c:crossAx val="323938560"/>
        <c:crosses val="autoZero"/>
        <c:auto val="1"/>
        <c:lblAlgn val="ctr"/>
        <c:lblOffset val="100"/>
        <c:noMultiLvlLbl val="0"/>
      </c:catAx>
      <c:valAx>
        <c:axId val="323938560"/>
        <c:scaling>
          <c:orientation val="minMax"/>
        </c:scaling>
        <c:delete val="0"/>
        <c:axPos val="l"/>
        <c:majorGridlines/>
        <c:numFmt formatCode="###0.0" sourceLinked="1"/>
        <c:majorTickMark val="out"/>
        <c:minorTickMark val="none"/>
        <c:tickLblPos val="nextTo"/>
        <c:crossAx val="325069872"/>
        <c:crosses val="autoZero"/>
        <c:crossBetween val="between"/>
        <c:majorUnit val="20"/>
      </c:valAx>
    </c:plotArea>
    <c:legend>
      <c:legendPos val="r"/>
      <c:layout>
        <c:manualLayout>
          <c:xMode val="edge"/>
          <c:yMode val="edge"/>
          <c:x val="1.5955100474100807E-2"/>
          <c:y val="0.85571376494604756"/>
          <c:w val="0.72844542653512434"/>
          <c:h val="0.1126465441819771"/>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394640051264547"/>
          <c:y val="5.0925925925925902E-2"/>
          <c:w val="0.68651972015203733"/>
          <c:h val="0.92129629629629761"/>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'Tableaux formatés'!$I$121:$I$128</c:f>
              <c:strCache>
                <c:ptCount val="8"/>
                <c:pt idx="0">
                  <c:v>Cotonou</c:v>
                </c:pt>
                <c:pt idx="1">
                  <c:v>Autre urbain</c:v>
                </c:pt>
                <c:pt idx="2">
                  <c:v>Urbain</c:v>
                </c:pt>
                <c:pt idx="3">
                  <c:v>Rural</c:v>
                </c:pt>
                <c:pt idx="5">
                  <c:v>Homme</c:v>
                </c:pt>
                <c:pt idx="6">
                  <c:v>Femme</c:v>
                </c:pt>
                <c:pt idx="7">
                  <c:v>Bénin </c:v>
                </c:pt>
              </c:strCache>
            </c:strRef>
          </c:cat>
          <c:val>
            <c:numRef>
              <c:f>'Tableaux formatés'!$K$121:$K$128</c:f>
              <c:numCache>
                <c:formatCode>#,##0.0</c:formatCode>
                <c:ptCount val="8"/>
                <c:pt idx="0">
                  <c:v>6.0667580105606982</c:v>
                </c:pt>
                <c:pt idx="1">
                  <c:v>2.6332015924002801</c:v>
                </c:pt>
                <c:pt idx="2">
                  <c:v>3.191744705169504</c:v>
                </c:pt>
                <c:pt idx="3">
                  <c:v>1.38368032063741</c:v>
                </c:pt>
                <c:pt idx="5">
                  <c:v>1.7241858410639661</c:v>
                </c:pt>
                <c:pt idx="6">
                  <c:v>2.8495852616028912</c:v>
                </c:pt>
                <c:pt idx="7">
                  <c:v>2.2542235642882038</c:v>
                </c:pt>
              </c:numCache>
            </c:numRef>
          </c:val>
        </c:ser>
        <c:dLbls>
          <c:showLegendKey val="0"/>
          <c:showVal val="0"/>
          <c:showCatName val="0"/>
          <c:showSerName val="0"/>
          <c:showPercent val="0"/>
          <c:showBubbleSize val="0"/>
        </c:dLbls>
        <c:gapWidth val="150"/>
        <c:axId val="323939104"/>
        <c:axId val="323939648"/>
      </c:barChart>
      <c:catAx>
        <c:axId val="323939104"/>
        <c:scaling>
          <c:orientation val="minMax"/>
        </c:scaling>
        <c:delete val="0"/>
        <c:axPos val="l"/>
        <c:numFmt formatCode="General" sourceLinked="0"/>
        <c:majorTickMark val="out"/>
        <c:minorTickMark val="none"/>
        <c:tickLblPos val="nextTo"/>
        <c:crossAx val="323939648"/>
        <c:crosses val="autoZero"/>
        <c:auto val="1"/>
        <c:lblAlgn val="ctr"/>
        <c:lblOffset val="100"/>
        <c:noMultiLvlLbl val="0"/>
      </c:catAx>
      <c:valAx>
        <c:axId val="323939648"/>
        <c:scaling>
          <c:orientation val="minMax"/>
        </c:scaling>
        <c:delete val="1"/>
        <c:axPos val="b"/>
        <c:numFmt formatCode="#,##0.0" sourceLinked="1"/>
        <c:majorTickMark val="out"/>
        <c:minorTickMark val="none"/>
        <c:tickLblPos val="none"/>
        <c:crossAx val="32393910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749326788696939"/>
          <c:y val="2.7777777777777863E-2"/>
          <c:w val="0.685840065446365"/>
          <c:h val="0.9444444444444456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'Tableaux formatés'!$B$110:$B$122</c:f>
              <c:strCache>
                <c:ptCount val="13"/>
                <c:pt idx="0">
                  <c:v>Alibori</c:v>
                </c:pt>
                <c:pt idx="1">
                  <c:v>Atacora</c:v>
                </c:pt>
                <c:pt idx="2">
                  <c:v>Atlantique</c:v>
                </c:pt>
                <c:pt idx="3">
                  <c:v>Borgou</c:v>
                </c:pt>
                <c:pt idx="4">
                  <c:v>Collines</c:v>
                </c:pt>
                <c:pt idx="5">
                  <c:v>Couffo</c:v>
                </c:pt>
                <c:pt idx="6">
                  <c:v>Donga</c:v>
                </c:pt>
                <c:pt idx="7">
                  <c:v>Littoral</c:v>
                </c:pt>
                <c:pt idx="8">
                  <c:v>Mono</c:v>
                </c:pt>
                <c:pt idx="9">
                  <c:v>Ouémé</c:v>
                </c:pt>
                <c:pt idx="10">
                  <c:v>Plateau</c:v>
                </c:pt>
                <c:pt idx="11">
                  <c:v>Zou</c:v>
                </c:pt>
                <c:pt idx="12">
                  <c:v>Bénin </c:v>
                </c:pt>
              </c:strCache>
            </c:strRef>
          </c:cat>
          <c:val>
            <c:numRef>
              <c:f>'Tableaux formatés'!$D$110:$D$122</c:f>
              <c:numCache>
                <c:formatCode>#,###.0</c:formatCode>
                <c:ptCount val="13"/>
                <c:pt idx="0" formatCode="0.0">
                  <c:v>0.70000000000000062</c:v>
                </c:pt>
                <c:pt idx="1">
                  <c:v>1.22308406841052</c:v>
                </c:pt>
                <c:pt idx="2">
                  <c:v>3.8282686971992783</c:v>
                </c:pt>
                <c:pt idx="3">
                  <c:v>1.7940672475534218</c:v>
                </c:pt>
                <c:pt idx="4" formatCode="0.0">
                  <c:v>0.76123303884397764</c:v>
                </c:pt>
                <c:pt idx="5">
                  <c:v>1.133852377284601</c:v>
                </c:pt>
                <c:pt idx="6">
                  <c:v>1.5598371695688114</c:v>
                </c:pt>
                <c:pt idx="7">
                  <c:v>6.0667580105606982</c:v>
                </c:pt>
                <c:pt idx="8">
                  <c:v>3.3232733785591102</c:v>
                </c:pt>
                <c:pt idx="9">
                  <c:v>2.7820962579700987</c:v>
                </c:pt>
                <c:pt idx="10" formatCode="0.0">
                  <c:v>0.64703542460228591</c:v>
                </c:pt>
                <c:pt idx="11">
                  <c:v>1.47440526522136</c:v>
                </c:pt>
                <c:pt idx="12">
                  <c:v>2.2542235642882038</c:v>
                </c:pt>
              </c:numCache>
            </c:numRef>
          </c:val>
        </c:ser>
        <c:dLbls>
          <c:showLegendKey val="0"/>
          <c:showVal val="0"/>
          <c:showCatName val="0"/>
          <c:showSerName val="0"/>
          <c:showPercent val="0"/>
          <c:showBubbleSize val="0"/>
        </c:dLbls>
        <c:gapWidth val="150"/>
        <c:axId val="151110592"/>
        <c:axId val="151114944"/>
      </c:barChart>
      <c:catAx>
        <c:axId val="151110592"/>
        <c:scaling>
          <c:orientation val="minMax"/>
        </c:scaling>
        <c:delete val="0"/>
        <c:axPos val="l"/>
        <c:numFmt formatCode="General" sourceLinked="0"/>
        <c:majorTickMark val="out"/>
        <c:minorTickMark val="none"/>
        <c:tickLblPos val="nextTo"/>
        <c:crossAx val="151114944"/>
        <c:crosses val="autoZero"/>
        <c:auto val="1"/>
        <c:lblAlgn val="ctr"/>
        <c:lblOffset val="100"/>
        <c:noMultiLvlLbl val="0"/>
      </c:catAx>
      <c:valAx>
        <c:axId val="151114944"/>
        <c:scaling>
          <c:orientation val="minMax"/>
        </c:scaling>
        <c:delete val="1"/>
        <c:axPos val="b"/>
        <c:numFmt formatCode="0.0" sourceLinked="1"/>
        <c:majorTickMark val="out"/>
        <c:minorTickMark val="none"/>
        <c:tickLblPos val="none"/>
        <c:crossAx val="1511105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AEE11-393B-4AFD-8903-00B62274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8795</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egerg</dc:creator>
  <cp:lastModifiedBy>insae</cp:lastModifiedBy>
  <cp:revision>2</cp:revision>
  <cp:lastPrinted>2015-10-23T12:31:00Z</cp:lastPrinted>
  <dcterms:created xsi:type="dcterms:W3CDTF">2016-12-21T03:50:00Z</dcterms:created>
  <dcterms:modified xsi:type="dcterms:W3CDTF">2016-12-21T03:50:00Z</dcterms:modified>
</cp:coreProperties>
</file>